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407B" w14:textId="1853C081" w:rsidR="00872146" w:rsidRDefault="2D9E71C8" w:rsidP="7FA07FEF">
      <w:pPr>
        <w:pStyle w:val="Heading1"/>
        <w:rPr>
          <w:rFonts w:ascii="Aptos Display" w:eastAsia="Aptos Display" w:hAnsi="Aptos Display" w:cs="Aptos Display"/>
        </w:rPr>
      </w:pPr>
      <w:r w:rsidRPr="7FA07FEF">
        <w:rPr>
          <w:rFonts w:ascii="Aptos Display" w:eastAsia="Aptos Display" w:hAnsi="Aptos Display" w:cs="Aptos Display"/>
        </w:rPr>
        <w:t>Statement of Reasons for Withholding Information from the Public File</w:t>
      </w:r>
    </w:p>
    <w:p w14:paraId="0AF361B7" w14:textId="22FD23D4" w:rsidR="00872146" w:rsidRDefault="2D9E71C8" w:rsidP="0DBDE427">
      <w:pPr>
        <w:spacing w:before="210" w:after="210" w:line="300" w:lineRule="auto"/>
        <w:rPr>
          <w:rFonts w:ascii="Arial Nova" w:eastAsia="Arial Nova" w:hAnsi="Arial Nova" w:cs="Arial Nova"/>
          <w:color w:val="000000" w:themeColor="text1"/>
          <w:sz w:val="22"/>
          <w:szCs w:val="22"/>
        </w:rPr>
      </w:pPr>
      <w:r w:rsidRPr="0DBDE427">
        <w:rPr>
          <w:rFonts w:ascii="Arial Nova" w:eastAsia="Arial Nova" w:hAnsi="Arial Nova" w:cs="Arial Nova"/>
          <w:color w:val="000000" w:themeColor="text1"/>
          <w:sz w:val="22"/>
          <w:szCs w:val="22"/>
        </w:rPr>
        <w:t>This Statement of Reasons sets out why 7 Steel UK is unable to place certain supporting evidence documents on the public record</w:t>
      </w:r>
      <w:r w:rsidR="09467C73" w:rsidRPr="0DBDE427">
        <w:rPr>
          <w:rFonts w:ascii="Arial Nova" w:eastAsia="Arial Nova" w:hAnsi="Arial Nova" w:cs="Arial Nova"/>
          <w:color w:val="000000" w:themeColor="text1"/>
          <w:sz w:val="22"/>
          <w:szCs w:val="22"/>
        </w:rPr>
        <w:t>, why they are redacted in our producer questionairre</w:t>
      </w:r>
      <w:r w:rsidRPr="0DBDE427">
        <w:rPr>
          <w:rFonts w:ascii="Arial Nova" w:eastAsia="Arial Nova" w:hAnsi="Arial Nova" w:cs="Arial Nova"/>
          <w:color w:val="000000" w:themeColor="text1"/>
          <w:sz w:val="22"/>
          <w:szCs w:val="22"/>
        </w:rPr>
        <w:t xml:space="preserve">, why it is not possible to produce a meaningful non‑confidential summary of these documents, and the basis on which confidentiality is claimed. The documents referenced below contain proprietary, commercially sensitive, or licensed third‑party data that cannot be legally shared but would be available directly from the authors. </w:t>
      </w:r>
    </w:p>
    <w:p w14:paraId="07B131AA" w14:textId="74C9F092" w:rsidR="00872146" w:rsidRDefault="00872146" w:rsidP="7FA07FEF">
      <w:pPr>
        <w:spacing w:after="0" w:line="300" w:lineRule="auto"/>
        <w:rPr>
          <w:rFonts w:ascii="Arial Nova" w:eastAsia="Arial Nova" w:hAnsi="Arial Nova" w:cs="Arial Nova"/>
          <w:color w:val="000000" w:themeColor="text1"/>
          <w:sz w:val="22"/>
          <w:szCs w:val="22"/>
        </w:rPr>
      </w:pPr>
    </w:p>
    <w:p w14:paraId="3F72CF80" w14:textId="7D397E32" w:rsidR="00872146" w:rsidRDefault="2D9E71C8" w:rsidP="7FA07FEF">
      <w:pPr>
        <w:pStyle w:val="Heading2"/>
        <w:rPr>
          <w:rFonts w:ascii="Aptos Display" w:eastAsia="Aptos Display" w:hAnsi="Aptos Display" w:cs="Aptos Display"/>
        </w:rPr>
      </w:pPr>
      <w:r w:rsidRPr="7FA07FEF">
        <w:rPr>
          <w:rFonts w:ascii="Aptos Display" w:eastAsia="Aptos Display" w:hAnsi="Aptos Display" w:cs="Aptos Display"/>
        </w:rPr>
        <w:t>1. Document Title: Supporting Evidence – Fastmarkets Report (WR Export Mesh Grade)</w:t>
      </w:r>
    </w:p>
    <w:p w14:paraId="64724925" w14:textId="4B1CA423" w:rsidR="00872146" w:rsidRDefault="2D9E71C8" w:rsidP="7FA07FEF">
      <w:pPr>
        <w:pStyle w:val="Heading3"/>
        <w:rPr>
          <w:rFonts w:ascii="Aptos" w:eastAsia="Aptos" w:hAnsi="Aptos" w:cs="Aptos"/>
        </w:rPr>
      </w:pPr>
      <w:r w:rsidRPr="7FA07FEF">
        <w:rPr>
          <w:rFonts w:ascii="Aptos" w:eastAsia="Aptos" w:hAnsi="Aptos" w:cs="Aptos"/>
        </w:rPr>
        <w:t>Nature of the Document</w:t>
      </w:r>
    </w:p>
    <w:p w14:paraId="31AFFF36" w14:textId="0453C743"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This document is a Fastmarkets proprietary report containing detailed price assessments, market intelligence, and export‑grade wire rod data relevant to the trade investigation.</w:t>
      </w:r>
    </w:p>
    <w:p w14:paraId="2D01F510" w14:textId="44FEFF04" w:rsidR="00872146" w:rsidRDefault="2D9E71C8" w:rsidP="7FA07FEF">
      <w:pPr>
        <w:pStyle w:val="Heading3"/>
        <w:rPr>
          <w:rFonts w:ascii="Aptos" w:eastAsia="Aptos" w:hAnsi="Aptos" w:cs="Aptos"/>
        </w:rPr>
      </w:pPr>
      <w:r w:rsidRPr="7FA07FEF">
        <w:rPr>
          <w:rFonts w:ascii="Aptos" w:eastAsia="Aptos" w:hAnsi="Aptos" w:cs="Aptos"/>
        </w:rPr>
        <w:t>Reason Non‑Confidential Summary Cannot Be Provided</w:t>
      </w:r>
    </w:p>
    <w:p w14:paraId="64460754" w14:textId="2087CC1A"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analytical value of the report lies entirely in the exact numerical assessments, methodologies, and commercial commentary, all of which are confidential intellectual property belonging to Fastmarkets. Redaction would remove all meaningful content, and any summary would remain derivative of the protected data.</w:t>
      </w:r>
    </w:p>
    <w:p w14:paraId="6741B34F" w14:textId="3A92B43A" w:rsidR="00872146" w:rsidRDefault="2D9E71C8" w:rsidP="7FA07FEF">
      <w:pPr>
        <w:pStyle w:val="Heading3"/>
        <w:rPr>
          <w:rFonts w:ascii="Aptos" w:eastAsia="Aptos" w:hAnsi="Aptos" w:cs="Aptos"/>
        </w:rPr>
      </w:pPr>
      <w:r w:rsidRPr="7FA07FEF">
        <w:rPr>
          <w:rFonts w:ascii="Aptos" w:eastAsia="Aptos" w:hAnsi="Aptos" w:cs="Aptos"/>
        </w:rPr>
        <w:t>Why the Information Is Confidential</w:t>
      </w:r>
    </w:p>
    <w:p w14:paraId="4AB9462D" w14:textId="75EB325E" w:rsidR="00872146" w:rsidRDefault="2D9E71C8" w:rsidP="7FA07FEF">
      <w:pPr>
        <w:pStyle w:val="ListParagraph"/>
        <w:numPr>
          <w:ilvl w:val="0"/>
          <w:numId w:val="3"/>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document is licensed material with explicit legal restrictions. The notice states:</w:t>
      </w:r>
      <w:r w:rsidR="00B0079F">
        <w:br/>
      </w:r>
      <w:r w:rsidRPr="7FA07FEF">
        <w:rPr>
          <w:rFonts w:ascii="Arial Nova" w:eastAsia="Arial Nova" w:hAnsi="Arial Nova" w:cs="Arial Nova"/>
          <w:i/>
          <w:iCs/>
          <w:color w:val="000000" w:themeColor="text1"/>
          <w:sz w:val="22"/>
          <w:szCs w:val="22"/>
        </w:rPr>
        <w:t>“Access to Fastmarkets content and data is on a named‑user basis… Unlicensed sharing is not permitted… copying, extracting or sharing pricing data is prohibited without an additional licence.”</w:t>
      </w:r>
    </w:p>
    <w:p w14:paraId="0A6B45CA" w14:textId="00A965FC" w:rsidR="00872146" w:rsidRDefault="2D9E71C8" w:rsidP="7FA07FEF">
      <w:pPr>
        <w:pStyle w:val="ListParagraph"/>
        <w:numPr>
          <w:ilvl w:val="0"/>
          <w:numId w:val="3"/>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 xml:space="preserve">The report is not publicly available, and 7 Steel UK only accesses it </w:t>
      </w:r>
      <w:proofErr w:type="gramStart"/>
      <w:r w:rsidRPr="7FA07FEF">
        <w:rPr>
          <w:rFonts w:ascii="Arial Nova" w:eastAsia="Arial Nova" w:hAnsi="Arial Nova" w:cs="Arial Nova"/>
          <w:color w:val="000000" w:themeColor="text1"/>
          <w:sz w:val="22"/>
          <w:szCs w:val="22"/>
        </w:rPr>
        <w:t>under  subscription</w:t>
      </w:r>
      <w:proofErr w:type="gramEnd"/>
      <w:r w:rsidRPr="7FA07FEF">
        <w:rPr>
          <w:rFonts w:ascii="Arial Nova" w:eastAsia="Arial Nova" w:hAnsi="Arial Nova" w:cs="Arial Nova"/>
          <w:color w:val="000000" w:themeColor="text1"/>
          <w:sz w:val="22"/>
          <w:szCs w:val="22"/>
        </w:rPr>
        <w:t>.</w:t>
      </w:r>
    </w:p>
    <w:p w14:paraId="311C8EC9" w14:textId="1FCE8FC6" w:rsidR="00872146" w:rsidRDefault="2D9E71C8" w:rsidP="7FA07FEF">
      <w:pPr>
        <w:pStyle w:val="ListParagraph"/>
        <w:numPr>
          <w:ilvl w:val="0"/>
          <w:numId w:val="3"/>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Sharing the document, or any part of it, would violate Fastmarkets’ copyright and licensing terms.</w:t>
      </w:r>
    </w:p>
    <w:p w14:paraId="39E4F09E" w14:textId="1B0D079D"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Accordingly, the report must be treated as confidential.</w:t>
      </w:r>
    </w:p>
    <w:p w14:paraId="797B3793" w14:textId="702BF93B" w:rsidR="00872146" w:rsidRDefault="00872146" w:rsidP="7FA07FEF">
      <w:pPr>
        <w:spacing w:after="0" w:line="300" w:lineRule="auto"/>
        <w:rPr>
          <w:rFonts w:ascii="Arial Nova" w:eastAsia="Arial Nova" w:hAnsi="Arial Nova" w:cs="Arial Nova"/>
          <w:color w:val="000000" w:themeColor="text1"/>
          <w:sz w:val="22"/>
          <w:szCs w:val="22"/>
        </w:rPr>
      </w:pPr>
    </w:p>
    <w:p w14:paraId="453A305A" w14:textId="56992997" w:rsidR="00872146" w:rsidRDefault="2D9E71C8" w:rsidP="7FA07FEF">
      <w:pPr>
        <w:pStyle w:val="Heading2"/>
        <w:rPr>
          <w:rFonts w:ascii="Aptos Display" w:eastAsia="Aptos Display" w:hAnsi="Aptos Display" w:cs="Aptos Display"/>
        </w:rPr>
      </w:pPr>
      <w:r w:rsidRPr="7FA07FEF">
        <w:rPr>
          <w:rFonts w:ascii="Aptos Display" w:eastAsia="Aptos Display" w:hAnsi="Aptos Display" w:cs="Aptos Display"/>
        </w:rPr>
        <w:lastRenderedPageBreak/>
        <w:t>2. Document Title: Supporting Evidence – PDFs for Anti‑Dumping Wire Rod Case (CRU Reports)</w:t>
      </w:r>
    </w:p>
    <w:p w14:paraId="6945D8F4" w14:textId="06ECA0BD" w:rsidR="00872146" w:rsidRDefault="2D9E71C8" w:rsidP="7FA07FEF">
      <w:pPr>
        <w:pStyle w:val="Heading3"/>
        <w:rPr>
          <w:rFonts w:ascii="Aptos" w:eastAsia="Aptos" w:hAnsi="Aptos" w:cs="Aptos"/>
        </w:rPr>
      </w:pPr>
      <w:r w:rsidRPr="7FA07FEF">
        <w:rPr>
          <w:rFonts w:ascii="Aptos" w:eastAsia="Aptos" w:hAnsi="Aptos" w:cs="Aptos"/>
        </w:rPr>
        <w:t>Nature of the Document</w:t>
      </w:r>
    </w:p>
    <w:p w14:paraId="684E9C6B" w14:textId="09211BE9"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These documents consist of confidential CRU analysis and market intelligence reports relevant to the anti‑dumping wire rod investigation.</w:t>
      </w:r>
    </w:p>
    <w:p w14:paraId="2867FA78" w14:textId="039495A1" w:rsidR="00872146" w:rsidRDefault="2D9E71C8" w:rsidP="7FA07FEF">
      <w:pPr>
        <w:pStyle w:val="Heading3"/>
        <w:rPr>
          <w:rFonts w:ascii="Aptos" w:eastAsia="Aptos" w:hAnsi="Aptos" w:cs="Aptos"/>
        </w:rPr>
      </w:pPr>
      <w:r w:rsidRPr="7FA07FEF">
        <w:rPr>
          <w:rFonts w:ascii="Aptos" w:eastAsia="Aptos" w:hAnsi="Aptos" w:cs="Aptos"/>
        </w:rPr>
        <w:t>Reason Non‑Confidential Summary Cannot Be Provided</w:t>
      </w:r>
    </w:p>
    <w:p w14:paraId="7E13F14F" w14:textId="36F8C2EA"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confidential content comprises proprietary market modelling, pricing forecasts, trade flow data, and commercial insights. A redacted or non‑confidential version would necessarily disclose the structure, findings, and analytical conclusions, which themselves constitute confidential intellectual property.</w:t>
      </w:r>
    </w:p>
    <w:p w14:paraId="007C8A20" w14:textId="6AC3858E" w:rsidR="00872146" w:rsidRDefault="2D9E71C8" w:rsidP="7FA07FEF">
      <w:pPr>
        <w:pStyle w:val="Heading3"/>
        <w:rPr>
          <w:rFonts w:ascii="Aptos" w:eastAsia="Aptos" w:hAnsi="Aptos" w:cs="Aptos"/>
        </w:rPr>
      </w:pPr>
      <w:r w:rsidRPr="7FA07FEF">
        <w:rPr>
          <w:rFonts w:ascii="Aptos" w:eastAsia="Aptos" w:hAnsi="Aptos" w:cs="Aptos"/>
        </w:rPr>
        <w:t>Why the Information Is Confidential</w:t>
      </w:r>
    </w:p>
    <w:p w14:paraId="24C6999A" w14:textId="020E993B"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reports contain a clear confidentiality notice stating:</w:t>
      </w:r>
      <w:r w:rsidR="00B0079F">
        <w:br/>
      </w:r>
      <w:r w:rsidRPr="7FA07FEF">
        <w:rPr>
          <w:rFonts w:ascii="Arial Nova" w:eastAsia="Arial Nova" w:hAnsi="Arial Nova" w:cs="Arial Nova"/>
          <w:i/>
          <w:iCs/>
          <w:color w:val="000000" w:themeColor="text1"/>
          <w:sz w:val="22"/>
          <w:szCs w:val="22"/>
        </w:rPr>
        <w:t>“This report is supplied on a private and confidential basis… Its contents must not be disclosed… nor reproduced in whole or in part without the prior written permission of CRU International.”</w:t>
      </w:r>
    </w:p>
    <w:p w14:paraId="3E441E1E" w14:textId="0A6B0AF8"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They are therefore:</w:t>
      </w:r>
    </w:p>
    <w:p w14:paraId="57391759" w14:textId="1341DBBC" w:rsidR="00872146" w:rsidRDefault="2D9E71C8" w:rsidP="7FA07FEF">
      <w:pPr>
        <w:pStyle w:val="ListParagraph"/>
        <w:numPr>
          <w:ilvl w:val="0"/>
          <w:numId w:val="2"/>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 xml:space="preserve">legally protected under </w:t>
      </w:r>
      <w:r w:rsidRPr="7FA07FEF">
        <w:rPr>
          <w:rFonts w:ascii="Arial Nova" w:eastAsia="Arial Nova" w:hAnsi="Arial Nova" w:cs="Arial Nova"/>
          <w:b/>
          <w:bCs/>
          <w:color w:val="000000" w:themeColor="text1"/>
          <w:sz w:val="22"/>
          <w:szCs w:val="22"/>
        </w:rPr>
        <w:t>copyright</w:t>
      </w:r>
      <w:r w:rsidRPr="7FA07FEF">
        <w:rPr>
          <w:rFonts w:ascii="Arial Nova" w:eastAsia="Arial Nova" w:hAnsi="Arial Nova" w:cs="Arial Nova"/>
          <w:color w:val="000000" w:themeColor="text1"/>
          <w:sz w:val="22"/>
          <w:szCs w:val="22"/>
        </w:rPr>
        <w:t>,</w:t>
      </w:r>
    </w:p>
    <w:p w14:paraId="0163B254" w14:textId="7384E9AB" w:rsidR="00872146" w:rsidRDefault="2D9E71C8" w:rsidP="7FA07FEF">
      <w:pPr>
        <w:pStyle w:val="ListParagraph"/>
        <w:numPr>
          <w:ilvl w:val="0"/>
          <w:numId w:val="2"/>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restricted to licensed internal use only, and</w:t>
      </w:r>
    </w:p>
    <w:p w14:paraId="5FDE86E4" w14:textId="3343D6D7" w:rsidR="00872146" w:rsidRDefault="2D9E71C8" w:rsidP="7FA07FEF">
      <w:pPr>
        <w:pStyle w:val="ListParagraph"/>
        <w:numPr>
          <w:ilvl w:val="0"/>
          <w:numId w:val="2"/>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not available through any public source.</w:t>
      </w:r>
    </w:p>
    <w:p w14:paraId="2048D90A" w14:textId="7D0260F1"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For these reasons, they cannot be published or summarised.</w:t>
      </w:r>
    </w:p>
    <w:p w14:paraId="19152EA6" w14:textId="2EE094EC" w:rsidR="00872146" w:rsidRDefault="00872146" w:rsidP="7FA07FEF">
      <w:pPr>
        <w:spacing w:after="0" w:line="300" w:lineRule="auto"/>
        <w:rPr>
          <w:rFonts w:ascii="Arial Nova" w:eastAsia="Arial Nova" w:hAnsi="Arial Nova" w:cs="Arial Nova"/>
          <w:color w:val="000000" w:themeColor="text1"/>
          <w:sz w:val="22"/>
          <w:szCs w:val="22"/>
        </w:rPr>
      </w:pPr>
    </w:p>
    <w:p w14:paraId="08D6665D" w14:textId="43EFA191" w:rsidR="00872146" w:rsidRDefault="2D9E71C8" w:rsidP="7FA07FEF">
      <w:pPr>
        <w:pStyle w:val="Heading2"/>
        <w:rPr>
          <w:rFonts w:ascii="Aptos Display" w:eastAsia="Aptos Display" w:hAnsi="Aptos Display" w:cs="Aptos Display"/>
        </w:rPr>
      </w:pPr>
      <w:r w:rsidRPr="7FA07FEF">
        <w:rPr>
          <w:rFonts w:ascii="Aptos Display" w:eastAsia="Aptos Display" w:hAnsi="Aptos Display" w:cs="Aptos Display"/>
        </w:rPr>
        <w:t>3. Document Title: Supporting Evidence – CEIC Data 2024</w:t>
      </w:r>
    </w:p>
    <w:p w14:paraId="5D153654" w14:textId="32D98E8C" w:rsidR="00872146" w:rsidRDefault="2D9E71C8" w:rsidP="7FA07FEF">
      <w:pPr>
        <w:pStyle w:val="Heading3"/>
        <w:rPr>
          <w:rFonts w:ascii="Aptos" w:eastAsia="Aptos" w:hAnsi="Aptos" w:cs="Aptos"/>
        </w:rPr>
      </w:pPr>
      <w:r w:rsidRPr="7FA07FEF">
        <w:rPr>
          <w:rFonts w:ascii="Aptos" w:eastAsia="Aptos" w:hAnsi="Aptos" w:cs="Aptos"/>
        </w:rPr>
        <w:t>Nature of the Document</w:t>
      </w:r>
    </w:p>
    <w:p w14:paraId="25628EF8" w14:textId="1619AF26"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CEIC dataset includes economic, industrial, and trade indicators accessed through a paid subscription platform, which requires user registration and licensing to obtain and view the data.</w:t>
      </w:r>
    </w:p>
    <w:p w14:paraId="65C7F670" w14:textId="1D86914B" w:rsidR="00872146" w:rsidRDefault="2D9E71C8" w:rsidP="7FA07FEF">
      <w:pPr>
        <w:pStyle w:val="Heading3"/>
        <w:rPr>
          <w:rFonts w:ascii="Aptos" w:eastAsia="Aptos" w:hAnsi="Aptos" w:cs="Aptos"/>
        </w:rPr>
      </w:pPr>
      <w:r w:rsidRPr="7FA07FEF">
        <w:rPr>
          <w:rFonts w:ascii="Aptos" w:eastAsia="Aptos" w:hAnsi="Aptos" w:cs="Aptos"/>
        </w:rPr>
        <w:t>Reason Non‑Confidential Summary Cannot Be Provided</w:t>
      </w:r>
    </w:p>
    <w:p w14:paraId="76BEC4AD" w14:textId="2B564CA5" w:rsidR="00872146" w:rsidRDefault="2D9E71C8" w:rsidP="7FA07FEF">
      <w:pPr>
        <w:spacing w:before="210" w:after="21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value of the CEIC data is contained in the specific numerical datasets, which cannot be reproduced, summarised, or reformatted without disclosing proprietary information. Any attempted summary would remain derivative of copyright‑protected material.</w:t>
      </w:r>
    </w:p>
    <w:p w14:paraId="074522DD" w14:textId="02896E8A" w:rsidR="00872146" w:rsidRDefault="2D9E71C8" w:rsidP="7FA07FEF">
      <w:pPr>
        <w:pStyle w:val="Heading3"/>
        <w:rPr>
          <w:rFonts w:ascii="Aptos" w:eastAsia="Aptos" w:hAnsi="Aptos" w:cs="Aptos"/>
        </w:rPr>
      </w:pPr>
      <w:r w:rsidRPr="7FA07FEF">
        <w:rPr>
          <w:rFonts w:ascii="Aptos" w:eastAsia="Aptos" w:hAnsi="Aptos" w:cs="Aptos"/>
        </w:rPr>
        <w:lastRenderedPageBreak/>
        <w:t>Why the Information Is Confidential</w:t>
      </w:r>
    </w:p>
    <w:p w14:paraId="196D040A" w14:textId="55CBD691" w:rsidR="00872146" w:rsidRDefault="2D9E71C8" w:rsidP="7FA07FEF">
      <w:pPr>
        <w:pStyle w:val="ListParagraph"/>
        <w:numPr>
          <w:ilvl w:val="0"/>
          <w:numId w:val="1"/>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CEIC data is not publicly accessible; it requires a commercial licence and user agreement.</w:t>
      </w:r>
    </w:p>
    <w:p w14:paraId="35186A27" w14:textId="00CAE562" w:rsidR="00872146" w:rsidRDefault="2D9E71C8" w:rsidP="7FA07FEF">
      <w:pPr>
        <w:pStyle w:val="ListParagraph"/>
        <w:numPr>
          <w:ilvl w:val="0"/>
          <w:numId w:val="1"/>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platform’s terms of use prohibit sharing, reproduction, or redistribution of datasets.</w:t>
      </w:r>
    </w:p>
    <w:p w14:paraId="207AC59C" w14:textId="3CE12023" w:rsidR="00872146" w:rsidRDefault="2D9E71C8" w:rsidP="7FA07FEF">
      <w:pPr>
        <w:pStyle w:val="ListParagraph"/>
        <w:numPr>
          <w:ilvl w:val="0"/>
          <w:numId w:val="1"/>
        </w:numPr>
        <w:spacing w:after="0" w:line="300" w:lineRule="auto"/>
        <w:rPr>
          <w:rFonts w:ascii="Arial Nova" w:eastAsia="Arial Nova" w:hAnsi="Arial Nova" w:cs="Arial Nova"/>
          <w:color w:val="000000" w:themeColor="text1"/>
          <w:sz w:val="22"/>
          <w:szCs w:val="22"/>
        </w:rPr>
      </w:pPr>
      <w:r w:rsidRPr="7FA07FEF">
        <w:rPr>
          <w:rFonts w:ascii="Arial Nova" w:eastAsia="Arial Nova" w:hAnsi="Arial Nova" w:cs="Arial Nova"/>
          <w:color w:val="000000" w:themeColor="text1"/>
          <w:sz w:val="22"/>
          <w:szCs w:val="22"/>
        </w:rPr>
        <w:t>The information is commercially sensitive and cannot legally be posted on a public file.</w:t>
      </w:r>
    </w:p>
    <w:p w14:paraId="58F2D79D" w14:textId="10D1FD17" w:rsidR="00872146" w:rsidRDefault="2D9E71C8" w:rsidP="7FA07FEF">
      <w:pPr>
        <w:spacing w:before="210" w:after="210" w:line="300" w:lineRule="auto"/>
        <w:rPr>
          <w:rFonts w:ascii="Arial Nova" w:eastAsia="Arial Nova" w:hAnsi="Arial Nova" w:cs="Arial Nova"/>
          <w:color w:val="000000" w:themeColor="text1"/>
          <w:sz w:val="22"/>
          <w:szCs w:val="22"/>
        </w:rPr>
      </w:pPr>
      <w:r w:rsidRPr="0DBDE427">
        <w:rPr>
          <w:rFonts w:ascii="Arial Nova" w:eastAsia="Arial Nova" w:hAnsi="Arial Nova" w:cs="Arial Nova"/>
          <w:color w:val="000000" w:themeColor="text1"/>
          <w:sz w:val="22"/>
          <w:szCs w:val="22"/>
        </w:rPr>
        <w:t>Therefore, the CEIC Data 2024 extract must be withheld in full.</w:t>
      </w:r>
    </w:p>
    <w:p w14:paraId="4DBB7BC9" w14:textId="348AB295" w:rsidR="00872146" w:rsidRDefault="00872146" w:rsidP="0DBDE427">
      <w:pPr>
        <w:spacing w:before="210" w:after="210" w:line="300" w:lineRule="auto"/>
        <w:rPr>
          <w:rFonts w:ascii="Arial Nova" w:eastAsia="Arial Nova" w:hAnsi="Arial Nova" w:cs="Arial Nova"/>
          <w:color w:val="000000" w:themeColor="text1"/>
          <w:sz w:val="22"/>
          <w:szCs w:val="22"/>
        </w:rPr>
      </w:pPr>
    </w:p>
    <w:p w14:paraId="0DAB386C" w14:textId="1C3798E1" w:rsidR="00872146" w:rsidRDefault="52684768" w:rsidP="0DBDE427">
      <w:pPr>
        <w:pStyle w:val="Heading2"/>
        <w:rPr>
          <w:rFonts w:ascii="Arial" w:eastAsia="Arial" w:hAnsi="Arial" w:cs="Arial"/>
          <w:color w:val="000000" w:themeColor="text1"/>
          <w:sz w:val="24"/>
          <w:szCs w:val="24"/>
        </w:rPr>
      </w:pPr>
      <w:r w:rsidRPr="0DBDE427">
        <w:t xml:space="preserve">4. Document Title: </w:t>
      </w:r>
    </w:p>
    <w:p w14:paraId="79370163" w14:textId="619992BC" w:rsidR="00872146" w:rsidRDefault="52684768" w:rsidP="0DBDE427">
      <w:pPr>
        <w:pStyle w:val="Heading2"/>
        <w:rPr>
          <w:rFonts w:ascii="Arial" w:eastAsia="Arial" w:hAnsi="Arial" w:cs="Arial"/>
          <w:color w:val="000000" w:themeColor="text1"/>
          <w:sz w:val="24"/>
          <w:szCs w:val="24"/>
        </w:rPr>
      </w:pPr>
      <w:r w:rsidRPr="0DBDE427">
        <w:t>Supporting Evidence – D3.4 Distribution channels and price setting section 4 Example 1 HyTen – docs a- d</w:t>
      </w:r>
    </w:p>
    <w:p w14:paraId="13EEDD43" w14:textId="40A7B80F" w:rsidR="00872146" w:rsidRDefault="52684768" w:rsidP="0DBDE427">
      <w:pPr>
        <w:pStyle w:val="Heading2"/>
        <w:rPr>
          <w:rFonts w:ascii="Arial" w:eastAsia="Arial" w:hAnsi="Arial" w:cs="Arial"/>
          <w:color w:val="000000" w:themeColor="text1"/>
          <w:sz w:val="24"/>
          <w:szCs w:val="24"/>
        </w:rPr>
      </w:pPr>
      <w:r w:rsidRPr="0DBDE427">
        <w:t>D3.4 Part 2 Distribution channels and price setting Section 4 example 2 Hickman &amp; Love - docs e- h</w:t>
      </w:r>
    </w:p>
    <w:p w14:paraId="38DDABD8" w14:textId="32D98E8C" w:rsidR="00872146" w:rsidRDefault="52684768" w:rsidP="0DBDE427">
      <w:pPr>
        <w:pStyle w:val="Heading3"/>
        <w:spacing w:line="300" w:lineRule="auto"/>
        <w:rPr>
          <w:rFonts w:ascii="Aptos" w:eastAsia="Aptos" w:hAnsi="Aptos" w:cs="Aptos"/>
        </w:rPr>
      </w:pPr>
      <w:r w:rsidRPr="0DBDE427">
        <w:rPr>
          <w:rFonts w:ascii="Aptos" w:eastAsia="Aptos" w:hAnsi="Aptos" w:cs="Aptos"/>
        </w:rPr>
        <w:t>Nature of the Document</w:t>
      </w:r>
    </w:p>
    <w:p w14:paraId="7FA2B8F7" w14:textId="6232568F" w:rsidR="00872146" w:rsidRDefault="52684768" w:rsidP="0DBDE427">
      <w:pPr>
        <w:spacing w:before="210" w:after="210" w:line="300" w:lineRule="auto"/>
        <w:rPr>
          <w:rFonts w:ascii="Arial Nova" w:eastAsia="Arial Nova" w:hAnsi="Arial Nova" w:cs="Arial Nova"/>
          <w:sz w:val="22"/>
          <w:szCs w:val="22"/>
        </w:rPr>
      </w:pPr>
      <w:r w:rsidRPr="0DBDE427">
        <w:rPr>
          <w:rFonts w:ascii="Arial Nova" w:eastAsia="Arial Nova" w:hAnsi="Arial Nova" w:cs="Arial Nova"/>
          <w:color w:val="000000" w:themeColor="text1"/>
          <w:sz w:val="22"/>
          <w:szCs w:val="22"/>
        </w:rPr>
        <w:t>The evidence provided in section D of the Producer Questionnaire</w:t>
      </w:r>
      <w:r w:rsidR="5DD2EFDC" w:rsidRPr="0DBDE427">
        <w:rPr>
          <w:rFonts w:ascii="Arial Nova" w:eastAsia="Arial Nova" w:hAnsi="Arial Nova" w:cs="Arial Nova"/>
          <w:color w:val="000000" w:themeColor="text1"/>
          <w:sz w:val="22"/>
          <w:szCs w:val="22"/>
        </w:rPr>
        <w:t xml:space="preserve"> are case study examples of </w:t>
      </w:r>
      <w:r w:rsidR="5DB7E77F" w:rsidRPr="0DBDE427">
        <w:rPr>
          <w:rFonts w:ascii="Arial Nova" w:eastAsia="Arial Nova" w:hAnsi="Arial Nova" w:cs="Arial Nova"/>
          <w:color w:val="000000" w:themeColor="text1"/>
          <w:sz w:val="22"/>
          <w:szCs w:val="22"/>
        </w:rPr>
        <w:t>customer engagement and documentation that include commercially sensitive information as requested - supporting evidence (examples; price lists, individual customer or per-job price negotiations, prices directly following market prices etc.) for your sales of the like goods during the POI.</w:t>
      </w:r>
    </w:p>
    <w:p w14:paraId="63F799EF" w14:textId="1D86914B" w:rsidR="00872146" w:rsidRDefault="5DB7E77F" w:rsidP="0DBDE427">
      <w:pPr>
        <w:pStyle w:val="Heading3"/>
        <w:spacing w:line="300" w:lineRule="auto"/>
        <w:rPr>
          <w:rFonts w:ascii="Aptos" w:eastAsia="Aptos" w:hAnsi="Aptos" w:cs="Aptos"/>
        </w:rPr>
      </w:pPr>
      <w:r w:rsidRPr="0DBDE427">
        <w:rPr>
          <w:rFonts w:ascii="Aptos" w:eastAsia="Aptos" w:hAnsi="Aptos" w:cs="Aptos"/>
        </w:rPr>
        <w:t>Reason Non‑Confidential Summary Cannot Be Provided</w:t>
      </w:r>
    </w:p>
    <w:p w14:paraId="1D7F32FF" w14:textId="6F290BAF" w:rsidR="00872146" w:rsidRDefault="5DB7E77F" w:rsidP="0DBDE427">
      <w:pPr>
        <w:spacing w:before="210" w:after="210" w:line="300" w:lineRule="auto"/>
        <w:rPr>
          <w:rFonts w:ascii="Arial Nova" w:eastAsia="Arial Nova" w:hAnsi="Arial Nova" w:cs="Arial Nova"/>
          <w:color w:val="000000" w:themeColor="text1"/>
          <w:sz w:val="22"/>
          <w:szCs w:val="22"/>
        </w:rPr>
      </w:pPr>
      <w:r w:rsidRPr="0DBDE427">
        <w:rPr>
          <w:rFonts w:ascii="Arial Nova" w:eastAsia="Arial Nova" w:hAnsi="Arial Nova" w:cs="Arial Nova"/>
          <w:color w:val="000000" w:themeColor="text1"/>
          <w:sz w:val="22"/>
          <w:szCs w:val="22"/>
        </w:rPr>
        <w:t xml:space="preserve">The information in these documents is commercially sensitive and confidential information between us and two customer examples. </w:t>
      </w:r>
    </w:p>
    <w:p w14:paraId="49D6C6E7" w14:textId="02896E8A" w:rsidR="00872146" w:rsidRDefault="5DB7E77F" w:rsidP="0DBDE427">
      <w:pPr>
        <w:pStyle w:val="Heading3"/>
        <w:spacing w:line="300" w:lineRule="auto"/>
        <w:rPr>
          <w:rFonts w:ascii="Aptos" w:eastAsia="Aptos" w:hAnsi="Aptos" w:cs="Aptos"/>
        </w:rPr>
      </w:pPr>
      <w:r w:rsidRPr="0DBDE427">
        <w:rPr>
          <w:rFonts w:ascii="Aptos" w:eastAsia="Aptos" w:hAnsi="Aptos" w:cs="Aptos"/>
        </w:rPr>
        <w:t>Why the Information Is Confidential</w:t>
      </w:r>
    </w:p>
    <w:p w14:paraId="53215F6B" w14:textId="0526E250" w:rsidR="00872146" w:rsidRDefault="5DB7E77F" w:rsidP="0DBDE427">
      <w:pPr>
        <w:pStyle w:val="ListParagraph"/>
        <w:numPr>
          <w:ilvl w:val="0"/>
          <w:numId w:val="1"/>
        </w:numPr>
        <w:spacing w:after="0" w:line="300" w:lineRule="auto"/>
        <w:rPr>
          <w:rFonts w:ascii="Arial Nova" w:eastAsia="Arial Nova" w:hAnsi="Arial Nova" w:cs="Arial Nova"/>
          <w:color w:val="000000" w:themeColor="text1"/>
          <w:sz w:val="22"/>
          <w:szCs w:val="22"/>
        </w:rPr>
      </w:pPr>
      <w:r w:rsidRPr="0DBDE427">
        <w:rPr>
          <w:rFonts w:ascii="Arial Nova" w:eastAsia="Arial Nova" w:hAnsi="Arial Nova" w:cs="Arial Nova"/>
          <w:color w:val="000000" w:themeColor="text1"/>
          <w:sz w:val="22"/>
          <w:szCs w:val="22"/>
        </w:rPr>
        <w:t xml:space="preserve">The data is not publicly accessible; and would require agreement on all sides to publicise this information. 7 Steel do not agree for this information to be publicly available for the reason below. </w:t>
      </w:r>
    </w:p>
    <w:p w14:paraId="1C83757A" w14:textId="3CE12023" w:rsidR="00872146" w:rsidRDefault="5DB7E77F" w:rsidP="0DBDE427">
      <w:pPr>
        <w:pStyle w:val="ListParagraph"/>
        <w:numPr>
          <w:ilvl w:val="0"/>
          <w:numId w:val="1"/>
        </w:numPr>
        <w:spacing w:after="0" w:line="300" w:lineRule="auto"/>
        <w:rPr>
          <w:rFonts w:ascii="Arial Nova" w:eastAsia="Arial Nova" w:hAnsi="Arial Nova" w:cs="Arial Nova"/>
          <w:color w:val="000000" w:themeColor="text1"/>
          <w:sz w:val="22"/>
          <w:szCs w:val="22"/>
        </w:rPr>
      </w:pPr>
      <w:r w:rsidRPr="0DBDE427">
        <w:rPr>
          <w:rFonts w:ascii="Arial Nova" w:eastAsia="Arial Nova" w:hAnsi="Arial Nova" w:cs="Arial Nova"/>
          <w:color w:val="000000" w:themeColor="text1"/>
          <w:sz w:val="22"/>
          <w:szCs w:val="22"/>
        </w:rPr>
        <w:t>The information is commercially sensitive and cannot legally be posted on a public file.</w:t>
      </w:r>
    </w:p>
    <w:p w14:paraId="665B1A1E" w14:textId="5741C62A" w:rsidR="00872146" w:rsidRDefault="00872146" w:rsidP="0DBDE427">
      <w:pPr>
        <w:spacing w:before="210" w:after="210" w:line="300" w:lineRule="auto"/>
        <w:rPr>
          <w:rFonts w:ascii="Arial Nova" w:eastAsia="Arial Nova" w:hAnsi="Arial Nova" w:cs="Arial Nova"/>
          <w:color w:val="000000" w:themeColor="text1"/>
          <w:sz w:val="22"/>
          <w:szCs w:val="22"/>
        </w:rPr>
      </w:pPr>
    </w:p>
    <w:p w14:paraId="66BDBF6A" w14:textId="63947AA8" w:rsidR="00872146" w:rsidRDefault="00872146" w:rsidP="0DBDE427">
      <w:pPr>
        <w:spacing w:before="210" w:after="210" w:line="300" w:lineRule="auto"/>
        <w:rPr>
          <w:rFonts w:ascii="Arial Nova" w:eastAsia="Arial Nova" w:hAnsi="Arial Nova" w:cs="Arial Nova"/>
          <w:color w:val="000000" w:themeColor="text1"/>
          <w:sz w:val="22"/>
          <w:szCs w:val="22"/>
        </w:rPr>
      </w:pPr>
    </w:p>
    <w:p w14:paraId="3E5C758D" w14:textId="667DC57E" w:rsidR="00872146" w:rsidRDefault="00872146" w:rsidP="0DBDE427">
      <w:pPr>
        <w:spacing w:after="0" w:line="300" w:lineRule="auto"/>
        <w:rPr>
          <w:rFonts w:ascii="Arial Nova" w:eastAsia="Arial Nova" w:hAnsi="Arial Nova" w:cs="Arial Nova"/>
          <w:color w:val="000000" w:themeColor="text1"/>
          <w:sz w:val="22"/>
          <w:szCs w:val="22"/>
        </w:rPr>
      </w:pPr>
    </w:p>
    <w:p w14:paraId="620E14C3" w14:textId="304D6463" w:rsidR="00872146" w:rsidRDefault="2D9E71C8" w:rsidP="7FA07FEF">
      <w:pPr>
        <w:pStyle w:val="Heading2"/>
        <w:rPr>
          <w:rFonts w:ascii="Aptos Display" w:eastAsia="Aptos Display" w:hAnsi="Aptos Display" w:cs="Aptos Display"/>
        </w:rPr>
      </w:pPr>
      <w:r w:rsidRPr="7FA07FEF">
        <w:rPr>
          <w:rFonts w:ascii="Aptos Display" w:eastAsia="Aptos Display" w:hAnsi="Aptos Display" w:cs="Aptos Display"/>
        </w:rPr>
        <w:t>Conclusion</w:t>
      </w:r>
    </w:p>
    <w:p w14:paraId="5E5787A5" w14:textId="3E5DC47C" w:rsidR="00872146" w:rsidRDefault="2D9E71C8" w:rsidP="7FA07FEF">
      <w:r w:rsidRPr="7FA07FEF">
        <w:rPr>
          <w:rFonts w:ascii="Arial Nova" w:eastAsia="Arial Nova" w:hAnsi="Arial Nova" w:cs="Arial Nova"/>
          <w:color w:val="000000" w:themeColor="text1"/>
          <w:sz w:val="22"/>
          <w:szCs w:val="22"/>
        </w:rPr>
        <w:t>All documents listed above contain proprietary, commercially sensitive, or copyright‑protected material sourced from paid subscriptions or confidential research providers. Providing non‑confidential summaries is not possible without revealing restricted content or breaching licence conditions. For these reasons, 7 Steel UK requests that the documents remain off the public file, with this Statement of Reasons serving as the formal justifica</w:t>
      </w:r>
    </w:p>
    <w:sectPr w:rsidR="008721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75A2"/>
    <w:multiLevelType w:val="hybridMultilevel"/>
    <w:tmpl w:val="DB96C274"/>
    <w:lvl w:ilvl="0" w:tplc="5A74927E">
      <w:start w:val="1"/>
      <w:numFmt w:val="bullet"/>
      <w:lvlText w:val=""/>
      <w:lvlJc w:val="left"/>
      <w:pPr>
        <w:ind w:left="720" w:hanging="360"/>
      </w:pPr>
      <w:rPr>
        <w:rFonts w:ascii="Symbol" w:hAnsi="Symbol" w:hint="default"/>
      </w:rPr>
    </w:lvl>
    <w:lvl w:ilvl="1" w:tplc="773EF9F8">
      <w:start w:val="1"/>
      <w:numFmt w:val="bullet"/>
      <w:lvlText w:val="o"/>
      <w:lvlJc w:val="left"/>
      <w:pPr>
        <w:ind w:left="1440" w:hanging="360"/>
      </w:pPr>
      <w:rPr>
        <w:rFonts w:ascii="Courier New" w:hAnsi="Courier New" w:hint="default"/>
      </w:rPr>
    </w:lvl>
    <w:lvl w:ilvl="2" w:tplc="4900DCDC">
      <w:start w:val="1"/>
      <w:numFmt w:val="bullet"/>
      <w:lvlText w:val=""/>
      <w:lvlJc w:val="left"/>
      <w:pPr>
        <w:ind w:left="2160" w:hanging="360"/>
      </w:pPr>
      <w:rPr>
        <w:rFonts w:ascii="Wingdings" w:hAnsi="Wingdings" w:hint="default"/>
      </w:rPr>
    </w:lvl>
    <w:lvl w:ilvl="3" w:tplc="875AEDF2">
      <w:start w:val="1"/>
      <w:numFmt w:val="bullet"/>
      <w:lvlText w:val=""/>
      <w:lvlJc w:val="left"/>
      <w:pPr>
        <w:ind w:left="2880" w:hanging="360"/>
      </w:pPr>
      <w:rPr>
        <w:rFonts w:ascii="Symbol" w:hAnsi="Symbol" w:hint="default"/>
      </w:rPr>
    </w:lvl>
    <w:lvl w:ilvl="4" w:tplc="E59E8364">
      <w:start w:val="1"/>
      <w:numFmt w:val="bullet"/>
      <w:lvlText w:val="o"/>
      <w:lvlJc w:val="left"/>
      <w:pPr>
        <w:ind w:left="3600" w:hanging="360"/>
      </w:pPr>
      <w:rPr>
        <w:rFonts w:ascii="Courier New" w:hAnsi="Courier New" w:hint="default"/>
      </w:rPr>
    </w:lvl>
    <w:lvl w:ilvl="5" w:tplc="0672C364">
      <w:start w:val="1"/>
      <w:numFmt w:val="bullet"/>
      <w:lvlText w:val=""/>
      <w:lvlJc w:val="left"/>
      <w:pPr>
        <w:ind w:left="4320" w:hanging="360"/>
      </w:pPr>
      <w:rPr>
        <w:rFonts w:ascii="Wingdings" w:hAnsi="Wingdings" w:hint="default"/>
      </w:rPr>
    </w:lvl>
    <w:lvl w:ilvl="6" w:tplc="5096F092">
      <w:start w:val="1"/>
      <w:numFmt w:val="bullet"/>
      <w:lvlText w:val=""/>
      <w:lvlJc w:val="left"/>
      <w:pPr>
        <w:ind w:left="5040" w:hanging="360"/>
      </w:pPr>
      <w:rPr>
        <w:rFonts w:ascii="Symbol" w:hAnsi="Symbol" w:hint="default"/>
      </w:rPr>
    </w:lvl>
    <w:lvl w:ilvl="7" w:tplc="94786B88">
      <w:start w:val="1"/>
      <w:numFmt w:val="bullet"/>
      <w:lvlText w:val="o"/>
      <w:lvlJc w:val="left"/>
      <w:pPr>
        <w:ind w:left="5760" w:hanging="360"/>
      </w:pPr>
      <w:rPr>
        <w:rFonts w:ascii="Courier New" w:hAnsi="Courier New" w:hint="default"/>
      </w:rPr>
    </w:lvl>
    <w:lvl w:ilvl="8" w:tplc="AB22A658">
      <w:start w:val="1"/>
      <w:numFmt w:val="bullet"/>
      <w:lvlText w:val=""/>
      <w:lvlJc w:val="left"/>
      <w:pPr>
        <w:ind w:left="6480" w:hanging="360"/>
      </w:pPr>
      <w:rPr>
        <w:rFonts w:ascii="Wingdings" w:hAnsi="Wingdings" w:hint="default"/>
      </w:rPr>
    </w:lvl>
  </w:abstractNum>
  <w:abstractNum w:abstractNumId="1" w15:restartNumberingAfterBreak="0">
    <w:nsid w:val="28B78EAB"/>
    <w:multiLevelType w:val="hybridMultilevel"/>
    <w:tmpl w:val="ED38FD9E"/>
    <w:lvl w:ilvl="0" w:tplc="5650A40E">
      <w:start w:val="1"/>
      <w:numFmt w:val="bullet"/>
      <w:lvlText w:val=""/>
      <w:lvlJc w:val="left"/>
      <w:pPr>
        <w:ind w:left="720" w:hanging="360"/>
      </w:pPr>
      <w:rPr>
        <w:rFonts w:ascii="Symbol" w:hAnsi="Symbol" w:hint="default"/>
      </w:rPr>
    </w:lvl>
    <w:lvl w:ilvl="1" w:tplc="3C3EAAAC">
      <w:start w:val="1"/>
      <w:numFmt w:val="bullet"/>
      <w:lvlText w:val="o"/>
      <w:lvlJc w:val="left"/>
      <w:pPr>
        <w:ind w:left="1440" w:hanging="360"/>
      </w:pPr>
      <w:rPr>
        <w:rFonts w:ascii="Courier New" w:hAnsi="Courier New" w:hint="default"/>
      </w:rPr>
    </w:lvl>
    <w:lvl w:ilvl="2" w:tplc="1E9A505E">
      <w:start w:val="1"/>
      <w:numFmt w:val="bullet"/>
      <w:lvlText w:val=""/>
      <w:lvlJc w:val="left"/>
      <w:pPr>
        <w:ind w:left="2160" w:hanging="360"/>
      </w:pPr>
      <w:rPr>
        <w:rFonts w:ascii="Wingdings" w:hAnsi="Wingdings" w:hint="default"/>
      </w:rPr>
    </w:lvl>
    <w:lvl w:ilvl="3" w:tplc="84C649C2">
      <w:start w:val="1"/>
      <w:numFmt w:val="bullet"/>
      <w:lvlText w:val=""/>
      <w:lvlJc w:val="left"/>
      <w:pPr>
        <w:ind w:left="2880" w:hanging="360"/>
      </w:pPr>
      <w:rPr>
        <w:rFonts w:ascii="Symbol" w:hAnsi="Symbol" w:hint="default"/>
      </w:rPr>
    </w:lvl>
    <w:lvl w:ilvl="4" w:tplc="258E125E">
      <w:start w:val="1"/>
      <w:numFmt w:val="bullet"/>
      <w:lvlText w:val="o"/>
      <w:lvlJc w:val="left"/>
      <w:pPr>
        <w:ind w:left="3600" w:hanging="360"/>
      </w:pPr>
      <w:rPr>
        <w:rFonts w:ascii="Courier New" w:hAnsi="Courier New" w:hint="default"/>
      </w:rPr>
    </w:lvl>
    <w:lvl w:ilvl="5" w:tplc="231C6D00">
      <w:start w:val="1"/>
      <w:numFmt w:val="bullet"/>
      <w:lvlText w:val=""/>
      <w:lvlJc w:val="left"/>
      <w:pPr>
        <w:ind w:left="4320" w:hanging="360"/>
      </w:pPr>
      <w:rPr>
        <w:rFonts w:ascii="Wingdings" w:hAnsi="Wingdings" w:hint="default"/>
      </w:rPr>
    </w:lvl>
    <w:lvl w:ilvl="6" w:tplc="13F291DC">
      <w:start w:val="1"/>
      <w:numFmt w:val="bullet"/>
      <w:lvlText w:val=""/>
      <w:lvlJc w:val="left"/>
      <w:pPr>
        <w:ind w:left="5040" w:hanging="360"/>
      </w:pPr>
      <w:rPr>
        <w:rFonts w:ascii="Symbol" w:hAnsi="Symbol" w:hint="default"/>
      </w:rPr>
    </w:lvl>
    <w:lvl w:ilvl="7" w:tplc="34A6414A">
      <w:start w:val="1"/>
      <w:numFmt w:val="bullet"/>
      <w:lvlText w:val="o"/>
      <w:lvlJc w:val="left"/>
      <w:pPr>
        <w:ind w:left="5760" w:hanging="360"/>
      </w:pPr>
      <w:rPr>
        <w:rFonts w:ascii="Courier New" w:hAnsi="Courier New" w:hint="default"/>
      </w:rPr>
    </w:lvl>
    <w:lvl w:ilvl="8" w:tplc="FF14331A">
      <w:start w:val="1"/>
      <w:numFmt w:val="bullet"/>
      <w:lvlText w:val=""/>
      <w:lvlJc w:val="left"/>
      <w:pPr>
        <w:ind w:left="6480" w:hanging="360"/>
      </w:pPr>
      <w:rPr>
        <w:rFonts w:ascii="Wingdings" w:hAnsi="Wingdings" w:hint="default"/>
      </w:rPr>
    </w:lvl>
  </w:abstractNum>
  <w:abstractNum w:abstractNumId="2" w15:restartNumberingAfterBreak="0">
    <w:nsid w:val="3A4EC14F"/>
    <w:multiLevelType w:val="hybridMultilevel"/>
    <w:tmpl w:val="659EF89A"/>
    <w:lvl w:ilvl="0" w:tplc="ED02136A">
      <w:start w:val="1"/>
      <w:numFmt w:val="bullet"/>
      <w:lvlText w:val=""/>
      <w:lvlJc w:val="left"/>
      <w:pPr>
        <w:ind w:left="720" w:hanging="360"/>
      </w:pPr>
      <w:rPr>
        <w:rFonts w:ascii="Symbol" w:hAnsi="Symbol" w:hint="default"/>
      </w:rPr>
    </w:lvl>
    <w:lvl w:ilvl="1" w:tplc="276CD5EE">
      <w:start w:val="1"/>
      <w:numFmt w:val="bullet"/>
      <w:lvlText w:val="o"/>
      <w:lvlJc w:val="left"/>
      <w:pPr>
        <w:ind w:left="1440" w:hanging="360"/>
      </w:pPr>
      <w:rPr>
        <w:rFonts w:ascii="Courier New" w:hAnsi="Courier New" w:hint="default"/>
      </w:rPr>
    </w:lvl>
    <w:lvl w:ilvl="2" w:tplc="84B22830">
      <w:start w:val="1"/>
      <w:numFmt w:val="bullet"/>
      <w:lvlText w:val=""/>
      <w:lvlJc w:val="left"/>
      <w:pPr>
        <w:ind w:left="2160" w:hanging="360"/>
      </w:pPr>
      <w:rPr>
        <w:rFonts w:ascii="Wingdings" w:hAnsi="Wingdings" w:hint="default"/>
      </w:rPr>
    </w:lvl>
    <w:lvl w:ilvl="3" w:tplc="1A0494B8">
      <w:start w:val="1"/>
      <w:numFmt w:val="bullet"/>
      <w:lvlText w:val=""/>
      <w:lvlJc w:val="left"/>
      <w:pPr>
        <w:ind w:left="2880" w:hanging="360"/>
      </w:pPr>
      <w:rPr>
        <w:rFonts w:ascii="Symbol" w:hAnsi="Symbol" w:hint="default"/>
      </w:rPr>
    </w:lvl>
    <w:lvl w:ilvl="4" w:tplc="D07CC480">
      <w:start w:val="1"/>
      <w:numFmt w:val="bullet"/>
      <w:lvlText w:val="o"/>
      <w:lvlJc w:val="left"/>
      <w:pPr>
        <w:ind w:left="3600" w:hanging="360"/>
      </w:pPr>
      <w:rPr>
        <w:rFonts w:ascii="Courier New" w:hAnsi="Courier New" w:hint="default"/>
      </w:rPr>
    </w:lvl>
    <w:lvl w:ilvl="5" w:tplc="EFECF4E0">
      <w:start w:val="1"/>
      <w:numFmt w:val="bullet"/>
      <w:lvlText w:val=""/>
      <w:lvlJc w:val="left"/>
      <w:pPr>
        <w:ind w:left="4320" w:hanging="360"/>
      </w:pPr>
      <w:rPr>
        <w:rFonts w:ascii="Wingdings" w:hAnsi="Wingdings" w:hint="default"/>
      </w:rPr>
    </w:lvl>
    <w:lvl w:ilvl="6" w:tplc="F8DA4E9A">
      <w:start w:val="1"/>
      <w:numFmt w:val="bullet"/>
      <w:lvlText w:val=""/>
      <w:lvlJc w:val="left"/>
      <w:pPr>
        <w:ind w:left="5040" w:hanging="360"/>
      </w:pPr>
      <w:rPr>
        <w:rFonts w:ascii="Symbol" w:hAnsi="Symbol" w:hint="default"/>
      </w:rPr>
    </w:lvl>
    <w:lvl w:ilvl="7" w:tplc="CCC2D4EA">
      <w:start w:val="1"/>
      <w:numFmt w:val="bullet"/>
      <w:lvlText w:val="o"/>
      <w:lvlJc w:val="left"/>
      <w:pPr>
        <w:ind w:left="5760" w:hanging="360"/>
      </w:pPr>
      <w:rPr>
        <w:rFonts w:ascii="Courier New" w:hAnsi="Courier New" w:hint="default"/>
      </w:rPr>
    </w:lvl>
    <w:lvl w:ilvl="8" w:tplc="CEA2D4C8">
      <w:start w:val="1"/>
      <w:numFmt w:val="bullet"/>
      <w:lvlText w:val=""/>
      <w:lvlJc w:val="left"/>
      <w:pPr>
        <w:ind w:left="6480" w:hanging="360"/>
      </w:pPr>
      <w:rPr>
        <w:rFonts w:ascii="Wingdings" w:hAnsi="Wingdings" w:hint="default"/>
      </w:rPr>
    </w:lvl>
  </w:abstractNum>
  <w:num w:numId="1" w16cid:durableId="66271398">
    <w:abstractNumId w:val="2"/>
  </w:num>
  <w:num w:numId="2" w16cid:durableId="683215489">
    <w:abstractNumId w:val="0"/>
  </w:num>
  <w:num w:numId="3" w16cid:durableId="82104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662ED8"/>
    <w:rsid w:val="00872146"/>
    <w:rsid w:val="00B0079F"/>
    <w:rsid w:val="00DD7F51"/>
    <w:rsid w:val="09467C73"/>
    <w:rsid w:val="0DBDE427"/>
    <w:rsid w:val="165C66CF"/>
    <w:rsid w:val="26A1A518"/>
    <w:rsid w:val="29662ED8"/>
    <w:rsid w:val="2CF2F0A0"/>
    <w:rsid w:val="2D9E71C8"/>
    <w:rsid w:val="31F79092"/>
    <w:rsid w:val="3A159D9C"/>
    <w:rsid w:val="52684768"/>
    <w:rsid w:val="5CAD7DD9"/>
    <w:rsid w:val="5D45A285"/>
    <w:rsid w:val="5DB7E77F"/>
    <w:rsid w:val="5DD2EFDC"/>
    <w:rsid w:val="71DA6098"/>
    <w:rsid w:val="74B3E81C"/>
    <w:rsid w:val="75826523"/>
    <w:rsid w:val="75D6EC53"/>
    <w:rsid w:val="78F5A3B0"/>
    <w:rsid w:val="7F8D29C3"/>
    <w:rsid w:val="7FA0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18A1"/>
  <w15:chartTrackingRefBased/>
  <w15:docId w15:val="{122CB873-F9AF-4C90-8FA4-A6BAF632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4D49F189-96C6-4E05-A287-F3073D0BA2B6}"/>
</file>

<file path=customXml/itemProps2.xml><?xml version="1.0" encoding="utf-8"?>
<ds:datastoreItem xmlns:ds="http://schemas.openxmlformats.org/officeDocument/2006/customXml" ds:itemID="{A5AE41C6-C63A-4057-9318-1D5BFF248A2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21f70951-4bcd-4e7b-8240-015810ba2b35"/>
    <ds:schemaRef ds:uri="http://purl.org/dc/terms/"/>
  </ds:schemaRefs>
</ds:datastoreItem>
</file>

<file path=customXml/itemProps3.xml><?xml version="1.0" encoding="utf-8"?>
<ds:datastoreItem xmlns:ds="http://schemas.openxmlformats.org/officeDocument/2006/customXml" ds:itemID="{CC24F388-C873-4534-B3F5-495C64600681}">
  <ds:schemaRefs>
    <ds:schemaRef ds:uri="http://schemas.microsoft.com/sharepoint/v3/contenttype/forms"/>
  </ds:schemaRefs>
</ds:datastoreItem>
</file>

<file path=customXml/itemProps4.xml><?xml version="1.0" encoding="utf-8"?>
<ds:datastoreItem xmlns:ds="http://schemas.openxmlformats.org/officeDocument/2006/customXml" ds:itemID="{2E45BF52-3B10-4A6F-A569-3BDE5A543AC2}"/>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4628</Characters>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2026-03-31T10:28:00Z</dcterms:created>
  <dcterms:modified xsi:type="dcterms:W3CDTF">2026-03-31T10:28:00Z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Reconsideration_x0020_Phase">
    <vt:lpwstr/>
  </property>
  <property fmtid="{D5CDD505-2E9C-101B-9397-08002B2CF9AE}" pid="5" name="Reconsideration Phase">
    <vt:lpwstr/>
  </property>
  <property fmtid="{D5CDD505-2E9C-101B-9397-08002B2CF9AE}" pid="6" name="QC Gate">
    <vt:lpwstr/>
  </property>
  <property fmtid="{D5CDD505-2E9C-101B-9397-08002B2CF9AE}" pid="7" name="CaseCountry">
    <vt:lpwstr>31;#China|450f57c4-d239-451b-a905-81825d5a728d</vt:lpwstr>
  </property>
  <property fmtid="{D5CDD505-2E9C-101B-9397-08002B2CF9AE}" pid="8" name="CaseType">
    <vt:lpwstr>265</vt:lpwstr>
  </property>
  <property fmtid="{D5CDD505-2E9C-101B-9397-08002B2CF9AE}" pid="9" name="DocumentType">
    <vt:lpwstr>145;#Questionnaire Appendix|84e65ae0-9fc8-4a5e-a6d7-59aa859c475e</vt:lpwstr>
  </property>
  <property fmtid="{D5CDD505-2E9C-101B-9397-08002B2CF9AE}" pid="10" name="RelatedCountry">
    <vt:lpwstr>226;#Egypt|7bebcf6a-9b35-49fe-bd92-1db41e721742</vt:lpwstr>
  </property>
  <property fmtid="{D5CDD505-2E9C-101B-9397-08002B2CF9AE}" pid="11" name="CaseProduct">
    <vt:lpwstr>122</vt:lpwstr>
  </property>
  <property fmtid="{D5CDD505-2E9C-101B-9397-08002B2CF9AE}" pid="12" name="lcf76f155ced4ddcb4097134ff3c332f">
    <vt:lpwstr/>
  </property>
  <property fmtid="{D5CDD505-2E9C-101B-9397-08002B2CF9AE}" pid="13" name="QC_x0020_Gate">
    <vt:lpwstr/>
  </property>
  <property fmtid="{D5CDD505-2E9C-101B-9397-08002B2CF9AE}" pid="15" name="docLang">
    <vt:lpwstr>en</vt:lpwstr>
  </property>
</Properties>
</file>