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bookmarkStart w:id="0" w:name="_GoBack"/>
      <w:bookmarkEnd w:id="0"/>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746781" w:rsidP="00B10D37">
            <w:pPr>
              <w:tabs>
                <w:tab w:val="left" w:pos="2130"/>
              </w:tabs>
              <w:spacing w:after="0" w:line="22" w:lineRule="atLeast"/>
              <w:contextualSpacing/>
              <w:rPr>
                <w:rFonts w:ascii="Arial" w:eastAsia="Arial" w:hAnsi="Arial" w:cs="Arial"/>
                <w:sz w:val="24"/>
                <w:szCs w:val="24"/>
              </w:rPr>
            </w:pPr>
            <w:hyperlink r:id="rId11"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B6FC9A8" w:rsidR="000E1DC1" w:rsidRDefault="00F70D73"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RICHARD AUSTIN ALLOYS LTD</w:t>
            </w: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1"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286725B7" w:rsidR="00CB18CE" w:rsidRPr="00382986" w:rsidRDefault="00737B46" w:rsidP="00CB18CE">
      <w:pPr>
        <w:spacing w:after="0" w:line="22" w:lineRule="atLeast"/>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X</w:t>
      </w:r>
      <w:r w:rsidR="00CB18CE" w:rsidRPr="00382986">
        <w:rPr>
          <w:rFonts w:ascii="Arial" w:eastAsia="Arial" w:hAnsi="Arial" w:cs="Arial"/>
          <w:color w:val="000000" w:themeColor="text1"/>
          <w:sz w:val="24"/>
          <w:szCs w:val="24"/>
        </w:rPr>
        <w:t xml:space="preserve"> Confidential</w:t>
      </w:r>
    </w:p>
    <w:p w14:paraId="2F5D6092" w14:textId="178E7A39" w:rsidR="00CB18CE" w:rsidRPr="00382986" w:rsidRDefault="0028012B"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2"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2" w:name="_Toc75181571" w:displacedByCustomXml="next"/>
    <w:bookmarkStart w:id="3"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3"/>
          <w:bookmarkEnd w:id="2"/>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746781">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28012B">
              <w:rPr>
                <w:noProof/>
                <w:webHidden/>
              </w:rPr>
              <w:t>2</w:t>
            </w:r>
            <w:r w:rsidR="00C94C8E">
              <w:rPr>
                <w:noProof/>
                <w:webHidden/>
              </w:rPr>
              <w:fldChar w:fldCharType="end"/>
            </w:r>
          </w:hyperlink>
        </w:p>
        <w:p w14:paraId="3AAD50E4" w14:textId="47DA12BD" w:rsidR="00C94C8E" w:rsidRDefault="00746781">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28012B">
              <w:rPr>
                <w:noProof/>
                <w:webHidden/>
              </w:rPr>
              <w:t>3</w:t>
            </w:r>
            <w:r w:rsidR="00C94C8E">
              <w:rPr>
                <w:noProof/>
                <w:webHidden/>
              </w:rPr>
              <w:fldChar w:fldCharType="end"/>
            </w:r>
          </w:hyperlink>
        </w:p>
        <w:p w14:paraId="26050A7B" w14:textId="56CE3F5B" w:rsidR="00C94C8E" w:rsidRDefault="00746781">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28012B">
              <w:rPr>
                <w:noProof/>
                <w:webHidden/>
              </w:rPr>
              <w:t>4</w:t>
            </w:r>
            <w:r w:rsidR="00C94C8E">
              <w:rPr>
                <w:noProof/>
                <w:webHidden/>
              </w:rPr>
              <w:fldChar w:fldCharType="end"/>
            </w:r>
          </w:hyperlink>
        </w:p>
        <w:p w14:paraId="2A6FC762" w14:textId="491D4C59" w:rsidR="00C94C8E" w:rsidRDefault="00746781">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28012B">
              <w:rPr>
                <w:noProof/>
                <w:webHidden/>
              </w:rPr>
              <w:t>4</w:t>
            </w:r>
            <w:r w:rsidR="00C94C8E">
              <w:rPr>
                <w:noProof/>
                <w:webHidden/>
              </w:rPr>
              <w:fldChar w:fldCharType="end"/>
            </w:r>
          </w:hyperlink>
        </w:p>
        <w:p w14:paraId="1D40C502" w14:textId="5C383D74" w:rsidR="00C94C8E" w:rsidRDefault="00746781">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28012B">
              <w:rPr>
                <w:noProof/>
                <w:webHidden/>
              </w:rPr>
              <w:t>4</w:t>
            </w:r>
            <w:r w:rsidR="00C94C8E">
              <w:rPr>
                <w:noProof/>
                <w:webHidden/>
              </w:rPr>
              <w:fldChar w:fldCharType="end"/>
            </w:r>
          </w:hyperlink>
        </w:p>
        <w:p w14:paraId="58D29F5D" w14:textId="79A4282F" w:rsidR="00C94C8E" w:rsidRDefault="00746781">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28012B">
              <w:rPr>
                <w:noProof/>
                <w:webHidden/>
              </w:rPr>
              <w:t>4</w:t>
            </w:r>
            <w:r w:rsidR="00C94C8E">
              <w:rPr>
                <w:noProof/>
                <w:webHidden/>
              </w:rPr>
              <w:fldChar w:fldCharType="end"/>
            </w:r>
          </w:hyperlink>
        </w:p>
        <w:p w14:paraId="2338911F" w14:textId="6B821B9A" w:rsidR="00C94C8E" w:rsidRDefault="00746781">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28012B">
              <w:rPr>
                <w:noProof/>
                <w:webHidden/>
              </w:rPr>
              <w:t>5</w:t>
            </w:r>
            <w:r w:rsidR="00C94C8E">
              <w:rPr>
                <w:noProof/>
                <w:webHidden/>
              </w:rPr>
              <w:fldChar w:fldCharType="end"/>
            </w:r>
          </w:hyperlink>
        </w:p>
        <w:p w14:paraId="4C242009" w14:textId="631F2DCB" w:rsidR="00C94C8E" w:rsidRDefault="00746781">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28012B">
              <w:rPr>
                <w:noProof/>
                <w:webHidden/>
              </w:rPr>
              <w:t>6</w:t>
            </w:r>
            <w:r w:rsidR="00C94C8E">
              <w:rPr>
                <w:noProof/>
                <w:webHidden/>
              </w:rPr>
              <w:fldChar w:fldCharType="end"/>
            </w:r>
          </w:hyperlink>
        </w:p>
        <w:p w14:paraId="20EDE7F1" w14:textId="3F3A11B2" w:rsidR="00C94C8E" w:rsidRDefault="00746781">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28012B">
              <w:rPr>
                <w:noProof/>
                <w:webHidden/>
              </w:rPr>
              <w:t>6</w:t>
            </w:r>
            <w:r w:rsidR="00C94C8E">
              <w:rPr>
                <w:noProof/>
                <w:webHidden/>
              </w:rPr>
              <w:fldChar w:fldCharType="end"/>
            </w:r>
          </w:hyperlink>
        </w:p>
        <w:p w14:paraId="61E7C6E4" w14:textId="7A722BF3" w:rsidR="00C94C8E" w:rsidRDefault="00746781">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28012B">
              <w:rPr>
                <w:noProof/>
                <w:webHidden/>
              </w:rPr>
              <w:t>6</w:t>
            </w:r>
            <w:r w:rsidR="00C94C8E">
              <w:rPr>
                <w:noProof/>
                <w:webHidden/>
              </w:rPr>
              <w:fldChar w:fldCharType="end"/>
            </w:r>
          </w:hyperlink>
        </w:p>
        <w:p w14:paraId="13C5F777" w14:textId="2B803193" w:rsidR="00C94C8E" w:rsidRDefault="00746781">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28012B">
              <w:rPr>
                <w:noProof/>
                <w:webHidden/>
              </w:rPr>
              <w:t>8</w:t>
            </w:r>
            <w:r w:rsidR="00C94C8E">
              <w:rPr>
                <w:noProof/>
                <w:webHidden/>
              </w:rPr>
              <w:fldChar w:fldCharType="end"/>
            </w:r>
          </w:hyperlink>
        </w:p>
        <w:p w14:paraId="2CB35385" w14:textId="4CDD5C70" w:rsidR="00C94C8E" w:rsidRDefault="00746781">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28012B">
              <w:rPr>
                <w:noProof/>
                <w:webHidden/>
              </w:rPr>
              <w:t>10</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4" w:name="_Toc72932733"/>
      <w:bookmarkStart w:id="5" w:name="_Toc75181572"/>
      <w:bookmarkStart w:id="6" w:name="_Toc32519544"/>
      <w:bookmarkStart w:id="7" w:name="_Toc53524891"/>
      <w:r w:rsidRPr="00734894">
        <w:rPr>
          <w:rStyle w:val="normaltextrun"/>
          <w:rFonts w:ascii="Arial" w:hAnsi="Arial" w:cs="Arial"/>
          <w:b/>
          <w:bCs/>
          <w:color w:val="auto"/>
        </w:rPr>
        <w:lastRenderedPageBreak/>
        <w:t>The scope of this investigation</w:t>
      </w:r>
      <w:bookmarkEnd w:id="4"/>
      <w:bookmarkEnd w:id="5"/>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8" w:name="_Toc75181573"/>
      <w:r w:rsidRPr="008A5F04">
        <w:rPr>
          <w:rFonts w:ascii="Arial" w:hAnsi="Arial" w:cs="Arial"/>
          <w:b/>
          <w:bCs/>
          <w:color w:val="auto"/>
        </w:rPr>
        <w:t>Instructions</w:t>
      </w:r>
      <w:bookmarkEnd w:id="6"/>
      <w:bookmarkEnd w:id="7"/>
      <w:bookmarkEnd w:id="8"/>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9" w:name="_Toc72742061"/>
      <w:bookmarkStart w:id="10"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9"/>
      <w:r w:rsidR="007413A9">
        <w:rPr>
          <w:lang w:eastAsia="en-GB"/>
        </w:rPr>
        <w:t>form</w:t>
      </w:r>
      <w:bookmarkEnd w:id="10"/>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3"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1" w:name="_Toc72742062"/>
      <w:bookmarkStart w:id="12"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1"/>
      <w:bookmarkEnd w:id="12"/>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3" w:name="_Toc72742063"/>
      <w:bookmarkStart w:id="14"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3"/>
      <w:bookmarkEnd w:id="14"/>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4">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5" w:name="_Toc32519549"/>
      <w:bookmarkStart w:id="16" w:name="_Toc53524892"/>
      <w:bookmarkStart w:id="17" w:name="_Toc53524939"/>
      <w:bookmarkStart w:id="18" w:name="_Toc53525039"/>
      <w:bookmarkStart w:id="19"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5"/>
      <w:bookmarkEnd w:id="16"/>
      <w:bookmarkEnd w:id="17"/>
      <w:bookmarkEnd w:id="18"/>
      <w:bookmarkEnd w:id="19"/>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5"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6"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20" w:name="_Toc53524893"/>
      <w:bookmarkStart w:id="21" w:name="_Toc75181578"/>
      <w:r w:rsidRPr="7B802894">
        <w:rPr>
          <w:rFonts w:ascii="Arial" w:hAnsi="Arial" w:cs="Arial"/>
          <w:b/>
          <w:bCs/>
          <w:color w:val="auto"/>
        </w:rPr>
        <w:t xml:space="preserve">Section A – Your </w:t>
      </w:r>
      <w:bookmarkEnd w:id="1"/>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20"/>
      <w:bookmarkEnd w:id="21"/>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2" w:name="_Toc11414522"/>
      <w:bookmarkStart w:id="23" w:name="_Toc16852823"/>
      <w:bookmarkStart w:id="24" w:name="_Toc34042324"/>
      <w:bookmarkStart w:id="25" w:name="_Toc47265077"/>
      <w:bookmarkStart w:id="26" w:name="_Toc72754096"/>
      <w:bookmarkStart w:id="27"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2"/>
      <w:bookmarkEnd w:id="23"/>
      <w:bookmarkEnd w:id="24"/>
      <w:bookmarkEnd w:id="25"/>
      <w:bookmarkEnd w:id="26"/>
      <w:bookmarkEnd w:id="27"/>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0A982161" w:rsidR="006A7C48"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RICHARD AUSTIN ALLOYS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094536B8" w14:textId="77777777" w:rsidR="006A7C48"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HOLDING COMPANY OF 6 INDIVIDUAL</w:t>
            </w:r>
          </w:p>
          <w:p w14:paraId="20536CEF" w14:textId="77777777" w:rsidR="00F70D73"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TRADING COMPANIES AROUND THE UK.</w:t>
            </w:r>
          </w:p>
          <w:p w14:paraId="22FE0808" w14:textId="3D4F6757" w:rsidR="00F70D73"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ALL LIMITED COMPANIES</w:t>
            </w:r>
          </w:p>
        </w:tc>
      </w:tr>
      <w:tr w:rsidR="006A7C48" w:rsidRPr="00CF34E0" w14:paraId="4D8F6F2B" w14:textId="77777777" w:rsidTr="0073731F">
        <w:tc>
          <w:tcPr>
            <w:tcW w:w="3402" w:type="dxa"/>
          </w:tcPr>
          <w:p w14:paraId="01BB9CD2" w14:textId="3B86CC10"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2A3C532B" w:rsidR="006A7C48"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1981</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674F54F0" w:rsidR="006A7C48"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n/a</w:t>
            </w: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0E51381A"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5CE1F7BD"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3B07B8C7" w:rsidR="006A7C48"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H/O - DUNIVAIG ROAD, EASTER QUEENSLIE IND. EST. GLASGOW, G33 4TP</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7EF3F06B"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6F5B22BE"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74F8A15C" w:rsidR="006A7C48" w:rsidRPr="00CF34E0" w:rsidRDefault="00F70D7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www.raaltd.com</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8"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8"/>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19A083C4" w:rsidR="00211EE2" w:rsidRPr="00C22BE6" w:rsidRDefault="00211EE2"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20D3E876" w14:textId="0531DA8E" w:rsidR="00211EE2" w:rsidRDefault="00F70D73" w:rsidP="00B10D37">
            <w:pPr>
              <w:keepNext/>
              <w:keepLines/>
              <w:spacing w:line="22" w:lineRule="atLeast"/>
              <w:contextualSpacing/>
            </w:pPr>
            <w:r>
              <w:t xml:space="preserve">RAA are Aluminium and Stainless Steel Stockholders and Distributors servicing </w:t>
            </w:r>
          </w:p>
          <w:p w14:paraId="37FD4765" w14:textId="33064D8A" w:rsidR="00F70D73" w:rsidRDefault="00F70D73" w:rsidP="00B10D37">
            <w:pPr>
              <w:keepNext/>
              <w:keepLines/>
              <w:spacing w:line="22" w:lineRule="atLeast"/>
              <w:contextualSpacing/>
            </w:pPr>
            <w:r>
              <w:t xml:space="preserve">UK manufacturing nationwide – we purchase aluminium extrusions across the world </w:t>
            </w:r>
          </w:p>
          <w:p w14:paraId="3B3C76A6" w14:textId="694FA9B7" w:rsidR="00F70D73" w:rsidRDefault="00F70D73" w:rsidP="00B10D37">
            <w:pPr>
              <w:keepNext/>
              <w:keepLines/>
              <w:spacing w:line="22" w:lineRule="atLeast"/>
              <w:contextualSpacing/>
            </w:pPr>
            <w:r>
              <w:t>dependant on our customer requirements, lead times, complexities of Die and cost.</w:t>
            </w:r>
          </w:p>
          <w:p w14:paraId="13D98505" w14:textId="2E7029A0" w:rsidR="00F70D73" w:rsidRDefault="00693E38" w:rsidP="00B10D37">
            <w:pPr>
              <w:keepNext/>
              <w:keepLines/>
              <w:spacing w:line="22" w:lineRule="atLeast"/>
              <w:contextualSpacing/>
            </w:pPr>
            <w:r>
              <w:t>This includes for UK Mills, Rest of the World and People Republic of China which we purchase through a 3</w:t>
            </w:r>
            <w:r w:rsidRPr="00693E38">
              <w:rPr>
                <w:vertAlign w:val="superscript"/>
              </w:rPr>
              <w:t>rd</w:t>
            </w:r>
            <w:r>
              <w:t xml:space="preserve"> party in UK </w:t>
            </w:r>
            <w:r w:rsidR="00F70D73">
              <w:t xml:space="preserve">  </w:t>
            </w:r>
          </w:p>
          <w:p w14:paraId="0948EF14" w14:textId="77777777" w:rsidR="00F70D73" w:rsidRDefault="00F70D73" w:rsidP="00B10D37">
            <w:pPr>
              <w:keepNext/>
              <w:keepLines/>
              <w:spacing w:line="22" w:lineRule="atLeast"/>
              <w:contextualSpacing/>
            </w:pPr>
          </w:p>
          <w:p w14:paraId="0153462E" w14:textId="77777777" w:rsidR="00F70D73" w:rsidRDefault="00F70D73" w:rsidP="00B10D37">
            <w:pPr>
              <w:keepNext/>
              <w:keepLines/>
              <w:spacing w:line="22" w:lineRule="atLeast"/>
              <w:contextualSpacing/>
            </w:pPr>
          </w:p>
          <w:p w14:paraId="1FF9BB97" w14:textId="77777777" w:rsidR="00211EE2" w:rsidRDefault="00211EE2" w:rsidP="00B10D37">
            <w:pPr>
              <w:keepNext/>
              <w:keepLines/>
              <w:spacing w:line="22" w:lineRule="atLeast"/>
              <w:contextualSpacing/>
            </w:pPr>
          </w:p>
          <w:p w14:paraId="3BFB9904" w14:textId="31454995" w:rsidR="00693E38" w:rsidRDefault="00693E38"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77777777" w:rsidR="00776FDC" w:rsidRPr="00C22BE6" w:rsidRDefault="00776FDC"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739BF72A" w14:textId="11DE9F5A" w:rsidR="00776FDC" w:rsidRDefault="00693E38" w:rsidP="00B10D37">
            <w:pPr>
              <w:keepNext/>
              <w:keepLines/>
              <w:spacing w:line="22" w:lineRule="atLeast"/>
              <w:contextualSpacing/>
              <w:rPr>
                <w:rFonts w:ascii="Arial" w:hAnsi="Arial" w:cs="Arial"/>
                <w:color w:val="808080"/>
              </w:rPr>
            </w:pPr>
            <w:r>
              <w:rPr>
                <w:rFonts w:ascii="Arial" w:hAnsi="Arial" w:cs="Arial"/>
                <w:color w:val="808080"/>
              </w:rPr>
              <w:t>Extrusions supplied fr</w:t>
            </w:r>
            <w:r w:rsidR="0028012B">
              <w:rPr>
                <w:rFonts w:ascii="Arial" w:hAnsi="Arial" w:cs="Arial"/>
                <w:color w:val="808080"/>
              </w:rPr>
              <w:t xml:space="preserve">om PRC account for a </w:t>
            </w:r>
            <w:r>
              <w:rPr>
                <w:rFonts w:ascii="Arial" w:hAnsi="Arial" w:cs="Arial"/>
                <w:color w:val="808080"/>
              </w:rPr>
              <w:t xml:space="preserve">% of our product mix to the UK extrusion market, damage to this route would have short, medium and long term effects to UK manufacturing and potentially damage competitiveness. </w:t>
            </w: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9"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77777777" w:rsidR="005F0A35" w:rsidRDefault="005F0A35" w:rsidP="00B10D37">
            <w:pPr>
              <w:keepNext/>
              <w:keepLines/>
              <w:spacing w:line="22" w:lineRule="atLeast"/>
              <w:contextualSpacing/>
              <w:rPr>
                <w:rFonts w:ascii="Arial" w:hAnsi="Arial" w:cs="Arial"/>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30" w:name="_Toc53524894"/>
      <w:bookmarkStart w:id="31" w:name="_Toc75181581"/>
      <w:r w:rsidRPr="008A5F04">
        <w:rPr>
          <w:rFonts w:ascii="Arial" w:hAnsi="Arial" w:cs="Arial"/>
          <w:b/>
          <w:bCs/>
          <w:color w:val="auto"/>
        </w:rPr>
        <w:t>Section B – Additional information</w:t>
      </w:r>
      <w:bookmarkEnd w:id="29"/>
      <w:bookmarkEnd w:id="30"/>
      <w:bookmarkEnd w:id="31"/>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227124F3"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3691C57" w14:textId="77777777" w:rsidR="00737B46" w:rsidRDefault="00693E38" w:rsidP="00B10D37">
            <w:pPr>
              <w:keepNext/>
              <w:keepLines/>
              <w:spacing w:line="22" w:lineRule="atLeast"/>
              <w:contextualSpacing/>
              <w:rPr>
                <w:rFonts w:ascii="Arial" w:eastAsia="Times New Roman" w:hAnsi="Arial" w:cs="Arial"/>
                <w:color w:val="808080"/>
              </w:rPr>
            </w:pPr>
            <w:r>
              <w:rPr>
                <w:rFonts w:ascii="Arial" w:eastAsia="Times New Roman" w:hAnsi="Arial" w:cs="Arial"/>
                <w:color w:val="808080"/>
              </w:rPr>
              <w:t>UK Extruders inability to satisfy demand in the UK because of insufficient capacity – presently we are being driven to Asia for supply as UK &amp; European mills cannot satisfy current demand – increasingly lead-times in some instances from Asia are sho</w:t>
            </w:r>
            <w:r w:rsidR="00737B46">
              <w:rPr>
                <w:rFonts w:ascii="Arial" w:eastAsia="Times New Roman" w:hAnsi="Arial" w:cs="Arial"/>
                <w:color w:val="808080"/>
              </w:rPr>
              <w:t>rter than those in Europe.</w:t>
            </w:r>
          </w:p>
          <w:p w14:paraId="7B04BAA4" w14:textId="0802DC14" w:rsidR="00FD2A0B" w:rsidRDefault="00737B46" w:rsidP="00B10D37">
            <w:pPr>
              <w:keepNext/>
              <w:keepLines/>
              <w:spacing w:line="22" w:lineRule="atLeast"/>
              <w:contextualSpacing/>
              <w:rPr>
                <w:rFonts w:ascii="Arial" w:eastAsia="Times New Roman" w:hAnsi="Arial" w:cs="Arial"/>
                <w:color w:val="808080"/>
              </w:rPr>
            </w:pPr>
            <w:r>
              <w:rPr>
                <w:rFonts w:ascii="Arial" w:eastAsia="Times New Roman" w:hAnsi="Arial" w:cs="Arial"/>
                <w:color w:val="808080"/>
              </w:rPr>
              <w:t xml:space="preserve">Currently all UK and European mills are increasing their conversion cost month on month while in fact Aluminium on the LME is fairly flat. </w:t>
            </w:r>
            <w:r w:rsidR="00693E38">
              <w:rPr>
                <w:rFonts w:ascii="Arial" w:eastAsia="Times New Roman" w:hAnsi="Arial" w:cs="Arial"/>
                <w:color w:val="808080"/>
              </w:rPr>
              <w:t xml:space="preserve">  </w:t>
            </w:r>
          </w:p>
          <w:p w14:paraId="648048DA" w14:textId="70C1AA6D" w:rsidR="00FD2A0B" w:rsidRDefault="00737B46" w:rsidP="00B10D37">
            <w:pPr>
              <w:keepNext/>
              <w:keepLines/>
              <w:spacing w:line="22" w:lineRule="atLeast"/>
              <w:contextualSpacing/>
              <w:rPr>
                <w:rFonts w:ascii="Arial" w:eastAsia="Times New Roman" w:hAnsi="Arial" w:cs="Arial"/>
                <w:color w:val="808080"/>
              </w:rPr>
            </w:pPr>
            <w:r>
              <w:rPr>
                <w:rFonts w:ascii="Arial" w:eastAsia="Times New Roman" w:hAnsi="Arial" w:cs="Arial"/>
                <w:color w:val="808080"/>
              </w:rPr>
              <w:t>Would argue that PRC actually keeps Europe honest in their pricing policies, at present we are seeing excessive profiteering in the market.</w:t>
            </w: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50B41C85" w:rsidR="005F69B7" w:rsidRDefault="00737B46"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6</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28B6FD26" w:rsidR="00B25D43" w:rsidRDefault="00737B46"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260</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2493FA71" w:rsidR="00B25D43" w:rsidRDefault="00B25D43" w:rsidP="00B10D37">
            <w:pPr>
              <w:spacing w:line="22" w:lineRule="atLeast"/>
              <w:contextualSpacing/>
              <w:rPr>
                <w:rFonts w:ascii="Arial" w:eastAsia="Arial" w:hAnsi="Arial" w:cs="Arial"/>
                <w:color w:val="000000" w:themeColor="text1"/>
              </w:rPr>
            </w:pP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5BFB841C" w:rsidR="00B25D43" w:rsidRDefault="00B25D43" w:rsidP="00B10D37">
            <w:pPr>
              <w:spacing w:line="22" w:lineRule="atLeast"/>
              <w:contextualSpacing/>
              <w:rPr>
                <w:rFonts w:ascii="Arial" w:eastAsia="Arial" w:hAnsi="Arial" w:cs="Arial"/>
                <w:color w:val="000000" w:themeColor="text1"/>
              </w:rPr>
            </w:pP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7528D1CF" w:rsidR="00737B46" w:rsidRDefault="00737B46" w:rsidP="0028012B">
            <w:pPr>
              <w:spacing w:line="22" w:lineRule="atLeast"/>
              <w:contextualSpacing/>
              <w:rPr>
                <w:rFonts w:ascii="Arial" w:eastAsia="Arial" w:hAnsi="Arial" w:cs="Arial"/>
                <w:color w:val="000000" w:themeColor="text1"/>
              </w:rPr>
            </w:pPr>
          </w:p>
        </w:tc>
      </w:tr>
    </w:tbl>
    <w:p w14:paraId="17C789A4" w14:textId="2CF92D0B"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4C010EC2"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77777777" w:rsidR="000E1DC1" w:rsidRDefault="00F61F4E" w:rsidP="00B10D37">
      <w:pPr>
        <w:keepNext/>
        <w:keepLines/>
        <w:spacing w:after="0" w:line="22" w:lineRule="atLeast"/>
        <w:contextualSpacing/>
      </w:pPr>
      <w:r>
        <w:rPr>
          <w:rFonts w:ascii="Arial" w:hAnsi="Arial" w:cs="Arial"/>
          <w:noProof/>
          <w:sz w:val="24"/>
          <w:u w:val="single"/>
          <w:lang w:eastAsia="en-GB"/>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2266246A"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Name</w:t>
      </w:r>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6039BF20"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00737B46">
        <w:rPr>
          <w:rFonts w:ascii="Arial" w:eastAsiaTheme="minorEastAsia" w:hAnsi="Arial" w:cs="Arial"/>
          <w:sz w:val="24"/>
          <w:szCs w:val="24"/>
        </w:rPr>
        <w:t>:</w:t>
      </w:r>
      <w:r w:rsidRPr="009E5DC3">
        <w:rPr>
          <w:rFonts w:ascii="Arial" w:eastAsiaTheme="minorEastAsia" w:hAnsi="Arial" w:cs="Arial"/>
          <w:sz w:val="24"/>
          <w:szCs w:val="24"/>
        </w:rPr>
        <w:t xml:space="preserve"> </w:t>
      </w:r>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0D28D656"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00737B46">
            <w:rPr>
              <w:rFonts w:ascii="Arial" w:eastAsiaTheme="minorEastAsia" w:hAnsi="Arial" w:cs="Arial"/>
              <w:color w:val="FF0000"/>
              <w:sz w:val="24"/>
            </w:rPr>
            <w:t>29.6.21</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E636" w14:textId="77777777" w:rsidR="006D1825" w:rsidRDefault="006D1825">
      <w:pPr>
        <w:spacing w:after="0"/>
      </w:pPr>
      <w:r>
        <w:separator/>
      </w:r>
    </w:p>
  </w:endnote>
  <w:endnote w:type="continuationSeparator" w:id="0">
    <w:p w14:paraId="185CB106" w14:textId="77777777" w:rsidR="006D1825" w:rsidRDefault="006D1825">
      <w:pPr>
        <w:spacing w:after="0"/>
      </w:pPr>
      <w:r>
        <w:continuationSeparator/>
      </w:r>
    </w:p>
  </w:endnote>
  <w:endnote w:type="continuationNotice" w:id="1">
    <w:p w14:paraId="119F93F3" w14:textId="77777777" w:rsidR="006D1825" w:rsidRDefault="006D1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sidR="00CE501F">
          <w:rPr>
            <w:noProof/>
          </w:rPr>
          <w:t>10</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87BB" w14:textId="77777777" w:rsidR="006D1825" w:rsidRDefault="006D1825">
      <w:pPr>
        <w:spacing w:after="0"/>
      </w:pPr>
      <w:r>
        <w:rPr>
          <w:color w:val="000000"/>
        </w:rPr>
        <w:separator/>
      </w:r>
    </w:p>
  </w:footnote>
  <w:footnote w:type="continuationSeparator" w:id="0">
    <w:p w14:paraId="1EBBC1D2" w14:textId="77777777" w:rsidR="006D1825" w:rsidRDefault="006D1825">
      <w:pPr>
        <w:spacing w:after="0"/>
      </w:pPr>
      <w:r>
        <w:continuationSeparator/>
      </w:r>
    </w:p>
  </w:footnote>
  <w:footnote w:type="continuationNotice" w:id="1">
    <w:p w14:paraId="466E19A7" w14:textId="77777777" w:rsidR="006D1825" w:rsidRDefault="006D1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lang w:eastAsia="en-GB"/>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5EE16CBD" w:rsidR="00417845" w:rsidRPr="00A747EF" w:rsidRDefault="00746781"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8012B">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28012B">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F700A"/>
    <w:rsid w:val="00201AFB"/>
    <w:rsid w:val="00211EE2"/>
    <w:rsid w:val="00213780"/>
    <w:rsid w:val="0022088B"/>
    <w:rsid w:val="0024202D"/>
    <w:rsid w:val="00243F6E"/>
    <w:rsid w:val="0026104D"/>
    <w:rsid w:val="00261EFF"/>
    <w:rsid w:val="00266379"/>
    <w:rsid w:val="0028012B"/>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B057F"/>
    <w:rsid w:val="003B0EDB"/>
    <w:rsid w:val="003B1BD7"/>
    <w:rsid w:val="003B7457"/>
    <w:rsid w:val="003C6777"/>
    <w:rsid w:val="003C7EE8"/>
    <w:rsid w:val="003E7989"/>
    <w:rsid w:val="003F0487"/>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83ED1"/>
    <w:rsid w:val="00685479"/>
    <w:rsid w:val="00685ECD"/>
    <w:rsid w:val="00693E38"/>
    <w:rsid w:val="006964C0"/>
    <w:rsid w:val="006A7C48"/>
    <w:rsid w:val="006B79EE"/>
    <w:rsid w:val="006D1825"/>
    <w:rsid w:val="006D28F8"/>
    <w:rsid w:val="006D2C66"/>
    <w:rsid w:val="006E19D7"/>
    <w:rsid w:val="006F1788"/>
    <w:rsid w:val="006F2694"/>
    <w:rsid w:val="006F62DA"/>
    <w:rsid w:val="00723C30"/>
    <w:rsid w:val="00734894"/>
    <w:rsid w:val="0073731F"/>
    <w:rsid w:val="00737AA1"/>
    <w:rsid w:val="00737B46"/>
    <w:rsid w:val="007413A9"/>
    <w:rsid w:val="00746781"/>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D4FBF"/>
    <w:rsid w:val="007E1A5E"/>
    <w:rsid w:val="007E744F"/>
    <w:rsid w:val="00806C7B"/>
    <w:rsid w:val="0081133A"/>
    <w:rsid w:val="00812330"/>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E501F"/>
    <w:rsid w:val="00CF1D8E"/>
    <w:rsid w:val="00D06A39"/>
    <w:rsid w:val="00D20515"/>
    <w:rsid w:val="00D25AD0"/>
    <w:rsid w:val="00D35B7E"/>
    <w:rsid w:val="00D40F5C"/>
    <w:rsid w:val="00D456AA"/>
    <w:rsid w:val="00D51391"/>
    <w:rsid w:val="00D60613"/>
    <w:rsid w:val="00D65E01"/>
    <w:rsid w:val="00D7317D"/>
    <w:rsid w:val="00D7630D"/>
    <w:rsid w:val="00D865A1"/>
    <w:rsid w:val="00D90BB8"/>
    <w:rsid w:val="00DA5748"/>
    <w:rsid w:val="00DB2FC8"/>
    <w:rsid w:val="00DB5A68"/>
    <w:rsid w:val="00DC004D"/>
    <w:rsid w:val="00DC5117"/>
    <w:rsid w:val="00DE52DF"/>
    <w:rsid w:val="00DF1556"/>
    <w:rsid w:val="00DF73E8"/>
    <w:rsid w:val="00DF7973"/>
    <w:rsid w:val="00E04F4D"/>
    <w:rsid w:val="00E2213F"/>
    <w:rsid w:val="00E32A73"/>
    <w:rsid w:val="00E468F6"/>
    <w:rsid w:val="00E77DF8"/>
    <w:rsid w:val="00E915C7"/>
    <w:rsid w:val="00EA29DE"/>
    <w:rsid w:val="00EA722A"/>
    <w:rsid w:val="00EB1092"/>
    <w:rsid w:val="00EC7E2C"/>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0D73"/>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customStyle="1" w:styleId="Mention1">
    <w:name w:val="Mention1"/>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customStyle="1" w:styleId="UnresolvedMention1">
    <w:name w:val="Unresolved Mention1"/>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public/ca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12@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12@traderemedies.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4D"/>
    <w:rsid w:val="0026104D"/>
    <w:rsid w:val="005265C2"/>
    <w:rsid w:val="0060048C"/>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57D363233BC641638F882281230BFC0B">
    <w:name w:val="57D363233BC641638F882281230BFC0B"/>
    <w:rsid w:val="0026104D"/>
  </w:style>
  <w:style w:type="paragraph" w:customStyle="1" w:styleId="786BCA5AFB144955A0C744847B2E301E">
    <w:name w:val="786BCA5AFB144955A0C744847B2E301E"/>
    <w:rsid w:val="0026104D"/>
  </w:style>
  <w:style w:type="paragraph" w:customStyle="1" w:styleId="385F232C666C41CAA991ED872F03F99B">
    <w:name w:val="385F232C666C41CAA991ED872F03F99B"/>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2239CF1-AE3E-4C42-86AD-9167E6E29F68}">
  <ds:schemaRefs>
    <ds:schemaRef ds:uri="http://www.w3.org/XML/1998/namespace"/>
    <ds:schemaRef ds:uri="d948dd80-498e-484c-be5a-642d5fdf5ffb"/>
    <ds:schemaRef ds:uri="http://purl.org/dc/elements/1.1/"/>
    <ds:schemaRef ds:uri="925e8737-fe85-4565-a601-61d813a65f48"/>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EC8946-50B3-4D14-A261-F4AB48D2513A}"/>
</file>

<file path=customXml/itemProps4.xml><?xml version="1.0" encoding="utf-8"?>
<ds:datastoreItem xmlns:ds="http://schemas.openxmlformats.org/officeDocument/2006/customXml" ds:itemID="{78E4BF27-284B-43E1-87D5-0165C8CD0A42}">
  <ds:schemaRefs>
    <ds:schemaRef ds:uri="http://schemas.openxmlformats.org/officeDocument/2006/bibliography"/>
  </ds:schemaRefs>
</ds:datastoreItem>
</file>

<file path=customXml/itemProps5.xml><?xml version="1.0" encoding="utf-8"?>
<ds:datastoreItem xmlns:ds="http://schemas.openxmlformats.org/officeDocument/2006/customXml" ds:itemID="{7CABD16E-F617-4BB1-A1EB-1799293821F3}"/>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2</cp:revision>
  <cp:lastPrinted>2021-07-05T10:13:00Z</cp:lastPrinted>
  <dcterms:created xsi:type="dcterms:W3CDTF">2021-07-13T15:38:00Z</dcterms:created>
  <dcterms:modified xsi:type="dcterms:W3CDTF">2021-07-13T15:38:00Z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