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D42CF" w14:textId="77777777" w:rsidR="00857109" w:rsidRDefault="00857109">
      <w:pPr>
        <w:spacing w:after="0"/>
        <w:jc w:val="left"/>
        <w:rPr>
          <w:b/>
        </w:rPr>
      </w:pPr>
    </w:p>
    <w:p w14:paraId="59CF26F3" w14:textId="77777777" w:rsidR="009E1CB0" w:rsidRDefault="009E1CB0" w:rsidP="009E1CB0">
      <w:pPr>
        <w:jc w:val="center"/>
        <w:rPr>
          <w:b/>
          <w:bCs/>
          <w:sz w:val="28"/>
          <w:szCs w:val="28"/>
        </w:rPr>
      </w:pPr>
    </w:p>
    <w:p w14:paraId="2D6B36D5" w14:textId="0376016E" w:rsidR="009E1CB0" w:rsidRDefault="009E1CB0" w:rsidP="009E1CB0">
      <w:pPr>
        <w:jc w:val="center"/>
        <w:rPr>
          <w:b/>
          <w:bCs/>
          <w:sz w:val="28"/>
          <w:szCs w:val="28"/>
        </w:rPr>
      </w:pPr>
      <w:r>
        <w:rPr>
          <w:b/>
          <w:bCs/>
          <w:sz w:val="28"/>
          <w:szCs w:val="28"/>
        </w:rPr>
        <w:t xml:space="preserve">ANTI-DUMPING </w:t>
      </w:r>
      <w:r w:rsidR="006A628B">
        <w:rPr>
          <w:b/>
          <w:bCs/>
          <w:sz w:val="28"/>
          <w:szCs w:val="28"/>
        </w:rPr>
        <w:t>TRANSITION REVIEW</w:t>
      </w:r>
      <w:r>
        <w:rPr>
          <w:b/>
          <w:bCs/>
          <w:sz w:val="28"/>
          <w:szCs w:val="28"/>
        </w:rPr>
        <w:t xml:space="preserve"> No. </w:t>
      </w:r>
      <w:r w:rsidR="00EB0942">
        <w:rPr>
          <w:b/>
          <w:bCs/>
          <w:sz w:val="28"/>
          <w:szCs w:val="28"/>
        </w:rPr>
        <w:t>TD00</w:t>
      </w:r>
      <w:r w:rsidR="00AD4A78">
        <w:rPr>
          <w:b/>
          <w:bCs/>
          <w:sz w:val="28"/>
          <w:szCs w:val="28"/>
        </w:rPr>
        <w:t>61</w:t>
      </w:r>
    </w:p>
    <w:p w14:paraId="2E13792A" w14:textId="77777777" w:rsidR="00122124" w:rsidRPr="00164655" w:rsidRDefault="00122124" w:rsidP="00122124">
      <w:pPr>
        <w:spacing w:after="120" w:line="250" w:lineRule="auto"/>
        <w:jc w:val="center"/>
        <w:rPr>
          <w:szCs w:val="24"/>
        </w:rPr>
      </w:pPr>
      <w:r>
        <w:rPr>
          <w:szCs w:val="24"/>
        </w:rPr>
        <w:t xml:space="preserve">Anti-dumping transition review on bicycles </w:t>
      </w:r>
      <w:r w:rsidRPr="00164655">
        <w:rPr>
          <w:szCs w:val="24"/>
        </w:rPr>
        <w:t xml:space="preserve">and certain bicycle parts originating in the </w:t>
      </w:r>
    </w:p>
    <w:p w14:paraId="3C1BFE00" w14:textId="77777777" w:rsidR="00122124" w:rsidRPr="00164655" w:rsidRDefault="00122124" w:rsidP="00122124">
      <w:pPr>
        <w:spacing w:after="120" w:line="250" w:lineRule="auto"/>
        <w:jc w:val="center"/>
        <w:rPr>
          <w:szCs w:val="24"/>
        </w:rPr>
      </w:pPr>
      <w:r w:rsidRPr="00164655">
        <w:rPr>
          <w:szCs w:val="24"/>
        </w:rPr>
        <w:t>People’s Republic of China</w:t>
      </w:r>
      <w:r>
        <w:rPr>
          <w:szCs w:val="24"/>
        </w:rPr>
        <w:t xml:space="preserve"> (PRC)</w:t>
      </w:r>
      <w:r w:rsidRPr="00164655">
        <w:rPr>
          <w:szCs w:val="24"/>
        </w:rPr>
        <w:t xml:space="preserve"> (including bicycles consigned from Cambodia, </w:t>
      </w:r>
    </w:p>
    <w:p w14:paraId="18EC1341" w14:textId="77777777" w:rsidR="00122124" w:rsidRPr="007D0E0B" w:rsidRDefault="00122124" w:rsidP="00122124">
      <w:pPr>
        <w:spacing w:after="120" w:line="250" w:lineRule="auto"/>
        <w:jc w:val="center"/>
        <w:rPr>
          <w:szCs w:val="24"/>
        </w:rPr>
      </w:pPr>
      <w:r w:rsidRPr="00164655">
        <w:rPr>
          <w:szCs w:val="24"/>
        </w:rPr>
        <w:t xml:space="preserve">Indonesia, Malaysia, Pakistan, the Philippines, Sri </w:t>
      </w:r>
      <w:proofErr w:type="gramStart"/>
      <w:r w:rsidRPr="00164655">
        <w:rPr>
          <w:szCs w:val="24"/>
        </w:rPr>
        <w:t>Lanka</w:t>
      </w:r>
      <w:proofErr w:type="gramEnd"/>
      <w:r w:rsidRPr="00164655">
        <w:rPr>
          <w:szCs w:val="24"/>
        </w:rPr>
        <w:t xml:space="preserve"> and Tunisia)</w:t>
      </w:r>
      <w:r>
        <w:rPr>
          <w:szCs w:val="24"/>
        </w:rPr>
        <w:t>.</w:t>
      </w:r>
    </w:p>
    <w:p w14:paraId="03CDF0A0" w14:textId="77777777" w:rsidR="00122124" w:rsidRDefault="00122124">
      <w:pPr>
        <w:spacing w:after="0"/>
        <w:jc w:val="center"/>
        <w:rPr>
          <w:b/>
          <w:bCs/>
        </w:rPr>
      </w:pPr>
    </w:p>
    <w:p w14:paraId="1CC8301F" w14:textId="5D6EEED9" w:rsidR="00857109" w:rsidRDefault="00E522E6">
      <w:pPr>
        <w:spacing w:after="0"/>
        <w:jc w:val="center"/>
        <w:rPr>
          <w:b/>
          <w:bCs/>
        </w:rPr>
      </w:pPr>
      <w:r>
        <w:rPr>
          <w:b/>
          <w:bCs/>
        </w:rPr>
        <w:t xml:space="preserve">Notification of </w:t>
      </w:r>
      <w:r w:rsidR="008A63B4">
        <w:rPr>
          <w:b/>
          <w:bCs/>
        </w:rPr>
        <w:t xml:space="preserve">final </w:t>
      </w:r>
      <w:r>
        <w:rPr>
          <w:b/>
          <w:bCs/>
        </w:rPr>
        <w:t>sample</w:t>
      </w:r>
    </w:p>
    <w:p w14:paraId="46EACA16" w14:textId="77777777" w:rsidR="00857109" w:rsidRDefault="00857109">
      <w:pPr>
        <w:spacing w:after="0"/>
        <w:jc w:val="left"/>
        <w:rPr>
          <w:b/>
          <w:bCs/>
        </w:rPr>
      </w:pPr>
    </w:p>
    <w:p w14:paraId="0E396900" w14:textId="77777777" w:rsidR="00BD3D10" w:rsidRDefault="00BD3D10" w:rsidP="00BD3D10">
      <w:pPr>
        <w:spacing w:after="0"/>
        <w:jc w:val="left"/>
      </w:pPr>
      <w:r>
        <w:t xml:space="preserve">Given the number of responses in the registration period, the Trade Remedies Authority (TRA), will limit its examination of exporters/overseas producers and UK producers. </w:t>
      </w:r>
    </w:p>
    <w:p w14:paraId="4C25FFE4" w14:textId="77777777" w:rsidR="008D10B5" w:rsidRDefault="008D10B5">
      <w:pPr>
        <w:spacing w:after="0"/>
        <w:jc w:val="left"/>
      </w:pPr>
    </w:p>
    <w:p w14:paraId="7B855D2A" w14:textId="32BCA60B" w:rsidR="008D10B5" w:rsidRPr="00F21719" w:rsidRDefault="008D10B5">
      <w:pPr>
        <w:spacing w:after="0"/>
        <w:jc w:val="left"/>
      </w:pPr>
      <w:r w:rsidRPr="00F21719">
        <w:t xml:space="preserve">The TRA published </w:t>
      </w:r>
      <w:r w:rsidR="00DE4641" w:rsidRPr="00F21719">
        <w:t xml:space="preserve">the </w:t>
      </w:r>
      <w:hyperlink r:id="rId11" w:history="1">
        <w:r w:rsidR="00DE4641" w:rsidRPr="00F21719">
          <w:rPr>
            <w:rStyle w:val="Hyperlink"/>
          </w:rPr>
          <w:t xml:space="preserve">notice of </w:t>
        </w:r>
        <w:r w:rsidRPr="00F21719">
          <w:rPr>
            <w:rStyle w:val="Hyperlink"/>
          </w:rPr>
          <w:t>proposed sample</w:t>
        </w:r>
      </w:hyperlink>
      <w:r w:rsidRPr="00F21719">
        <w:t xml:space="preserve"> on </w:t>
      </w:r>
      <w:r w:rsidR="007058D9" w:rsidRPr="00F21719">
        <w:t>17</w:t>
      </w:r>
      <w:r w:rsidR="00B36056" w:rsidRPr="00F21719">
        <w:t xml:space="preserve"> </w:t>
      </w:r>
      <w:r w:rsidR="007058D9" w:rsidRPr="00F21719">
        <w:t>October</w:t>
      </w:r>
      <w:r w:rsidR="00B36056" w:rsidRPr="00F21719">
        <w:t xml:space="preserve"> 202</w:t>
      </w:r>
      <w:r w:rsidR="007058D9" w:rsidRPr="00F21719">
        <w:t>4</w:t>
      </w:r>
      <w:r w:rsidR="00B36056" w:rsidRPr="00F21719">
        <w:t>.</w:t>
      </w:r>
      <w:r w:rsidR="00D34F80" w:rsidRPr="00F21719">
        <w:t xml:space="preserve"> </w:t>
      </w:r>
      <w:r w:rsidR="009700DA" w:rsidRPr="00F21719">
        <w:t>T</w:t>
      </w:r>
      <w:r w:rsidR="00D34F80" w:rsidRPr="00F21719">
        <w:t xml:space="preserve">he TRA received </w:t>
      </w:r>
      <w:r w:rsidR="009B2015" w:rsidRPr="00F21719">
        <w:t xml:space="preserve">three </w:t>
      </w:r>
      <w:r w:rsidR="00D34F80" w:rsidRPr="00F21719">
        <w:t>submission</w:t>
      </w:r>
      <w:r w:rsidR="009B2015" w:rsidRPr="00F21719">
        <w:t>s</w:t>
      </w:r>
      <w:r w:rsidR="009700DA" w:rsidRPr="00F21719">
        <w:t xml:space="preserve"> in </w:t>
      </w:r>
      <w:r w:rsidR="008B793B" w:rsidRPr="00F21719">
        <w:t>response</w:t>
      </w:r>
      <w:r w:rsidR="00406654" w:rsidRPr="00F21719">
        <w:t>:</w:t>
      </w:r>
    </w:p>
    <w:p w14:paraId="0713A352" w14:textId="77777777" w:rsidR="001A5EE8" w:rsidRPr="00F21719" w:rsidRDefault="001A5EE8" w:rsidP="001A5EE8">
      <w:pPr>
        <w:spacing w:after="0"/>
        <w:jc w:val="left"/>
      </w:pPr>
    </w:p>
    <w:p w14:paraId="1156244E" w14:textId="65799B11" w:rsidR="00857109" w:rsidRDefault="00B36056" w:rsidP="003F4BAF">
      <w:pPr>
        <w:pStyle w:val="ListParagraph"/>
        <w:numPr>
          <w:ilvl w:val="0"/>
          <w:numId w:val="6"/>
        </w:numPr>
        <w:spacing w:after="0"/>
        <w:jc w:val="left"/>
      </w:pPr>
      <w:r w:rsidRPr="00F21719">
        <w:t xml:space="preserve">The TRA received comments </w:t>
      </w:r>
      <w:r w:rsidR="001A1AFF" w:rsidRPr="00F21719">
        <w:t xml:space="preserve">on behalf of </w:t>
      </w:r>
      <w:r w:rsidR="009C156A" w:rsidRPr="00F21719">
        <w:t xml:space="preserve">a company that wishes to remain </w:t>
      </w:r>
      <w:r w:rsidR="00563071" w:rsidRPr="00F21719">
        <w:t>anonymous,</w:t>
      </w:r>
      <w:r w:rsidR="007C540D" w:rsidRPr="00F21719">
        <w:t xml:space="preserve"> </w:t>
      </w:r>
      <w:r w:rsidR="008C1392" w:rsidRPr="00F21719">
        <w:t xml:space="preserve">requesting that </w:t>
      </w:r>
      <w:r w:rsidR="00D06BB5" w:rsidRPr="00F21719">
        <w:t xml:space="preserve">they </w:t>
      </w:r>
      <w:r w:rsidR="00563071" w:rsidRPr="00F21719">
        <w:t>be included in the UK Producer sample. On reviewing the submission</w:t>
      </w:r>
      <w:r w:rsidR="00FB245B" w:rsidRPr="00F21719">
        <w:t>;</w:t>
      </w:r>
      <w:r w:rsidR="00CF22E1" w:rsidRPr="00F21719">
        <w:t xml:space="preserve"> the previously submitted </w:t>
      </w:r>
      <w:r w:rsidR="00FB245B" w:rsidRPr="00F21719">
        <w:t>p</w:t>
      </w:r>
      <w:r w:rsidR="00CF22E1" w:rsidRPr="00F21719">
        <w:t xml:space="preserve">re-sampling </w:t>
      </w:r>
      <w:r w:rsidR="00FB245B" w:rsidRPr="00F21719">
        <w:t>q</w:t>
      </w:r>
      <w:r w:rsidR="00CF22E1" w:rsidRPr="00F21719">
        <w:t xml:space="preserve">uestionnaire </w:t>
      </w:r>
      <w:r w:rsidR="00FB245B" w:rsidRPr="00F21719">
        <w:t xml:space="preserve">and additional </w:t>
      </w:r>
      <w:r w:rsidR="00D82D96" w:rsidRPr="00F21719">
        <w:t xml:space="preserve">open source documentation </w:t>
      </w:r>
      <w:r w:rsidR="00F62B9B" w:rsidRPr="00F21719">
        <w:t xml:space="preserve">we conclude that this company does not meet the criteria </w:t>
      </w:r>
      <w:r w:rsidR="002F7FC4" w:rsidRPr="00F21719">
        <w:t xml:space="preserve">to be included within the sample and therefore the </w:t>
      </w:r>
      <w:r w:rsidR="00B66502" w:rsidRPr="00F21719">
        <w:t xml:space="preserve">sample will remain as originally stated. </w:t>
      </w:r>
    </w:p>
    <w:p w14:paraId="6197D5F3" w14:textId="77777777" w:rsidR="001948ED" w:rsidRPr="00F21719" w:rsidRDefault="001948ED" w:rsidP="001948ED">
      <w:pPr>
        <w:pStyle w:val="ListParagraph"/>
        <w:spacing w:after="0"/>
        <w:jc w:val="left"/>
      </w:pPr>
    </w:p>
    <w:p w14:paraId="37D933D7" w14:textId="18F7A618" w:rsidR="0034238A" w:rsidRDefault="00927E32" w:rsidP="003F4BAF">
      <w:pPr>
        <w:pStyle w:val="ListParagraph"/>
        <w:numPr>
          <w:ilvl w:val="0"/>
          <w:numId w:val="7"/>
        </w:numPr>
        <w:spacing w:after="0"/>
        <w:jc w:val="left"/>
      </w:pPr>
      <w:r w:rsidRPr="00F21719">
        <w:t xml:space="preserve">The TRA received </w:t>
      </w:r>
      <w:r w:rsidR="00AC2641" w:rsidRPr="00F21719">
        <w:t xml:space="preserve">similar </w:t>
      </w:r>
      <w:r w:rsidRPr="00F21719">
        <w:t>comments from Frog bikes</w:t>
      </w:r>
      <w:r w:rsidR="00AC2641" w:rsidRPr="00F21719">
        <w:t xml:space="preserve"> and Brompton </w:t>
      </w:r>
      <w:r w:rsidR="00D2631C" w:rsidRPr="00F21719">
        <w:t xml:space="preserve">who state </w:t>
      </w:r>
      <w:r w:rsidR="00426DCC" w:rsidRPr="00F21719">
        <w:t xml:space="preserve">there is a greater number of </w:t>
      </w:r>
      <w:r w:rsidR="006A2F1F" w:rsidRPr="00F21719">
        <w:t xml:space="preserve">UK-based producers </w:t>
      </w:r>
      <w:r w:rsidR="00F765EE" w:rsidRPr="00F21719">
        <w:t xml:space="preserve">and a </w:t>
      </w:r>
      <w:r w:rsidR="006A2F1F" w:rsidRPr="00F21719">
        <w:t>further group of businesses in the UK, who manufacture in Europe and import to the UK</w:t>
      </w:r>
      <w:r w:rsidR="00187EC7" w:rsidRPr="00F21719">
        <w:t xml:space="preserve">, that should be included </w:t>
      </w:r>
      <w:r w:rsidR="0034238A" w:rsidRPr="00F21719">
        <w:t>within the sample.</w:t>
      </w:r>
    </w:p>
    <w:p w14:paraId="2621B802" w14:textId="77777777" w:rsidR="001948ED" w:rsidRPr="00F21719" w:rsidRDefault="001948ED" w:rsidP="001948ED">
      <w:pPr>
        <w:pStyle w:val="ListParagraph"/>
        <w:spacing w:after="0"/>
        <w:jc w:val="left"/>
      </w:pPr>
    </w:p>
    <w:p w14:paraId="4E9B72DA" w14:textId="76260918" w:rsidR="00933B5E" w:rsidRDefault="00844509" w:rsidP="003F4BAF">
      <w:pPr>
        <w:pStyle w:val="ListParagraph"/>
        <w:spacing w:after="0"/>
        <w:jc w:val="left"/>
      </w:pPr>
      <w:r w:rsidRPr="00F21719">
        <w:t xml:space="preserve">The sampling decision has been taken </w:t>
      </w:r>
      <w:r w:rsidR="008C2C5C" w:rsidRPr="00F21719">
        <w:t xml:space="preserve">by </w:t>
      </w:r>
      <w:r w:rsidR="00FA1A0B" w:rsidRPr="00F21719">
        <w:t>consider</w:t>
      </w:r>
      <w:r w:rsidR="008C2C5C" w:rsidRPr="00F21719">
        <w:t xml:space="preserve">ing </w:t>
      </w:r>
      <w:r w:rsidR="0053277F" w:rsidRPr="00F21719">
        <w:t xml:space="preserve">the timely </w:t>
      </w:r>
      <w:r w:rsidR="00FA1A0B" w:rsidRPr="00F21719">
        <w:t xml:space="preserve">completion of this review </w:t>
      </w:r>
      <w:r w:rsidR="008C2C5C" w:rsidRPr="00F21719">
        <w:t xml:space="preserve">and the current participation from </w:t>
      </w:r>
      <w:r w:rsidR="004946ED" w:rsidRPr="00F21719">
        <w:t xml:space="preserve">interested parties. </w:t>
      </w:r>
      <w:r w:rsidR="009054B7" w:rsidRPr="00F21719">
        <w:t xml:space="preserve">The sample is taken from those </w:t>
      </w:r>
      <w:r w:rsidR="00BA7AF1" w:rsidRPr="00F21719">
        <w:t>interested parties that currently p</w:t>
      </w:r>
      <w:r w:rsidR="009054B7" w:rsidRPr="00F21719">
        <w:t>roduce</w:t>
      </w:r>
      <w:r w:rsidR="00BA7AF1" w:rsidRPr="00F21719">
        <w:t xml:space="preserve"> </w:t>
      </w:r>
      <w:r w:rsidR="00B41C65" w:rsidRPr="00F21719">
        <w:t>like goods in the UK and are currently registered on the case.</w:t>
      </w:r>
      <w:r w:rsidR="009054B7" w:rsidRPr="00F21719">
        <w:t xml:space="preserve"> </w:t>
      </w:r>
      <w:r w:rsidR="004946ED" w:rsidRPr="00F21719">
        <w:t xml:space="preserve">It would be </w:t>
      </w:r>
      <w:r w:rsidR="00886380" w:rsidRPr="00F21719">
        <w:rPr>
          <w:rFonts w:cs="Arial"/>
          <w:szCs w:val="24"/>
        </w:rPr>
        <w:t xml:space="preserve">unduly burdensome on the case team </w:t>
      </w:r>
      <w:r w:rsidR="004946ED" w:rsidRPr="00F21719">
        <w:rPr>
          <w:rFonts w:cs="Arial"/>
          <w:szCs w:val="24"/>
        </w:rPr>
        <w:t xml:space="preserve">to increase </w:t>
      </w:r>
      <w:r w:rsidR="003717F7" w:rsidRPr="00F21719">
        <w:rPr>
          <w:rFonts w:cs="Arial"/>
          <w:szCs w:val="24"/>
        </w:rPr>
        <w:t>the number of participants within the current sample of UK producers</w:t>
      </w:r>
      <w:r w:rsidR="00B41C65" w:rsidRPr="00F21719">
        <w:rPr>
          <w:rFonts w:cs="Arial"/>
          <w:szCs w:val="24"/>
        </w:rPr>
        <w:t xml:space="preserve"> </w:t>
      </w:r>
      <w:r w:rsidR="00886380" w:rsidRPr="00F21719">
        <w:rPr>
          <w:rFonts w:cs="Arial"/>
          <w:szCs w:val="24"/>
        </w:rPr>
        <w:t xml:space="preserve">and </w:t>
      </w:r>
      <w:r w:rsidR="006B5011" w:rsidRPr="00F21719">
        <w:rPr>
          <w:rFonts w:cs="Arial"/>
          <w:szCs w:val="24"/>
        </w:rPr>
        <w:t xml:space="preserve">expansion would </w:t>
      </w:r>
      <w:r w:rsidR="00886380" w:rsidRPr="00F21719">
        <w:rPr>
          <w:rFonts w:cs="Arial"/>
          <w:szCs w:val="24"/>
        </w:rPr>
        <w:t>likely risk the timely completion of the review</w:t>
      </w:r>
      <w:r w:rsidR="005865A6" w:rsidRPr="00F21719">
        <w:rPr>
          <w:rFonts w:cs="Arial"/>
          <w:szCs w:val="24"/>
        </w:rPr>
        <w:t>.</w:t>
      </w:r>
      <w:r w:rsidR="006352F1" w:rsidRPr="00F21719">
        <w:rPr>
          <w:rFonts w:cs="Arial"/>
          <w:szCs w:val="24"/>
        </w:rPr>
        <w:t xml:space="preserve"> T</w:t>
      </w:r>
      <w:r w:rsidR="006352F1" w:rsidRPr="00F21719">
        <w:t xml:space="preserve">herefore the sample will remain as originally stated. </w:t>
      </w:r>
    </w:p>
    <w:p w14:paraId="7EE1DDBA" w14:textId="77777777" w:rsidR="001948ED" w:rsidRPr="00F21719" w:rsidRDefault="001948ED" w:rsidP="003F4BAF">
      <w:pPr>
        <w:pStyle w:val="ListParagraph"/>
        <w:spacing w:after="0"/>
        <w:jc w:val="left"/>
        <w:rPr>
          <w:rFonts w:cs="Arial"/>
          <w:szCs w:val="24"/>
        </w:rPr>
      </w:pPr>
    </w:p>
    <w:p w14:paraId="692BF72A" w14:textId="320B9859" w:rsidR="00D30234" w:rsidRPr="001948ED" w:rsidRDefault="00516960" w:rsidP="003F4BAF">
      <w:pPr>
        <w:pStyle w:val="ListParagraph"/>
        <w:numPr>
          <w:ilvl w:val="0"/>
          <w:numId w:val="7"/>
        </w:numPr>
        <w:spacing w:after="0"/>
        <w:jc w:val="left"/>
      </w:pPr>
      <w:r w:rsidRPr="00F21719">
        <w:t>On the additional point of anonymity of a party</w:t>
      </w:r>
      <w:r w:rsidR="00804FFE" w:rsidRPr="00F21719">
        <w:t>.</w:t>
      </w:r>
      <w:r w:rsidR="00954D0F" w:rsidRPr="00F21719">
        <w:t xml:space="preserve"> </w:t>
      </w:r>
      <w:r w:rsidR="00F351D3" w:rsidRPr="00F21719">
        <w:rPr>
          <w:rFonts w:cs="Arial"/>
        </w:rPr>
        <w:t>If a party deems it detrimental to their business to have their name published, we have the option of keeping their name from being publicised.</w:t>
      </w:r>
    </w:p>
    <w:p w14:paraId="496CAA68" w14:textId="77777777" w:rsidR="001948ED" w:rsidRPr="00F21719" w:rsidRDefault="001948ED" w:rsidP="001948ED">
      <w:pPr>
        <w:pStyle w:val="ListParagraph"/>
        <w:spacing w:after="0"/>
        <w:jc w:val="left"/>
      </w:pPr>
    </w:p>
    <w:p w14:paraId="5DCB9584" w14:textId="171E5203" w:rsidR="001948ED" w:rsidRDefault="00791F92">
      <w:pPr>
        <w:pStyle w:val="ListParagraph"/>
        <w:numPr>
          <w:ilvl w:val="0"/>
          <w:numId w:val="7"/>
        </w:numPr>
        <w:spacing w:after="0"/>
        <w:jc w:val="left"/>
      </w:pPr>
      <w:r w:rsidRPr="00F21719">
        <w:t>Brompton</w:t>
      </w:r>
      <w:r w:rsidR="00A41A68" w:rsidRPr="00F21719">
        <w:t xml:space="preserve"> state, </w:t>
      </w:r>
      <w:r w:rsidR="0042017B" w:rsidRPr="00F21719">
        <w:t>because of</w:t>
      </w:r>
      <w:r w:rsidR="00A41A68" w:rsidRPr="00F21719">
        <w:t xml:space="preserve"> their omission, </w:t>
      </w:r>
      <w:r w:rsidRPr="00F21719">
        <w:t>folding bikes</w:t>
      </w:r>
      <w:r w:rsidR="0042017B" w:rsidRPr="00F21719">
        <w:t xml:space="preserve"> will be excluded from the review. </w:t>
      </w:r>
      <w:r w:rsidR="009D3A15" w:rsidRPr="00F21719">
        <w:t xml:space="preserve">We do not intent to exclude </w:t>
      </w:r>
      <w:r w:rsidR="000579EB" w:rsidRPr="00F21719">
        <w:t>any category of bike that meets the description of the goods subject to review.</w:t>
      </w:r>
      <w:r w:rsidR="00792113">
        <w:t xml:space="preserve"> However, it would </w:t>
      </w:r>
      <w:r w:rsidR="00AD29EA">
        <w:t xml:space="preserve">be unduly </w:t>
      </w:r>
      <w:r w:rsidR="00AD29EA">
        <w:lastRenderedPageBreak/>
        <w:t>burdensome on the case team to treat data s</w:t>
      </w:r>
      <w:r w:rsidR="00586354">
        <w:t>ubmitted from parties outside the sample</w:t>
      </w:r>
      <w:r w:rsidR="0077111D">
        <w:t xml:space="preserve"> in equal measure. </w:t>
      </w:r>
      <w:r w:rsidR="00586354">
        <w:t xml:space="preserve"> </w:t>
      </w:r>
    </w:p>
    <w:p w14:paraId="1D669400" w14:textId="77777777" w:rsidR="00F344C2" w:rsidRDefault="00F344C2" w:rsidP="00F344C2">
      <w:pPr>
        <w:pStyle w:val="ListParagraph"/>
        <w:spacing w:after="0"/>
        <w:jc w:val="left"/>
      </w:pPr>
    </w:p>
    <w:p w14:paraId="01BB2BBC" w14:textId="20E9F727" w:rsidR="007C540D" w:rsidRDefault="001948ED">
      <w:pPr>
        <w:pStyle w:val="ListParagraph"/>
        <w:numPr>
          <w:ilvl w:val="0"/>
          <w:numId w:val="7"/>
        </w:numPr>
        <w:spacing w:after="0"/>
        <w:jc w:val="left"/>
      </w:pPr>
      <w:r>
        <w:t xml:space="preserve">To clarify the decision </w:t>
      </w:r>
      <w:r w:rsidR="004F4999">
        <w:t xml:space="preserve">on not sampling </w:t>
      </w:r>
      <w:r>
        <w:t>UK importers</w:t>
      </w:r>
      <w:r w:rsidR="00DC2D64">
        <w:t xml:space="preserve">, that is mentioned by Brompton within their submission. </w:t>
      </w:r>
      <w:r w:rsidR="00523419">
        <w:t>It was unnecessary to sample</w:t>
      </w:r>
      <w:r w:rsidR="00B43AE1">
        <w:t xml:space="preserve"> this category</w:t>
      </w:r>
      <w:r w:rsidR="00523419">
        <w:t xml:space="preserve"> as only two UK importers of the goods subject to review </w:t>
      </w:r>
      <w:r w:rsidR="001304FF">
        <w:t>registered an interest in the review. Therefore</w:t>
      </w:r>
      <w:r w:rsidR="00C45857">
        <w:t>,</w:t>
      </w:r>
      <w:r w:rsidR="001304FF">
        <w:t xml:space="preserve"> both parties</w:t>
      </w:r>
      <w:r w:rsidR="002D6B14">
        <w:t xml:space="preserve"> will be required for further participation. </w:t>
      </w:r>
    </w:p>
    <w:p w14:paraId="7D8DCE61" w14:textId="77777777" w:rsidR="002D6B14" w:rsidRDefault="002D6B14" w:rsidP="002D6B14">
      <w:pPr>
        <w:pStyle w:val="ListParagraph"/>
        <w:spacing w:after="0"/>
        <w:jc w:val="left"/>
      </w:pPr>
    </w:p>
    <w:p w14:paraId="124E8727" w14:textId="77777777" w:rsidR="0084084E" w:rsidRDefault="0084084E" w:rsidP="0084084E">
      <w:pPr>
        <w:jc w:val="left"/>
        <w:rPr>
          <w:b/>
        </w:rPr>
      </w:pPr>
      <w:r>
        <w:rPr>
          <w:b/>
        </w:rPr>
        <w:t xml:space="preserve">UK producer sampling </w:t>
      </w:r>
    </w:p>
    <w:p w14:paraId="69A38B2D" w14:textId="62D12DA4" w:rsidR="0084084E" w:rsidRDefault="0084084E" w:rsidP="0084084E">
      <w:pPr>
        <w:spacing w:after="0"/>
        <w:jc w:val="left"/>
      </w:pPr>
      <w:r>
        <w:t xml:space="preserve">Based on the information available to the TRA, the UK producer sample will include the following </w:t>
      </w:r>
      <w:r w:rsidR="00B53879">
        <w:t>two</w:t>
      </w:r>
      <w:r>
        <w:t xml:space="preserve"> UK producers. In accordance with Regulation 56(3)(b) of The Trade Remedies (Dumping and Subsidisation) (EU Exit) Regulations 2019, the sample is based on a statistically valid method of the two UK companies with the largest volume of UK sales and the largest range of </w:t>
      </w:r>
      <w:r w:rsidR="00574C6B">
        <w:t xml:space="preserve">UK produced </w:t>
      </w:r>
      <w:r>
        <w:t>like goods.</w:t>
      </w:r>
    </w:p>
    <w:p w14:paraId="421F3D66" w14:textId="77777777" w:rsidR="0084084E" w:rsidRDefault="0084084E" w:rsidP="0084084E">
      <w:pPr>
        <w:spacing w:after="0"/>
        <w:jc w:val="left"/>
      </w:pPr>
    </w:p>
    <w:p w14:paraId="43835C27" w14:textId="77777777" w:rsidR="0084084E" w:rsidRPr="002C2D02" w:rsidRDefault="0084084E" w:rsidP="0084084E">
      <w:pPr>
        <w:pStyle w:val="ListParagraph"/>
        <w:numPr>
          <w:ilvl w:val="0"/>
          <w:numId w:val="3"/>
        </w:numPr>
        <w:spacing w:after="0"/>
        <w:jc w:val="left"/>
      </w:pPr>
      <w:r w:rsidRPr="002C2D02">
        <w:rPr>
          <w:rFonts w:cs="Arial"/>
          <w:color w:val="000000"/>
        </w:rPr>
        <w:t xml:space="preserve">Frog Bikes Limited </w:t>
      </w:r>
    </w:p>
    <w:p w14:paraId="217325CD" w14:textId="77777777" w:rsidR="0084084E" w:rsidRPr="00CA0F4D" w:rsidRDefault="0084084E" w:rsidP="0084084E">
      <w:pPr>
        <w:pStyle w:val="ListParagraph"/>
        <w:numPr>
          <w:ilvl w:val="0"/>
          <w:numId w:val="3"/>
        </w:numPr>
        <w:spacing w:after="0"/>
        <w:jc w:val="left"/>
      </w:pPr>
      <w:proofErr w:type="spellStart"/>
      <w:r>
        <w:t>Cyclesport</w:t>
      </w:r>
      <w:proofErr w:type="spellEnd"/>
      <w:r>
        <w:t xml:space="preserve"> North Limited </w:t>
      </w:r>
    </w:p>
    <w:p w14:paraId="597DF6F3" w14:textId="77777777" w:rsidR="0084084E" w:rsidRDefault="0084084E" w:rsidP="0084084E">
      <w:pPr>
        <w:spacing w:after="0"/>
        <w:jc w:val="left"/>
      </w:pPr>
    </w:p>
    <w:p w14:paraId="50779B13" w14:textId="778F8E7F" w:rsidR="0084084E" w:rsidRDefault="0084084E" w:rsidP="0084084E">
      <w:pPr>
        <w:jc w:val="left"/>
      </w:pPr>
      <w:r>
        <w:t xml:space="preserve">Sampled UK producers will be expected to provide adequate responses to questionnaires and allow the TRA to </w:t>
      </w:r>
      <w:r w:rsidR="00530794">
        <w:t xml:space="preserve">carry out </w:t>
      </w:r>
      <w:r>
        <w:t>verif</w:t>
      </w:r>
      <w:r w:rsidR="0012639E">
        <w:t>ication</w:t>
      </w:r>
      <w:r w:rsidR="005851B2">
        <w:t xml:space="preserve"> </w:t>
      </w:r>
      <w:r w:rsidR="00AE18D5">
        <w:t>procedures</w:t>
      </w:r>
      <w:r w:rsidR="00141416">
        <w:t xml:space="preserve"> on</w:t>
      </w:r>
      <w:r>
        <w:t xml:space="preserve"> the data provided. </w:t>
      </w:r>
    </w:p>
    <w:p w14:paraId="1784F6BB" w14:textId="77777777" w:rsidR="0084084E" w:rsidRDefault="0084084E" w:rsidP="0084084E">
      <w:pPr>
        <w:jc w:val="left"/>
        <w:rPr>
          <w:b/>
        </w:rPr>
      </w:pPr>
      <w:r>
        <w:rPr>
          <w:b/>
        </w:rPr>
        <w:t xml:space="preserve">UK importer sampling </w:t>
      </w:r>
    </w:p>
    <w:p w14:paraId="62FA1AB4" w14:textId="0435A9AC" w:rsidR="0084084E" w:rsidRDefault="0084084E" w:rsidP="0084084E">
      <w:pPr>
        <w:spacing w:after="0"/>
        <w:jc w:val="left"/>
      </w:pPr>
      <w:r>
        <w:t xml:space="preserve">Based on the information available to the TRA, the UK importers </w:t>
      </w:r>
      <w:r w:rsidR="00793AE1">
        <w:t xml:space="preserve">(of goods subject to review) </w:t>
      </w:r>
      <w:r>
        <w:t xml:space="preserve">will not be sampled. The following participants will be invited to continue participation in the review.  </w:t>
      </w:r>
    </w:p>
    <w:p w14:paraId="2FDF6321" w14:textId="77777777" w:rsidR="0084084E" w:rsidRDefault="0084084E" w:rsidP="0084084E">
      <w:pPr>
        <w:spacing w:after="0"/>
        <w:jc w:val="left"/>
      </w:pPr>
    </w:p>
    <w:p w14:paraId="27EAA682" w14:textId="77777777" w:rsidR="0084084E" w:rsidRPr="002C2D02" w:rsidRDefault="0084084E" w:rsidP="0084084E">
      <w:pPr>
        <w:pStyle w:val="ListParagraph"/>
        <w:numPr>
          <w:ilvl w:val="0"/>
          <w:numId w:val="4"/>
        </w:numPr>
        <w:spacing w:after="0"/>
        <w:jc w:val="left"/>
      </w:pPr>
      <w:r>
        <w:rPr>
          <w:rFonts w:cs="Arial"/>
          <w:color w:val="000000"/>
        </w:rPr>
        <w:t>Halfords Limited</w:t>
      </w:r>
      <w:r w:rsidRPr="002C2D02">
        <w:rPr>
          <w:rFonts w:cs="Arial"/>
          <w:color w:val="000000"/>
        </w:rPr>
        <w:t xml:space="preserve"> </w:t>
      </w:r>
    </w:p>
    <w:p w14:paraId="70028192" w14:textId="77777777" w:rsidR="0084084E" w:rsidRPr="00CA0F4D" w:rsidRDefault="0084084E" w:rsidP="0084084E">
      <w:pPr>
        <w:pStyle w:val="ListParagraph"/>
        <w:numPr>
          <w:ilvl w:val="0"/>
          <w:numId w:val="4"/>
        </w:numPr>
        <w:spacing w:after="0"/>
        <w:jc w:val="left"/>
      </w:pPr>
      <w:r>
        <w:t>Anonymous Company</w:t>
      </w:r>
    </w:p>
    <w:p w14:paraId="2B31AEA8" w14:textId="77777777" w:rsidR="0084084E" w:rsidRDefault="0084084E" w:rsidP="0084084E">
      <w:pPr>
        <w:spacing w:after="0"/>
        <w:jc w:val="left"/>
      </w:pPr>
    </w:p>
    <w:p w14:paraId="61BA6454" w14:textId="31187B35" w:rsidR="00D424BF" w:rsidRDefault="0084084E" w:rsidP="00D424BF">
      <w:pPr>
        <w:jc w:val="left"/>
      </w:pPr>
      <w:r>
        <w:t>Importers will be expected to provide adequate responses to questionnaires and allow the TRA to</w:t>
      </w:r>
      <w:r w:rsidR="00D424BF" w:rsidRPr="00D424BF">
        <w:t xml:space="preserve"> </w:t>
      </w:r>
      <w:r w:rsidR="00D424BF">
        <w:t xml:space="preserve">carry out verification procedures on the data provided. </w:t>
      </w:r>
    </w:p>
    <w:p w14:paraId="5E1EC81A" w14:textId="77777777" w:rsidR="00C129F9" w:rsidRDefault="00C129F9" w:rsidP="00C129F9">
      <w:pPr>
        <w:jc w:val="left"/>
        <w:rPr>
          <w:b/>
        </w:rPr>
      </w:pPr>
      <w:r>
        <w:rPr>
          <w:b/>
        </w:rPr>
        <w:t xml:space="preserve">Exporter/overseas producer sampling </w:t>
      </w:r>
    </w:p>
    <w:p w14:paraId="5DEF77D8" w14:textId="77777777" w:rsidR="00C129F9" w:rsidRDefault="00C129F9" w:rsidP="00C129F9">
      <w:pPr>
        <w:spacing w:after="0"/>
        <w:jc w:val="left"/>
      </w:pPr>
      <w:bookmarkStart w:id="0" w:name="_Hlk37257627"/>
      <w:r>
        <w:t>Based on the information available to the TRA, the exporter/overseas producer sample will include the following 3 exporters/overseas producers. In accordance with Regulation 56(3)(b) of The Trade Remedies (Dumping and Subsidisation) (EU Exit) Regulations 2019, the sample is based on a statistically valid method. In order that the Chinese bicycle market can be assessed holistically the PRC company with the largest volume of domestic sales has been included in the sample together with the only two PRC exporters that have registered an interest in this review and therefore represent a complete, currently available, dataset of exports to the UK.</w:t>
      </w:r>
    </w:p>
    <w:p w14:paraId="46D5709C" w14:textId="77777777" w:rsidR="00C129F9" w:rsidRDefault="00C129F9" w:rsidP="00C129F9">
      <w:pPr>
        <w:spacing w:after="0"/>
        <w:jc w:val="left"/>
      </w:pPr>
    </w:p>
    <w:p w14:paraId="054DF408" w14:textId="77777777" w:rsidR="00C129F9" w:rsidRDefault="00C129F9" w:rsidP="00C129F9">
      <w:pPr>
        <w:pStyle w:val="ListParagraph"/>
        <w:numPr>
          <w:ilvl w:val="0"/>
          <w:numId w:val="1"/>
        </w:numPr>
        <w:spacing w:after="0"/>
        <w:jc w:val="left"/>
      </w:pPr>
      <w:proofErr w:type="spellStart"/>
      <w:r>
        <w:rPr>
          <w:rFonts w:cs="Arial"/>
          <w:color w:val="000000"/>
        </w:rPr>
        <w:t>Oyama</w:t>
      </w:r>
      <w:proofErr w:type="spellEnd"/>
      <w:r>
        <w:rPr>
          <w:rFonts w:cs="Arial"/>
          <w:color w:val="000000"/>
        </w:rPr>
        <w:t xml:space="preserve"> Technology</w:t>
      </w:r>
    </w:p>
    <w:p w14:paraId="1A9784D7" w14:textId="77777777" w:rsidR="00C129F9" w:rsidRPr="00CA0F4D" w:rsidRDefault="00C129F9" w:rsidP="00C129F9">
      <w:pPr>
        <w:pStyle w:val="ListParagraph"/>
        <w:numPr>
          <w:ilvl w:val="0"/>
          <w:numId w:val="1"/>
        </w:numPr>
        <w:spacing w:after="0"/>
      </w:pPr>
      <w:r w:rsidRPr="00166582">
        <w:t xml:space="preserve">Ningbo </w:t>
      </w:r>
      <w:proofErr w:type="spellStart"/>
      <w:r w:rsidRPr="00166582">
        <w:t>Tekmax</w:t>
      </w:r>
      <w:proofErr w:type="spellEnd"/>
      <w:r w:rsidRPr="00166582">
        <w:t xml:space="preserve"> Bicycle Co., Ltd.</w:t>
      </w:r>
    </w:p>
    <w:p w14:paraId="41CFECD8" w14:textId="77777777" w:rsidR="00C129F9" w:rsidRDefault="00C129F9" w:rsidP="00C129F9">
      <w:pPr>
        <w:pStyle w:val="ListParagraph"/>
        <w:numPr>
          <w:ilvl w:val="0"/>
          <w:numId w:val="1"/>
        </w:numPr>
        <w:spacing w:after="0"/>
        <w:jc w:val="left"/>
      </w:pPr>
      <w:r w:rsidRPr="00FC0FC9">
        <w:rPr>
          <w:rFonts w:cs="Arial"/>
          <w:color w:val="000000"/>
        </w:rPr>
        <w:t>Ningbo Nanyang Vehicle Co., Ltd</w:t>
      </w:r>
    </w:p>
    <w:p w14:paraId="60BDF1E9" w14:textId="77777777" w:rsidR="00C129F9" w:rsidRDefault="00C129F9" w:rsidP="00C129F9">
      <w:pPr>
        <w:spacing w:after="0"/>
        <w:jc w:val="left"/>
      </w:pPr>
    </w:p>
    <w:bookmarkEnd w:id="0"/>
    <w:p w14:paraId="4639B691" w14:textId="77777777" w:rsidR="00D424BF" w:rsidRDefault="00C129F9" w:rsidP="00D424BF">
      <w:pPr>
        <w:jc w:val="left"/>
      </w:pPr>
      <w:r>
        <w:lastRenderedPageBreak/>
        <w:t xml:space="preserve">Sampled overseas exporters will be expected to provide adequate responses to questionnaires and allow the TRA to </w:t>
      </w:r>
      <w:r w:rsidR="00D424BF">
        <w:t xml:space="preserve">carry out verification procedures on the data provided. </w:t>
      </w:r>
    </w:p>
    <w:p w14:paraId="36044713" w14:textId="77777777" w:rsidR="00FD3FC7" w:rsidRDefault="00FD3FC7" w:rsidP="00D424BF">
      <w:pPr>
        <w:jc w:val="left"/>
      </w:pPr>
    </w:p>
    <w:p w14:paraId="4B1BE138" w14:textId="66597665" w:rsidR="00FD3FC7" w:rsidRDefault="00FD2ED5" w:rsidP="00D424BF">
      <w:pPr>
        <w:jc w:val="left"/>
      </w:pPr>
      <w:r>
        <w:t>4 November 2024</w:t>
      </w:r>
    </w:p>
    <w:p w14:paraId="71F65082" w14:textId="3487E35E" w:rsidR="00C129F9" w:rsidRDefault="00C129F9" w:rsidP="00C129F9">
      <w:pPr>
        <w:jc w:val="left"/>
      </w:pPr>
      <w:r>
        <w:t xml:space="preserve"> </w:t>
      </w:r>
    </w:p>
    <w:p w14:paraId="5F9B99AB" w14:textId="38B1A688" w:rsidR="00857109" w:rsidRDefault="00857109" w:rsidP="0084084E">
      <w:pPr>
        <w:jc w:val="left"/>
      </w:pPr>
    </w:p>
    <w:sectPr w:rsidR="00857109">
      <w:footerReference w:type="default" r:id="rId12"/>
      <w:headerReference w:type="first" r:id="rId13"/>
      <w:footerReference w:type="first" r:id="rId14"/>
      <w:pgSz w:w="11906" w:h="16838"/>
      <w:pgMar w:top="1440"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01F0A" w14:textId="77777777" w:rsidR="00FC6E07" w:rsidRDefault="00FC6E07">
      <w:pPr>
        <w:spacing w:after="0" w:line="240" w:lineRule="auto"/>
      </w:pPr>
      <w:r>
        <w:separator/>
      </w:r>
    </w:p>
  </w:endnote>
  <w:endnote w:type="continuationSeparator" w:id="0">
    <w:p w14:paraId="6410D9BC" w14:textId="77777777" w:rsidR="00FC6E07" w:rsidRDefault="00FC6E07">
      <w:pPr>
        <w:spacing w:after="0" w:line="240" w:lineRule="auto"/>
      </w:pPr>
      <w:r>
        <w:continuationSeparator/>
      </w:r>
    </w:p>
  </w:endnote>
  <w:endnote w:type="continuationNotice" w:id="1">
    <w:p w14:paraId="7B409D5F" w14:textId="77777777" w:rsidR="00FC6E07" w:rsidRDefault="00FC6E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C6CE5" w14:textId="77777777" w:rsidR="000A0915" w:rsidRDefault="00E522E6">
    <w:pPr>
      <w:pStyle w:val="Footer"/>
      <w:jc w:val="right"/>
    </w:pPr>
    <w:r>
      <w:t xml:space="preserve">Page | </w:t>
    </w:r>
    <w:r>
      <w:fldChar w:fldCharType="begin"/>
    </w:r>
    <w:r>
      <w:instrText xml:space="preserve"> PAGE </w:instrText>
    </w:r>
    <w:r>
      <w:fldChar w:fldCharType="separate"/>
    </w:r>
    <w:r>
      <w:t>2</w:t>
    </w:r>
    <w:r>
      <w:fldChar w:fldCharType="end"/>
    </w:r>
    <w:r>
      <w:t xml:space="preserve"> </w:t>
    </w:r>
  </w:p>
  <w:p w14:paraId="59FA65D5" w14:textId="77777777" w:rsidR="000A0915" w:rsidRDefault="000A09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C0E46" w14:textId="77777777" w:rsidR="000A0915" w:rsidRDefault="00E522E6">
    <w:pPr>
      <w:pStyle w:val="Footer"/>
      <w:jc w:val="right"/>
    </w:pPr>
    <w:r>
      <w:t xml:space="preserve">Page | </w:t>
    </w:r>
    <w:r>
      <w:fldChar w:fldCharType="begin"/>
    </w:r>
    <w:r>
      <w:instrText xml:space="preserve"> PAGE </w:instrText>
    </w:r>
    <w:r>
      <w:fldChar w:fldCharType="separate"/>
    </w:r>
    <w:r>
      <w:t>1</w:t>
    </w:r>
    <w:r>
      <w:fldChar w:fldCharType="end"/>
    </w:r>
    <w:r>
      <w:t xml:space="preserve"> </w:t>
    </w:r>
  </w:p>
  <w:p w14:paraId="052C52AC" w14:textId="77777777" w:rsidR="000A0915" w:rsidRDefault="000A0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C2E1E" w14:textId="77777777" w:rsidR="00FC6E07" w:rsidRDefault="00FC6E07">
      <w:pPr>
        <w:spacing w:after="0" w:line="240" w:lineRule="auto"/>
      </w:pPr>
      <w:r>
        <w:rPr>
          <w:color w:val="000000"/>
        </w:rPr>
        <w:separator/>
      </w:r>
    </w:p>
  </w:footnote>
  <w:footnote w:type="continuationSeparator" w:id="0">
    <w:p w14:paraId="6A7410F2" w14:textId="77777777" w:rsidR="00FC6E07" w:rsidRDefault="00FC6E07">
      <w:pPr>
        <w:spacing w:after="0" w:line="240" w:lineRule="auto"/>
      </w:pPr>
      <w:r>
        <w:continuationSeparator/>
      </w:r>
    </w:p>
  </w:footnote>
  <w:footnote w:type="continuationNotice" w:id="1">
    <w:p w14:paraId="7EC66E2C" w14:textId="77777777" w:rsidR="00FC6E07" w:rsidRDefault="00FC6E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1BBE7" w14:textId="03CEC86E" w:rsidR="000A0915" w:rsidRDefault="009E1CB0">
    <w:pPr>
      <w:pStyle w:val="NoSpacing"/>
    </w:pPr>
    <w:r>
      <w:rPr>
        <w:noProof/>
      </w:rPr>
      <w:drawing>
        <wp:inline distT="0" distB="0" distL="0" distR="0" wp14:anchorId="2EEBD471" wp14:editId="2841BA89">
          <wp:extent cx="1493520" cy="826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4837" cy="83228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3693E"/>
    <w:multiLevelType w:val="hybridMultilevel"/>
    <w:tmpl w:val="1EF86A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330159"/>
    <w:multiLevelType w:val="hybridMultilevel"/>
    <w:tmpl w:val="A0D8FB1A"/>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A74152"/>
    <w:multiLevelType w:val="hybridMultilevel"/>
    <w:tmpl w:val="495A5B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7991B49"/>
    <w:multiLevelType w:val="hybridMultilevel"/>
    <w:tmpl w:val="D3AE3BF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30B4D09"/>
    <w:multiLevelType w:val="hybridMultilevel"/>
    <w:tmpl w:val="495A5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E82F1D"/>
    <w:multiLevelType w:val="hybridMultilevel"/>
    <w:tmpl w:val="495A5B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7D31AC3"/>
    <w:multiLevelType w:val="hybridMultilevel"/>
    <w:tmpl w:val="9490D6D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4947472">
    <w:abstractNumId w:val="4"/>
  </w:num>
  <w:num w:numId="2" w16cid:durableId="615259900">
    <w:abstractNumId w:val="1"/>
  </w:num>
  <w:num w:numId="3" w16cid:durableId="718431555">
    <w:abstractNumId w:val="2"/>
  </w:num>
  <w:num w:numId="4" w16cid:durableId="462702169">
    <w:abstractNumId w:val="5"/>
  </w:num>
  <w:num w:numId="5" w16cid:durableId="570240166">
    <w:abstractNumId w:val="0"/>
  </w:num>
  <w:num w:numId="6" w16cid:durableId="1743021090">
    <w:abstractNumId w:val="6"/>
  </w:num>
  <w:num w:numId="7" w16cid:durableId="10184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pos w:val="sectEnd"/>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109"/>
    <w:rsid w:val="00017405"/>
    <w:rsid w:val="000579EB"/>
    <w:rsid w:val="00077871"/>
    <w:rsid w:val="000A0915"/>
    <w:rsid w:val="000A682D"/>
    <w:rsid w:val="000F6377"/>
    <w:rsid w:val="00122124"/>
    <w:rsid w:val="0012639E"/>
    <w:rsid w:val="001304FF"/>
    <w:rsid w:val="00141416"/>
    <w:rsid w:val="00187EC7"/>
    <w:rsid w:val="001948ED"/>
    <w:rsid w:val="001A1AFF"/>
    <w:rsid w:val="001A5EE8"/>
    <w:rsid w:val="001D4F3F"/>
    <w:rsid w:val="00256B1D"/>
    <w:rsid w:val="002660BE"/>
    <w:rsid w:val="00266B37"/>
    <w:rsid w:val="002C40B3"/>
    <w:rsid w:val="002D6B14"/>
    <w:rsid w:val="002F7FC4"/>
    <w:rsid w:val="0034238A"/>
    <w:rsid w:val="003717F7"/>
    <w:rsid w:val="0038245B"/>
    <w:rsid w:val="003944CD"/>
    <w:rsid w:val="003A3BB7"/>
    <w:rsid w:val="003C5BEE"/>
    <w:rsid w:val="003F4BAF"/>
    <w:rsid w:val="00406654"/>
    <w:rsid w:val="0042017B"/>
    <w:rsid w:val="00422212"/>
    <w:rsid w:val="004249FA"/>
    <w:rsid w:val="00426DCC"/>
    <w:rsid w:val="00477998"/>
    <w:rsid w:val="004946ED"/>
    <w:rsid w:val="004A36E4"/>
    <w:rsid w:val="004B051A"/>
    <w:rsid w:val="004F178E"/>
    <w:rsid w:val="004F4999"/>
    <w:rsid w:val="00516960"/>
    <w:rsid w:val="00523419"/>
    <w:rsid w:val="00530794"/>
    <w:rsid w:val="0053277F"/>
    <w:rsid w:val="005617A8"/>
    <w:rsid w:val="00563071"/>
    <w:rsid w:val="00574C6B"/>
    <w:rsid w:val="005815DB"/>
    <w:rsid w:val="00582A1D"/>
    <w:rsid w:val="005851B2"/>
    <w:rsid w:val="00585A94"/>
    <w:rsid w:val="00586354"/>
    <w:rsid w:val="005865A6"/>
    <w:rsid w:val="005B5133"/>
    <w:rsid w:val="005C7664"/>
    <w:rsid w:val="006352F1"/>
    <w:rsid w:val="00650141"/>
    <w:rsid w:val="00675625"/>
    <w:rsid w:val="00681BE2"/>
    <w:rsid w:val="00684F03"/>
    <w:rsid w:val="00690E39"/>
    <w:rsid w:val="006A2F1F"/>
    <w:rsid w:val="006A628B"/>
    <w:rsid w:val="006B5011"/>
    <w:rsid w:val="007058D9"/>
    <w:rsid w:val="0077111D"/>
    <w:rsid w:val="00791F92"/>
    <w:rsid w:val="00792113"/>
    <w:rsid w:val="00793AE1"/>
    <w:rsid w:val="007A0529"/>
    <w:rsid w:val="007B293D"/>
    <w:rsid w:val="007C540D"/>
    <w:rsid w:val="007E0829"/>
    <w:rsid w:val="007E4579"/>
    <w:rsid w:val="00804FFE"/>
    <w:rsid w:val="008113B4"/>
    <w:rsid w:val="008156B8"/>
    <w:rsid w:val="0084084E"/>
    <w:rsid w:val="00844509"/>
    <w:rsid w:val="00857109"/>
    <w:rsid w:val="008719BB"/>
    <w:rsid w:val="00886380"/>
    <w:rsid w:val="008A63B4"/>
    <w:rsid w:val="008B590C"/>
    <w:rsid w:val="008B715A"/>
    <w:rsid w:val="008B793B"/>
    <w:rsid w:val="008C1392"/>
    <w:rsid w:val="008C2C5C"/>
    <w:rsid w:val="008D10B5"/>
    <w:rsid w:val="009054B7"/>
    <w:rsid w:val="009261C0"/>
    <w:rsid w:val="00927E32"/>
    <w:rsid w:val="0093056E"/>
    <w:rsid w:val="00933B5E"/>
    <w:rsid w:val="0093593D"/>
    <w:rsid w:val="00954D0F"/>
    <w:rsid w:val="00966189"/>
    <w:rsid w:val="009700DA"/>
    <w:rsid w:val="009748AB"/>
    <w:rsid w:val="009B2015"/>
    <w:rsid w:val="009C156A"/>
    <w:rsid w:val="009D3A15"/>
    <w:rsid w:val="009E1CB0"/>
    <w:rsid w:val="009E2F6E"/>
    <w:rsid w:val="009E75A8"/>
    <w:rsid w:val="00A0618F"/>
    <w:rsid w:val="00A41A68"/>
    <w:rsid w:val="00A533E2"/>
    <w:rsid w:val="00A55EE0"/>
    <w:rsid w:val="00AC2641"/>
    <w:rsid w:val="00AD0322"/>
    <w:rsid w:val="00AD29EA"/>
    <w:rsid w:val="00AD4A78"/>
    <w:rsid w:val="00AE18D5"/>
    <w:rsid w:val="00B06ACD"/>
    <w:rsid w:val="00B1779E"/>
    <w:rsid w:val="00B36056"/>
    <w:rsid w:val="00B41C65"/>
    <w:rsid w:val="00B43AE1"/>
    <w:rsid w:val="00B53879"/>
    <w:rsid w:val="00B66502"/>
    <w:rsid w:val="00B708F4"/>
    <w:rsid w:val="00B83716"/>
    <w:rsid w:val="00BA7AF1"/>
    <w:rsid w:val="00BD3D10"/>
    <w:rsid w:val="00C129F9"/>
    <w:rsid w:val="00C36D61"/>
    <w:rsid w:val="00C45857"/>
    <w:rsid w:val="00C46314"/>
    <w:rsid w:val="00C656A0"/>
    <w:rsid w:val="00C74EEA"/>
    <w:rsid w:val="00C770ED"/>
    <w:rsid w:val="00CA0F4D"/>
    <w:rsid w:val="00CC21E2"/>
    <w:rsid w:val="00CC4E5B"/>
    <w:rsid w:val="00CF0B79"/>
    <w:rsid w:val="00CF22E1"/>
    <w:rsid w:val="00D00D2F"/>
    <w:rsid w:val="00D06BB5"/>
    <w:rsid w:val="00D2631C"/>
    <w:rsid w:val="00D30234"/>
    <w:rsid w:val="00D34F80"/>
    <w:rsid w:val="00D424BF"/>
    <w:rsid w:val="00D77B07"/>
    <w:rsid w:val="00D82D96"/>
    <w:rsid w:val="00DC2D64"/>
    <w:rsid w:val="00DD0456"/>
    <w:rsid w:val="00DE4641"/>
    <w:rsid w:val="00DF11AC"/>
    <w:rsid w:val="00E04C85"/>
    <w:rsid w:val="00E522E6"/>
    <w:rsid w:val="00E66DDC"/>
    <w:rsid w:val="00EB0942"/>
    <w:rsid w:val="00ED46F1"/>
    <w:rsid w:val="00EE37B0"/>
    <w:rsid w:val="00EE6823"/>
    <w:rsid w:val="00F21719"/>
    <w:rsid w:val="00F344C2"/>
    <w:rsid w:val="00F351D3"/>
    <w:rsid w:val="00F55CD6"/>
    <w:rsid w:val="00F62B9B"/>
    <w:rsid w:val="00F735C0"/>
    <w:rsid w:val="00F765EE"/>
    <w:rsid w:val="00F91EEB"/>
    <w:rsid w:val="00FA1A0B"/>
    <w:rsid w:val="00FB245B"/>
    <w:rsid w:val="00FB6285"/>
    <w:rsid w:val="00FC6E07"/>
    <w:rsid w:val="00FD2ED5"/>
    <w:rsid w:val="00FD3FC7"/>
    <w:rsid w:val="00FE3C7A"/>
    <w:rsid w:val="00FF7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80A97"/>
  <w15:docId w15:val="{80A501CC-FB8A-42E5-82AF-B5ED503F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PGothic" w:hAnsi="Arial"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jc w:val="both"/>
    </w:pPr>
    <w:rPr>
      <w:sz w:val="24"/>
    </w:rPr>
  </w:style>
  <w:style w:type="paragraph" w:styleId="Heading2">
    <w:name w:val="heading 2"/>
    <w:basedOn w:val="Normal"/>
    <w:next w:val="Normal"/>
    <w:uiPriority w:val="9"/>
    <w:unhideWhenUsed/>
    <w:qFormat/>
    <w:pPr>
      <w:keepNext/>
      <w:keepLines/>
      <w:spacing w:before="40" w:after="0"/>
      <w:outlineLvl w:val="1"/>
    </w:pPr>
    <w:rPr>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NoSpacing">
    <w:name w:val="No Spacing"/>
    <w:pPr>
      <w:suppressAutoHyphens/>
      <w:spacing w:after="0" w:line="240" w:lineRule="auto"/>
    </w:pPr>
    <w:rPr>
      <w:sz w:val="21"/>
      <w:szCs w:val="21"/>
    </w:rPr>
  </w:style>
  <w:style w:type="paragraph" w:styleId="Title">
    <w:name w:val="Title"/>
    <w:basedOn w:val="Normal"/>
    <w:next w:val="Normal"/>
    <w:uiPriority w:val="10"/>
    <w:qFormat/>
    <w:pPr>
      <w:spacing w:after="0" w:line="240" w:lineRule="auto"/>
      <w:jc w:val="center"/>
    </w:pPr>
    <w:rPr>
      <w:spacing w:val="-10"/>
      <w:kern w:val="3"/>
      <w:sz w:val="40"/>
      <w:szCs w:val="56"/>
    </w:rPr>
  </w:style>
  <w:style w:type="character" w:customStyle="1" w:styleId="TitleChar">
    <w:name w:val="Title Char"/>
    <w:basedOn w:val="DefaultParagraphFont"/>
    <w:rPr>
      <w:rFonts w:ascii="Arial" w:eastAsia="MS PGothic" w:hAnsi="Arial" w:cs="Times New Roman"/>
      <w:spacing w:val="-10"/>
      <w:kern w:val="3"/>
      <w:sz w:val="40"/>
      <w:szCs w:val="56"/>
    </w:rPr>
  </w:style>
  <w:style w:type="paragraph" w:styleId="ListParagraph">
    <w:name w:val="List Paragraph"/>
    <w:basedOn w:val="Normal"/>
    <w:pPr>
      <w:ind w:left="720"/>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Arial" w:hAnsi="Arial"/>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sz w:val="20"/>
      <w:szCs w:val="20"/>
    </w:rPr>
  </w:style>
  <w:style w:type="paragraph" w:customStyle="1" w:styleId="paragraph">
    <w:name w:val="paragraph"/>
    <w:basedOn w:val="Normal"/>
    <w:pPr>
      <w:spacing w:after="0" w:line="240" w:lineRule="auto"/>
      <w:jc w:val="left"/>
    </w:pPr>
    <w:rPr>
      <w:rFonts w:ascii="Times New Roman" w:eastAsia="Times New Roman" w:hAnsi="Times New Roman"/>
      <w:szCs w:val="24"/>
      <w:lang w:eastAsia="en-GB"/>
    </w:rPr>
  </w:style>
  <w:style w:type="character" w:customStyle="1" w:styleId="normaltextrun1">
    <w:name w:val="normaltextrun1"/>
    <w:basedOn w:val="DefaultParagraphFont"/>
  </w:style>
  <w:style w:type="character" w:customStyle="1" w:styleId="eop">
    <w:name w:val="eop"/>
    <w:basedOn w:val="DefaultParagraphFont"/>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rFonts w:ascii="Arial" w:hAnsi="Arial"/>
      <w:sz w:val="20"/>
      <w:szCs w:val="20"/>
    </w:rPr>
  </w:style>
  <w:style w:type="character" w:styleId="FootnoteReference">
    <w:name w:val="footnote reference"/>
    <w:basedOn w:val="DefaultParagraphFont"/>
    <w:rPr>
      <w:position w:val="0"/>
      <w:vertAlign w:val="superscript"/>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styleId="EndnoteText">
    <w:name w:val="endnote text"/>
    <w:basedOn w:val="Normal"/>
    <w:pPr>
      <w:spacing w:after="0" w:line="240" w:lineRule="auto"/>
    </w:pPr>
    <w:rPr>
      <w:sz w:val="20"/>
      <w:szCs w:val="20"/>
    </w:rPr>
  </w:style>
  <w:style w:type="character" w:customStyle="1" w:styleId="EndnoteTextChar">
    <w:name w:val="Endnote Text Char"/>
    <w:basedOn w:val="DefaultParagraphFont"/>
    <w:rPr>
      <w:rFonts w:ascii="Arial" w:hAnsi="Arial"/>
      <w:sz w:val="20"/>
      <w:szCs w:val="20"/>
    </w:rPr>
  </w:style>
  <w:style w:type="character" w:styleId="EndnoteReference">
    <w:name w:val="endnote reference"/>
    <w:basedOn w:val="DefaultParagraphFont"/>
    <w:rPr>
      <w:position w:val="0"/>
      <w:vertAlign w:val="superscript"/>
    </w:rPr>
  </w:style>
  <w:style w:type="character" w:customStyle="1" w:styleId="Heading2Char">
    <w:name w:val="Heading 2 Char"/>
    <w:basedOn w:val="DefaultParagraphFont"/>
    <w:rPr>
      <w:rFonts w:ascii="Arial" w:eastAsia="MS PGothic" w:hAnsi="Arial" w:cs="Times New Roman"/>
      <w:color w:val="2F5496"/>
      <w:sz w:val="26"/>
      <w:szCs w:val="26"/>
    </w:rPr>
  </w:style>
  <w:style w:type="paragraph" w:styleId="NormalWeb">
    <w:name w:val="Normal (Web)"/>
    <w:basedOn w:val="Normal"/>
    <w:pPr>
      <w:spacing w:before="100" w:after="100" w:line="240" w:lineRule="auto"/>
      <w:jc w:val="left"/>
    </w:pPr>
    <w:rPr>
      <w:rFonts w:ascii="Times New Roman" w:hAnsi="Times New Roman"/>
      <w:szCs w:val="24"/>
    </w:rPr>
  </w:style>
  <w:style w:type="paragraph" w:styleId="Revision">
    <w:name w:val="Revision"/>
    <w:pPr>
      <w:suppressAutoHyphens/>
      <w:spacing w:after="0" w:line="240" w:lineRule="auto"/>
    </w:pPr>
    <w:rPr>
      <w:sz w:val="24"/>
    </w:rPr>
  </w:style>
  <w:style w:type="table" w:styleId="TableGrid">
    <w:name w:val="Table Grid"/>
    <w:basedOn w:val="TableNormal"/>
    <w:uiPriority w:val="39"/>
    <w:rsid w:val="00CA0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441536">
      <w:bodyDiv w:val="1"/>
      <w:marLeft w:val="0"/>
      <w:marRight w:val="0"/>
      <w:marTop w:val="0"/>
      <w:marBottom w:val="0"/>
      <w:divBdr>
        <w:top w:val="none" w:sz="0" w:space="0" w:color="auto"/>
        <w:left w:val="none" w:sz="0" w:space="0" w:color="auto"/>
        <w:bottom w:val="none" w:sz="0" w:space="0" w:color="auto"/>
        <w:right w:val="none" w:sz="0" w:space="0" w:color="auto"/>
      </w:divBdr>
    </w:div>
    <w:div w:id="822620054">
      <w:bodyDiv w:val="1"/>
      <w:marLeft w:val="0"/>
      <w:marRight w:val="0"/>
      <w:marTop w:val="0"/>
      <w:marBottom w:val="0"/>
      <w:divBdr>
        <w:top w:val="none" w:sz="0" w:space="0" w:color="auto"/>
        <w:left w:val="none" w:sz="0" w:space="0" w:color="auto"/>
        <w:bottom w:val="none" w:sz="0" w:space="0" w:color="auto"/>
        <w:right w:val="none" w:sz="0" w:space="0" w:color="auto"/>
      </w:divBdr>
    </w:div>
    <w:div w:id="1823888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ade-remedies.service.gov.uk/public/case/TD0061/submission/e6ede2d9-d224-414a-970d-7ba373620fc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ase Management Word Document" ma:contentTypeID="0x010100BD08157E53159745B5B23790F58509580C00973D859266AA544FA58681EDCF012872" ma:contentTypeVersion="41" ma:contentTypeDescription="" ma:contentTypeScope="" ma:versionID="922b1407995bfe67da54277f2f34bca3">
  <xsd:schema xmlns:xsd="http://www.w3.org/2001/XMLSchema" xmlns:xs="http://www.w3.org/2001/XMLSchema" xmlns:p="http://schemas.microsoft.com/office/2006/metadata/properties" xmlns:ns2="c14de8ec-1bbe-45d0-9da6-488d8f109529" xmlns:ns3="a933a4ec-650a-4d5f-a231-7b141c4967d1" xmlns:ns4="ca3a8e5f-87ae-44bc-a796-b11748aeb6fc" targetNamespace="http://schemas.microsoft.com/office/2006/metadata/properties" ma:root="true" ma:fieldsID="a1881f4db465d171ad3bb0e2e43f2f0e" ns2:_="" ns3:_="" ns4:_="">
    <xsd:import namespace="c14de8ec-1bbe-45d0-9da6-488d8f109529"/>
    <xsd:import namespace="a933a4ec-650a-4d5f-a231-7b141c4967d1"/>
    <xsd:import namespace="ca3a8e5f-87ae-44bc-a796-b11748aeb6fc"/>
    <xsd:element name="properties">
      <xsd:complexType>
        <xsd:sequence>
          <xsd:element name="documentManagement">
            <xsd:complexType>
              <xsd:all>
                <xsd:element ref="ns2:PartyClass" minOccurs="0"/>
                <xsd:element ref="ns2:PartyName" minOccurs="0"/>
                <xsd:element ref="ns2:Confidential1" minOccurs="0"/>
                <xsd:element ref="ns2:Classification" minOccurs="0"/>
                <xsd:element ref="ns2:CaseNumber" minOccurs="0"/>
                <xsd:element ref="ns2:TradeRemediesServicePublished" minOccurs="0"/>
                <xsd:element ref="ns2:CaseStage" minOccurs="0"/>
                <xsd:element ref="ns2:HeadOfInvestigation" minOccurs="0"/>
                <xsd:element ref="ns2:CaseDocuments" minOccurs="0"/>
                <xsd:element ref="ns2:CaseManager" minOccurs="0"/>
                <xsd:element ref="ns2:DigitalPlatformLink" minOccurs="0"/>
                <xsd:element ref="ns2:CaseStatus" minOccurs="0"/>
                <xsd:element ref="ns3:Reconsideration" minOccurs="0"/>
                <xsd:element ref="ns4:Head_x0020_of_x0020_Reconsideration" minOccurs="0"/>
                <xsd:element ref="ns3:Archived" minOccurs="0"/>
                <xsd:element ref="ns2:g69ac3da6be14936a6d4efc253c7d4fb" minOccurs="0"/>
                <xsd:element ref="ns2:d31dcdc419e54ba5a66b0d6dabf70d98" minOccurs="0"/>
                <xsd:element ref="ns2:TaxCatchAll" minOccurs="0"/>
                <xsd:element ref="ns2:iec7f23346fc44eb94e2c6239fd5bc64" minOccurs="0"/>
                <xsd:element ref="ns4:eacc88ef07bd44da8e59c04bdce4297f" minOccurs="0"/>
                <xsd:element ref="ns2:ec7cf6cc20664fb6b5a505b0c64f4cec" minOccurs="0"/>
                <xsd:element ref="ns2:TaxCatchAllLabel" minOccurs="0"/>
                <xsd:element ref="ns2:d9f98ff6b65a4d219317601d589de7b4" minOccurs="0"/>
                <xsd:element ref="ns3:g0a6705e80434bac9c876cabd8ff0f68"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PartyClass" ma:index="2" nillable="true" ma:displayName="Party Class" ma:format="Dropdown" ma:indexed="true" ma:internalName="PartyClass" ma:readOnly="false">
      <xsd:simpleType>
        <xsd:restriction base="dms:Choice">
          <xsd:enumeration value="Exporter"/>
          <xsd:enumeration value="Overseas Produc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A"/>
        </xsd:restriction>
      </xsd:simpleType>
    </xsd:element>
    <xsd:element name="PartyName" ma:index="3" nillable="true" ma:displayName="Party Name" ma:format="Dropdown" ma:internalName="PartyName">
      <xsd:simpleType>
        <xsd:restriction base="dms:Text">
          <xsd:maxLength value="255"/>
        </xsd:restriction>
      </xsd:simpleType>
    </xsd:element>
    <xsd:element name="Confidential1" ma:index="5" nillable="true" ma:displayName="Confidential" ma:default="1" ma:indexed="true" ma:internalName="Confidential1" ma:readOnly="false">
      <xsd:simpleType>
        <xsd:restriction base="dms:Boolean"/>
      </xsd:simpleType>
    </xsd:element>
    <xsd:element name="Classification" ma:index="6"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CaseNumber" ma:index="8" nillable="true" ma:displayName="Case Number" ma:default="TS0036" ma:format="Dropdown" ma:internalName="CaseNumber" ma:readOnly="false">
      <xsd:simpleType>
        <xsd:restriction base="dms:Text">
          <xsd:maxLength value="255"/>
        </xsd:restriction>
      </xsd:simpleType>
    </xsd:element>
    <xsd:element name="TradeRemediesServicePublished" ma:index="10" nillable="true" ma:displayName="Trade Remedies Service Published" ma:default="No" ma:format="Dropdown" ma:internalName="TradeRemediesServicePublished" ma:readOnly="false">
      <xsd:simpleType>
        <xsd:restriction base="dms:Choice">
          <xsd:enumeration value="No"/>
          <xsd:enumeration value="Confidential"/>
          <xsd:enumeration value="Non-Confidential"/>
        </xsd:restriction>
      </xsd:simpleType>
    </xsd:element>
    <xsd:element name="CaseStage" ma:index="12" nillable="true" ma:displayName="Case Stage" ma:format="Dropdown" ma:internalName="CaseStage" ma:readOnly="fals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14" nillable="true" ma:displayName="Head of Investigation" ma:list="UserInfo" ma:SharePointGroup="0" ma:internalName="HeadOfInvestig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15" nillable="true" ma:displayName="Case Documents" ma:format="Hyperlink" ma:internalName="CaseDocument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16" nillable="true" ma:displayName="Case Manager" ma:list="UserInfo" ma:SharePointGroup="0" ma:internalName="Case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17" nillable="true" ma:displayName="Digital Platform Link" ma:format="Hyperlink" ma:internalName="DigitalPlatform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Status" ma:index="19" nillable="true" ma:displayName="Case Status" ma:default="Active" ma:format="Dropdown" ma:internalName="CaseStatus" ma:readOnly="false">
      <xsd:simpleType>
        <xsd:restriction base="dms:Choice">
          <xsd:enumeration value="Active"/>
          <xsd:enumeration value="Measure in Force"/>
          <xsd:enumeration value="Review"/>
          <xsd:enumeration value="Challenge Ongoing"/>
          <xsd:enumeration value="Measure Ended"/>
        </xsd:restriction>
      </xsd:simpleType>
    </xsd:element>
    <xsd:element name="g69ac3da6be14936a6d4efc253c7d4fb" ma:index="25" ma:taxonomy="true" ma:internalName="g69ac3da6be14936a6d4efc253c7d4fb" ma:taxonomyFieldName="DocumentType" ma:displayName="Document Type" ma:indexed="tru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d31dcdc419e54ba5a66b0d6dabf70d98" ma:index="26" nillable="true" ma:taxonomy="true" ma:internalName="d31dcdc419e54ba5a66b0d6dabf70d98" ma:taxonomyFieldName="CaseProduct" ma:displayName="Goods Concerned" ma:readOnly="false" ma:default="1;#Tyres|019bacad-e58e-4f45-931f-38b747200c2a"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iec7f23346fc44eb94e2c6239fd5bc64" ma:index="28" nillable="true" ma:taxonomy="true" ma:internalName="iec7f23346fc44eb94e2c6239fd5bc64" ma:taxonomyFieldName="CaseCountry" ma:displayName="Case Country" ma:readOnly="false" ma:default="1;#China|450f57c4-d239-451b-a905-81825d5a728d"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ec7cf6cc20664fb6b5a505b0c64f4cec" ma:index="32" nillable="true" ma:taxonomy="true" ma:internalName="ec7cf6cc20664fb6b5a505b0c64f4cec" ma:taxonomyFieldName="CaseType" ma:displayName="Case Type" ma:readOnly="false" ma:default="1;#Transition Countervailing Review|2fe39b6d-2b65-4d5c-a526-3c7bd73b88ec"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d9f98ff6b65a4d219317601d589de7b4" ma:index="35" nillable="true" ma:taxonomy="true" ma:internalName="d9f98ff6b65a4d219317601d589de7b4" ma:taxonomyFieldName="RelatedCountry" ma:displayName="Related Country" ma:readOnly="false" ma:default="1;#Egypt|7bebcf6a-9b35-49fe-bd92-1db41e721742"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33a4ec-650a-4d5f-a231-7b141c4967d1" elementFormDefault="qualified">
    <xsd:import namespace="http://schemas.microsoft.com/office/2006/documentManagement/types"/>
    <xsd:import namespace="http://schemas.microsoft.com/office/infopath/2007/PartnerControls"/>
    <xsd:element name="Reconsideration" ma:index="20" nillable="true" ma:displayName="Reconsideration" ma:default="0" ma:format="Dropdown" ma:indexed="true" ma:internalName="Reconsideration" ma:readOnly="false">
      <xsd:simpleType>
        <xsd:restriction base="dms:Boolean"/>
      </xsd:simpleType>
    </xsd:element>
    <xsd:element name="Archived" ma:index="23" nillable="true" ma:displayName="Archived" ma:default="0" ma:format="Dropdown" ma:internalName="Archived" ma:readOnly="false">
      <xsd:simpleType>
        <xsd:restriction base="dms:Boolean"/>
      </xsd:simpleType>
    </xsd:element>
    <xsd:element name="g0a6705e80434bac9c876cabd8ff0f68" ma:index="37" nillable="true" ma:taxonomy="true" ma:internalName="g0a6705e80434bac9c876cabd8ff0f68" ma:taxonomyFieldName="Reconsideration_x0020_Phase" ma:displayName="Reconsideration Phase" ma:readOnly="false" ma:default="" ma:fieldId="{00a6705e-8043-4bac-9c87-6cabd8ff0f68}" ma:sspId="6e40df2b-c156-4e70-b773-96d34ab3705a" ma:termSetId="5a6bcc14-21c3-4d44-b7fb-f68fd32d1d66" ma:anchorId="00000000-0000-0000-0000-000000000000" ma:open="fals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Head_x0020_of_x0020_Reconsideration" ma:index="21" nillable="true" ma:displayName="Head of Reconsideration" ma:list="UserInfo" ma:SharePointGroup="0" ma:internalName="Head_x0020_of_x0020_Reconsider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acc88ef07bd44da8e59c04bdce4297f" ma:index="31" nillable="true" ma:taxonomy="true" ma:internalName="eacc88ef07bd44da8e59c04bdce4297f" ma:taxonomyFieldName="QC_x0020_Gate" ma:displayName="QC Gate" ma:indexed="true" ma:readOnly="false" ma:default="" ma:fieldId="{eacc88ef-07bd-44da-8e59-c04bdce4297f}" ma:sspId="6e40df2b-c156-4e70-b773-96d34ab3705a" ma:termSetId="eff4e44a-4e7b-4b12-a9da-74cfc39cc00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EC39A2-17FE-4577-A2D5-17A0B5C675F1}">
  <ds:schemaRefs>
    <ds:schemaRef ds:uri="http://www.w3.org/XML/1998/namespace"/>
    <ds:schemaRef ds:uri="ca3a8e5f-87ae-44bc-a796-b11748aeb6fc"/>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elements/1.1/"/>
    <ds:schemaRef ds:uri="a933a4ec-650a-4d5f-a231-7b141c4967d1"/>
    <ds:schemaRef ds:uri="c14de8ec-1bbe-45d0-9da6-488d8f109529"/>
    <ds:schemaRef ds:uri="http://schemas.microsoft.com/office/2006/metadata/properties"/>
  </ds:schemaRefs>
</ds:datastoreItem>
</file>

<file path=customXml/itemProps2.xml><?xml version="1.0" encoding="utf-8"?>
<ds:datastoreItem xmlns:ds="http://schemas.openxmlformats.org/officeDocument/2006/customXml" ds:itemID="{0A36509C-C016-48BF-A322-25A1020FA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a933a4ec-650a-4d5f-a231-7b141c4967d1"/>
    <ds:schemaRef ds:uri="ca3a8e5f-87ae-44bc-a796-b11748aeb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DCD785-AC5C-4FCD-88C6-CEFF7CD663C8}"/>
</file>

<file path=customXml/itemProps4.xml><?xml version="1.0" encoding="utf-8"?>
<ds:datastoreItem xmlns:ds="http://schemas.openxmlformats.org/officeDocument/2006/customXml" ds:itemID="{5B0C9B0F-43BD-4593-AA71-C9E1FCC21E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CharactersWithSpaces>
  <SharedDoc>false</SharedDoc>
  <HLinks>
    <vt:vector size="6" baseType="variant">
      <vt:variant>
        <vt:i4>1376325</vt:i4>
      </vt:variant>
      <vt:variant>
        <vt:i4>0</vt:i4>
      </vt:variant>
      <vt:variant>
        <vt:i4>0</vt:i4>
      </vt:variant>
      <vt:variant>
        <vt:i4>5</vt:i4>
      </vt:variant>
      <vt:variant>
        <vt:lpwstr>https://www.trade-remedies.service.gov.uk/public/case/TD0061/submission/e6ede2d9-d224-414a-970d-7ba373620fc1/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2021-07-09T20:57:00Z</cp:lastPrinted>
  <dcterms:created xsi:type="dcterms:W3CDTF">2024-11-04T10:17:00Z</dcterms:created>
  <dcterms:modified xsi:type="dcterms:W3CDTF">2024-11-04T10:17:00Z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Order">
    <vt:r8>1533500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OperationalTheme">
    <vt:lpwstr>16;#Template|7d6a4491-3447-474e-a4e3-66958963e4db</vt:lpwstr>
  </property>
  <property fmtid="{D5CDD505-2E9C-101B-9397-08002B2CF9AE}" pid="18" name="DocumentType">
    <vt:lpwstr>67;#Note|1badfd84-2193-4a3c-9186-0cbcd1b6703a</vt:lpwstr>
  </property>
  <property fmtid="{D5CDD505-2E9C-101B-9397-08002B2CF9AE}" pid="19" name="RelatedCountry">
    <vt:lpwstr/>
  </property>
  <property fmtid="{D5CDD505-2E9C-101B-9397-08002B2CF9AE}" pid="20" name="CaseProduct">
    <vt:lpwstr>187</vt:lpwstr>
  </property>
  <property fmtid="{D5CDD505-2E9C-101B-9397-08002B2CF9AE}" pid="21" name="CaseCountry">
    <vt:lpwstr>31;#China|450f57c4-d239-451b-a905-81825d5a728d</vt:lpwstr>
  </property>
  <property fmtid="{D5CDD505-2E9C-101B-9397-08002B2CF9AE}" pid="22" name="CaseType">
    <vt:lpwstr>30</vt:lpwstr>
  </property>
  <property fmtid="{D5CDD505-2E9C-101B-9397-08002B2CF9AE}" pid="23" name="_docset_NoMedatataSyncRequired">
    <vt:lpwstr>False</vt:lpwstr>
  </property>
  <property fmtid="{D5CDD505-2E9C-101B-9397-08002B2CF9AE}" pid="24" name="JointChiefInvestigator">
    <vt:lpwstr>21;#John Kirkpatrick</vt:lpwstr>
  </property>
  <property fmtid="{D5CDD505-2E9C-101B-9397-08002B2CF9AE}" pid="25" name="MediaServiceImageTags">
    <vt:lpwstr/>
  </property>
  <property fmtid="{D5CDD505-2E9C-101B-9397-08002B2CF9AE}" pid="26" name="lcf76f155ced4ddcb4097134ff3c332f">
    <vt:lpwstr/>
  </property>
  <property fmtid="{D5CDD505-2E9C-101B-9397-08002B2CF9AE}" pid="27" name="l7d4d839682148a3803912ed0553a91f">
    <vt:lpwstr/>
  </property>
  <property fmtid="{D5CDD505-2E9C-101B-9397-08002B2CF9AE}" pid="28" name="Party_x0020_Class_x0020__x0028_Test_x0029_0">
    <vt:lpwstr/>
  </property>
  <property fmtid="{D5CDD505-2E9C-101B-9397-08002B2CF9AE}" pid="29" name="je5f999ba81145d0a853d1225b304e8c">
    <vt:lpwstr/>
  </property>
  <property fmtid="{D5CDD505-2E9C-101B-9397-08002B2CF9AE}" pid="30" name="QC_x0020_Gate0">
    <vt:lpwstr/>
  </property>
  <property fmtid="{D5CDD505-2E9C-101B-9397-08002B2CF9AE}" pid="31" name="Party_x0020_Class_x0020__x0028_Test_x0029_">
    <vt:lpwstr/>
  </property>
  <property fmtid="{D5CDD505-2E9C-101B-9397-08002B2CF9AE}" pid="32" name="h31aa1d1531c459d9eb5ec40e81997b1">
    <vt:lpwstr/>
  </property>
  <property fmtid="{D5CDD505-2E9C-101B-9397-08002B2CF9AE}" pid="33" name="Party Class (Test)">
    <vt:lpwstr/>
  </property>
  <property fmtid="{D5CDD505-2E9C-101B-9397-08002B2CF9AE}" pid="34" name="QC Gate0">
    <vt:lpwstr/>
  </property>
  <property fmtid="{D5CDD505-2E9C-101B-9397-08002B2CF9AE}" pid="35" name="Party Class (Test)0">
    <vt:lpwstr/>
  </property>
  <property fmtid="{D5CDD505-2E9C-101B-9397-08002B2CF9AE}" pid="36" name="QC_x0020_Gate">
    <vt:lpwstr/>
  </property>
  <property fmtid="{D5CDD505-2E9C-101B-9397-08002B2CF9AE}" pid="37" name="QC Gate">
    <vt:lpwstr/>
  </property>
  <property fmtid="{D5CDD505-2E9C-101B-9397-08002B2CF9AE}" pid="38" name="Reconsideration_x0020_Phase">
    <vt:lpwstr/>
  </property>
  <property fmtid="{D5CDD505-2E9C-101B-9397-08002B2CF9AE}" pid="39" name="Reconsideration Phase">
    <vt:lpwstr/>
  </property>
</Properties>
</file>