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BEB03" w14:textId="77777777" w:rsidR="00136A8C" w:rsidRDefault="00136A8C"/>
    <w:p w14:paraId="0046012A" w14:textId="3B3907A9" w:rsidR="00136A8C" w:rsidRPr="00136A8C" w:rsidRDefault="00136A8C" w:rsidP="00136A8C">
      <w:pPr>
        <w:spacing w:line="240" w:lineRule="auto"/>
        <w:jc w:val="center"/>
        <w:rPr>
          <w:rFonts w:ascii="Arial" w:hAnsi="Arial" w:cs="Arial"/>
          <w:b/>
          <w:bCs/>
          <w:sz w:val="24"/>
          <w:szCs w:val="24"/>
        </w:rPr>
      </w:pPr>
      <w:r w:rsidRPr="00136A8C">
        <w:rPr>
          <w:rFonts w:ascii="Arial" w:hAnsi="Arial" w:cs="Arial"/>
          <w:b/>
          <w:bCs/>
          <w:sz w:val="24"/>
          <w:szCs w:val="24"/>
        </w:rPr>
        <w:t>ANTI-DUMPING INVESTIGATION No. AD00</w:t>
      </w:r>
      <w:r>
        <w:rPr>
          <w:rFonts w:ascii="Arial" w:hAnsi="Arial" w:cs="Arial"/>
          <w:b/>
          <w:bCs/>
          <w:sz w:val="24"/>
          <w:szCs w:val="24"/>
        </w:rPr>
        <w:t>62</w:t>
      </w:r>
    </w:p>
    <w:p w14:paraId="6626BC19" w14:textId="2706AC2A" w:rsidR="00136A8C" w:rsidRPr="00136A8C" w:rsidRDefault="00136A8C" w:rsidP="00136A8C">
      <w:pPr>
        <w:spacing w:line="240" w:lineRule="auto"/>
        <w:jc w:val="center"/>
        <w:rPr>
          <w:rFonts w:ascii="Arial" w:hAnsi="Arial" w:cs="Arial"/>
          <w:b/>
          <w:bCs/>
          <w:sz w:val="24"/>
          <w:szCs w:val="24"/>
        </w:rPr>
      </w:pPr>
      <w:r w:rsidRPr="00136A8C">
        <w:rPr>
          <w:rFonts w:ascii="Arial" w:hAnsi="Arial" w:cs="Arial"/>
          <w:b/>
          <w:bCs/>
          <w:sz w:val="24"/>
          <w:szCs w:val="24"/>
        </w:rPr>
        <w:t xml:space="preserve">Anti-dumping </w:t>
      </w:r>
      <w:r>
        <w:rPr>
          <w:rFonts w:ascii="Arial" w:hAnsi="Arial" w:cs="Arial"/>
          <w:b/>
          <w:bCs/>
          <w:sz w:val="24"/>
          <w:szCs w:val="24"/>
        </w:rPr>
        <w:t>investigation</w:t>
      </w:r>
      <w:r w:rsidRPr="00136A8C">
        <w:rPr>
          <w:rFonts w:ascii="Arial" w:hAnsi="Arial" w:cs="Arial"/>
          <w:b/>
          <w:bCs/>
          <w:sz w:val="24"/>
          <w:szCs w:val="24"/>
        </w:rPr>
        <w:t xml:space="preserve"> – </w:t>
      </w:r>
      <w:r>
        <w:rPr>
          <w:rFonts w:ascii="Arial" w:hAnsi="Arial" w:cs="Arial"/>
          <w:b/>
          <w:bCs/>
          <w:sz w:val="24"/>
          <w:szCs w:val="24"/>
        </w:rPr>
        <w:t>Tin Mill Products</w:t>
      </w:r>
      <w:r w:rsidRPr="00136A8C">
        <w:rPr>
          <w:rFonts w:ascii="Arial" w:hAnsi="Arial" w:cs="Arial"/>
          <w:b/>
          <w:bCs/>
          <w:sz w:val="24"/>
          <w:szCs w:val="24"/>
        </w:rPr>
        <w:t xml:space="preserve"> from the </w:t>
      </w:r>
      <w:r>
        <w:rPr>
          <w:rFonts w:ascii="Arial" w:hAnsi="Arial" w:cs="Arial"/>
          <w:b/>
          <w:bCs/>
          <w:sz w:val="24"/>
          <w:szCs w:val="24"/>
        </w:rPr>
        <w:t>People’s Republic of China (PRC)</w:t>
      </w:r>
    </w:p>
    <w:p w14:paraId="7D576DC4" w14:textId="1C6DD55B" w:rsidR="00136A8C" w:rsidRPr="00136A8C" w:rsidRDefault="00136A8C" w:rsidP="00136A8C">
      <w:pPr>
        <w:spacing w:line="240" w:lineRule="auto"/>
        <w:jc w:val="center"/>
        <w:rPr>
          <w:rFonts w:ascii="Arial" w:hAnsi="Arial" w:cs="Arial"/>
          <w:b/>
          <w:bCs/>
          <w:sz w:val="24"/>
          <w:szCs w:val="24"/>
        </w:rPr>
      </w:pPr>
      <w:r w:rsidRPr="00136A8C">
        <w:rPr>
          <w:rFonts w:ascii="Arial" w:hAnsi="Arial" w:cs="Arial"/>
          <w:b/>
          <w:bCs/>
          <w:sz w:val="24"/>
          <w:szCs w:val="24"/>
        </w:rPr>
        <w:t>Note to Public File – Sampling Approach</w:t>
      </w:r>
    </w:p>
    <w:p w14:paraId="363EEF5F" w14:textId="052E8003" w:rsidR="00136A8C" w:rsidRPr="00136A8C" w:rsidRDefault="00552211" w:rsidP="00136A8C">
      <w:pPr>
        <w:spacing w:line="240" w:lineRule="auto"/>
        <w:jc w:val="center"/>
        <w:rPr>
          <w:rFonts w:ascii="Arial" w:hAnsi="Arial" w:cs="Arial"/>
          <w:b/>
          <w:bCs/>
          <w:sz w:val="24"/>
          <w:szCs w:val="24"/>
        </w:rPr>
      </w:pPr>
      <w:r>
        <w:rPr>
          <w:rFonts w:ascii="Arial" w:hAnsi="Arial" w:cs="Arial"/>
          <w:b/>
          <w:bCs/>
          <w:sz w:val="24"/>
          <w:szCs w:val="24"/>
        </w:rPr>
        <w:t>17</w:t>
      </w:r>
      <w:r w:rsidR="00136A8C" w:rsidRPr="00136A8C">
        <w:rPr>
          <w:rFonts w:ascii="Arial" w:hAnsi="Arial" w:cs="Arial"/>
          <w:b/>
          <w:bCs/>
          <w:sz w:val="24"/>
          <w:szCs w:val="24"/>
        </w:rPr>
        <w:t xml:space="preserve"> </w:t>
      </w:r>
      <w:r w:rsidR="00136A8C">
        <w:rPr>
          <w:rFonts w:ascii="Arial" w:hAnsi="Arial" w:cs="Arial"/>
          <w:b/>
          <w:bCs/>
          <w:sz w:val="24"/>
          <w:szCs w:val="24"/>
        </w:rPr>
        <w:t>October</w:t>
      </w:r>
      <w:r w:rsidR="00136A8C" w:rsidRPr="00136A8C">
        <w:rPr>
          <w:rFonts w:ascii="Arial" w:hAnsi="Arial" w:cs="Arial"/>
          <w:b/>
          <w:bCs/>
          <w:sz w:val="24"/>
          <w:szCs w:val="24"/>
        </w:rPr>
        <w:t xml:space="preserve"> 2024</w:t>
      </w:r>
    </w:p>
    <w:p w14:paraId="5404420E" w14:textId="77777777" w:rsidR="00136A8C" w:rsidRPr="00136A8C" w:rsidRDefault="00136A8C">
      <w:pPr>
        <w:rPr>
          <w:rFonts w:ascii="Arial" w:hAnsi="Arial" w:cs="Arial"/>
        </w:rPr>
      </w:pPr>
    </w:p>
    <w:p w14:paraId="7A3A56F0" w14:textId="12A7299F" w:rsidR="00136A8C" w:rsidRDefault="00136A8C">
      <w:pPr>
        <w:rPr>
          <w:rFonts w:ascii="Arial" w:hAnsi="Arial" w:cs="Arial"/>
          <w:sz w:val="24"/>
          <w:szCs w:val="24"/>
        </w:rPr>
      </w:pPr>
      <w:r w:rsidRPr="00136A8C">
        <w:rPr>
          <w:rFonts w:ascii="Arial" w:hAnsi="Arial" w:cs="Arial"/>
          <w:sz w:val="24"/>
          <w:szCs w:val="24"/>
        </w:rPr>
        <w:t xml:space="preserve">As stated in the </w:t>
      </w:r>
      <w:hyperlink r:id="rId11" w:history="1">
        <w:r w:rsidRPr="00136A8C">
          <w:rPr>
            <w:rStyle w:val="Hyperlink"/>
            <w:rFonts w:ascii="Arial" w:hAnsi="Arial" w:cs="Arial"/>
            <w:sz w:val="24"/>
            <w:szCs w:val="24"/>
          </w:rPr>
          <w:t>Notice of Initiation</w:t>
        </w:r>
      </w:hyperlink>
      <w:r w:rsidRPr="00136A8C">
        <w:rPr>
          <w:rFonts w:ascii="Arial" w:hAnsi="Arial" w:cs="Arial"/>
          <w:sz w:val="24"/>
          <w:szCs w:val="24"/>
        </w:rPr>
        <w:t xml:space="preserve"> (NOI), depending on the number of parties registering an interest in the investigation, we may consider it appropriate to limit examination to a sample of:</w:t>
      </w:r>
    </w:p>
    <w:p w14:paraId="2099EE37" w14:textId="77777777" w:rsidR="00136A8C" w:rsidRDefault="00136A8C" w:rsidP="00136A8C">
      <w:pPr>
        <w:pStyle w:val="ListParagraph"/>
        <w:numPr>
          <w:ilvl w:val="0"/>
          <w:numId w:val="1"/>
        </w:numPr>
        <w:rPr>
          <w:rFonts w:ascii="Arial" w:hAnsi="Arial" w:cs="Arial"/>
          <w:sz w:val="24"/>
          <w:szCs w:val="24"/>
        </w:rPr>
      </w:pPr>
      <w:r w:rsidRPr="00136A8C">
        <w:rPr>
          <w:rFonts w:ascii="Arial" w:hAnsi="Arial" w:cs="Arial"/>
          <w:sz w:val="24"/>
          <w:szCs w:val="24"/>
        </w:rPr>
        <w:t xml:space="preserve">overseas exporters; </w:t>
      </w:r>
    </w:p>
    <w:p w14:paraId="78E46812" w14:textId="77777777" w:rsidR="00136A8C" w:rsidRDefault="00136A8C" w:rsidP="00136A8C">
      <w:pPr>
        <w:pStyle w:val="ListParagraph"/>
        <w:numPr>
          <w:ilvl w:val="0"/>
          <w:numId w:val="1"/>
        </w:numPr>
        <w:rPr>
          <w:rFonts w:ascii="Arial" w:hAnsi="Arial" w:cs="Arial"/>
          <w:sz w:val="24"/>
          <w:szCs w:val="24"/>
        </w:rPr>
      </w:pPr>
      <w:r w:rsidRPr="00136A8C">
        <w:rPr>
          <w:rFonts w:ascii="Arial" w:hAnsi="Arial" w:cs="Arial"/>
          <w:sz w:val="24"/>
          <w:szCs w:val="24"/>
        </w:rPr>
        <w:t xml:space="preserve">overseas producers; </w:t>
      </w:r>
    </w:p>
    <w:p w14:paraId="62545B12" w14:textId="77777777" w:rsidR="00136A8C" w:rsidRDefault="00136A8C" w:rsidP="00136A8C">
      <w:pPr>
        <w:pStyle w:val="ListParagraph"/>
        <w:numPr>
          <w:ilvl w:val="0"/>
          <w:numId w:val="1"/>
        </w:numPr>
        <w:rPr>
          <w:rFonts w:ascii="Arial" w:hAnsi="Arial" w:cs="Arial"/>
          <w:sz w:val="24"/>
          <w:szCs w:val="24"/>
        </w:rPr>
      </w:pPr>
      <w:r w:rsidRPr="00136A8C">
        <w:rPr>
          <w:rFonts w:ascii="Arial" w:hAnsi="Arial" w:cs="Arial"/>
          <w:sz w:val="24"/>
          <w:szCs w:val="24"/>
        </w:rPr>
        <w:t xml:space="preserve">importers; </w:t>
      </w:r>
    </w:p>
    <w:p w14:paraId="6242E40D" w14:textId="77777777" w:rsidR="00136A8C" w:rsidRDefault="00136A8C" w:rsidP="00136A8C">
      <w:pPr>
        <w:pStyle w:val="ListParagraph"/>
        <w:numPr>
          <w:ilvl w:val="0"/>
          <w:numId w:val="1"/>
        </w:numPr>
        <w:rPr>
          <w:rFonts w:ascii="Arial" w:hAnsi="Arial" w:cs="Arial"/>
          <w:sz w:val="24"/>
          <w:szCs w:val="24"/>
        </w:rPr>
      </w:pPr>
      <w:r w:rsidRPr="00136A8C">
        <w:rPr>
          <w:rFonts w:ascii="Arial" w:hAnsi="Arial" w:cs="Arial"/>
          <w:sz w:val="24"/>
          <w:szCs w:val="24"/>
        </w:rPr>
        <w:t xml:space="preserve">categories of goods; </w:t>
      </w:r>
    </w:p>
    <w:p w14:paraId="15A4F04C" w14:textId="77777777" w:rsidR="00136A8C" w:rsidRDefault="00136A8C" w:rsidP="00136A8C">
      <w:pPr>
        <w:pStyle w:val="ListParagraph"/>
        <w:numPr>
          <w:ilvl w:val="0"/>
          <w:numId w:val="1"/>
        </w:numPr>
        <w:rPr>
          <w:rFonts w:ascii="Arial" w:hAnsi="Arial" w:cs="Arial"/>
          <w:sz w:val="24"/>
          <w:szCs w:val="24"/>
        </w:rPr>
      </w:pPr>
      <w:r w:rsidRPr="00136A8C">
        <w:rPr>
          <w:rFonts w:ascii="Arial" w:hAnsi="Arial" w:cs="Arial"/>
          <w:sz w:val="24"/>
          <w:szCs w:val="24"/>
        </w:rPr>
        <w:t xml:space="preserve">UK producers; </w:t>
      </w:r>
    </w:p>
    <w:p w14:paraId="5B3CD09B" w14:textId="77777777" w:rsidR="00136A8C" w:rsidRDefault="00136A8C" w:rsidP="00136A8C">
      <w:pPr>
        <w:pStyle w:val="ListParagraph"/>
        <w:numPr>
          <w:ilvl w:val="0"/>
          <w:numId w:val="1"/>
        </w:numPr>
        <w:rPr>
          <w:rFonts w:ascii="Arial" w:hAnsi="Arial" w:cs="Arial"/>
          <w:sz w:val="24"/>
          <w:szCs w:val="24"/>
        </w:rPr>
      </w:pPr>
      <w:r w:rsidRPr="00136A8C">
        <w:rPr>
          <w:rFonts w:ascii="Arial" w:hAnsi="Arial" w:cs="Arial"/>
          <w:sz w:val="24"/>
          <w:szCs w:val="24"/>
        </w:rPr>
        <w:t xml:space="preserve">transactions for the purchase of the like goods in the UK; or </w:t>
      </w:r>
    </w:p>
    <w:p w14:paraId="0B3E4E6D" w14:textId="77777777" w:rsidR="00136A8C" w:rsidRDefault="00136A8C" w:rsidP="00136A8C">
      <w:pPr>
        <w:pStyle w:val="ListParagraph"/>
        <w:numPr>
          <w:ilvl w:val="0"/>
          <w:numId w:val="1"/>
        </w:numPr>
        <w:rPr>
          <w:rFonts w:ascii="Arial" w:hAnsi="Arial" w:cs="Arial"/>
          <w:sz w:val="24"/>
          <w:szCs w:val="24"/>
        </w:rPr>
      </w:pPr>
      <w:r w:rsidRPr="00136A8C">
        <w:rPr>
          <w:rFonts w:ascii="Arial" w:hAnsi="Arial" w:cs="Arial"/>
          <w:sz w:val="24"/>
          <w:szCs w:val="24"/>
        </w:rPr>
        <w:t xml:space="preserve">anything else we consider appropriate to sample. </w:t>
      </w:r>
    </w:p>
    <w:p w14:paraId="68911EDD" w14:textId="77777777" w:rsidR="00136A8C" w:rsidRDefault="00136A8C" w:rsidP="00136A8C">
      <w:pPr>
        <w:rPr>
          <w:rFonts w:ascii="Arial" w:hAnsi="Arial" w:cs="Arial"/>
          <w:sz w:val="24"/>
          <w:szCs w:val="24"/>
        </w:rPr>
      </w:pPr>
    </w:p>
    <w:p w14:paraId="6DFB942A" w14:textId="77777777" w:rsidR="00136A8C" w:rsidRDefault="00136A8C" w:rsidP="00136A8C">
      <w:pPr>
        <w:rPr>
          <w:rFonts w:ascii="Arial" w:hAnsi="Arial" w:cs="Arial"/>
          <w:sz w:val="24"/>
          <w:szCs w:val="24"/>
        </w:rPr>
      </w:pPr>
      <w:r w:rsidRPr="00136A8C">
        <w:rPr>
          <w:rFonts w:ascii="Arial" w:hAnsi="Arial" w:cs="Arial"/>
          <w:sz w:val="24"/>
          <w:szCs w:val="24"/>
        </w:rPr>
        <w:t xml:space="preserve">Due to the number of responses in the registration period, the Trade Remedies Authority (TRA) will not limit its examination at this stage. It may become necessary to limit examination to a sample of these categories at a later stage in the case. </w:t>
      </w:r>
    </w:p>
    <w:p w14:paraId="1CE64E41" w14:textId="77777777" w:rsidR="00136A8C" w:rsidRDefault="00136A8C" w:rsidP="00136A8C">
      <w:pPr>
        <w:rPr>
          <w:rFonts w:ascii="Arial" w:hAnsi="Arial" w:cs="Arial"/>
          <w:sz w:val="24"/>
          <w:szCs w:val="24"/>
        </w:rPr>
      </w:pPr>
    </w:p>
    <w:p w14:paraId="4DB83A19" w14:textId="77777777" w:rsidR="00136A8C" w:rsidRPr="00136A8C" w:rsidRDefault="00136A8C" w:rsidP="00136A8C">
      <w:pPr>
        <w:contextualSpacing/>
        <w:rPr>
          <w:rFonts w:ascii="Arial" w:hAnsi="Arial" w:cs="Arial"/>
          <w:b/>
          <w:bCs/>
          <w:sz w:val="24"/>
          <w:szCs w:val="24"/>
        </w:rPr>
      </w:pPr>
      <w:r w:rsidRPr="00136A8C">
        <w:rPr>
          <w:rFonts w:ascii="Arial" w:hAnsi="Arial" w:cs="Arial"/>
          <w:b/>
          <w:bCs/>
          <w:sz w:val="24"/>
          <w:szCs w:val="24"/>
        </w:rPr>
        <w:t xml:space="preserve">Further information </w:t>
      </w:r>
    </w:p>
    <w:p w14:paraId="158C1D0B" w14:textId="0E354F41" w:rsidR="00136A8C" w:rsidRDefault="00136A8C" w:rsidP="00136A8C">
      <w:pPr>
        <w:contextualSpacing/>
        <w:rPr>
          <w:rFonts w:ascii="Arial" w:hAnsi="Arial" w:cs="Arial"/>
          <w:sz w:val="24"/>
          <w:szCs w:val="24"/>
        </w:rPr>
      </w:pPr>
      <w:r w:rsidRPr="00136A8C">
        <w:rPr>
          <w:rFonts w:ascii="Arial" w:hAnsi="Arial" w:cs="Arial"/>
          <w:sz w:val="24"/>
          <w:szCs w:val="24"/>
        </w:rPr>
        <w:t xml:space="preserve">Our Trade Remedies Guidance provides more information about the investigations process, including information about sampling and limited examination. Should you have any questions or comments, please do not hesitate to contact us at </w:t>
      </w:r>
      <w:hyperlink r:id="rId12" w:history="1">
        <w:r w:rsidRPr="00E95902">
          <w:rPr>
            <w:rStyle w:val="Hyperlink"/>
            <w:rFonts w:ascii="Arial" w:hAnsi="Arial" w:cs="Arial"/>
            <w:sz w:val="24"/>
            <w:szCs w:val="24"/>
          </w:rPr>
          <w:t>AD0062@traderemedies.gov.uk</w:t>
        </w:r>
      </w:hyperlink>
      <w:r w:rsidRPr="00136A8C">
        <w:rPr>
          <w:rFonts w:ascii="Arial" w:hAnsi="Arial" w:cs="Arial"/>
          <w:sz w:val="24"/>
          <w:szCs w:val="24"/>
        </w:rPr>
        <w:t xml:space="preserve"> </w:t>
      </w:r>
    </w:p>
    <w:p w14:paraId="610337CE" w14:textId="77777777" w:rsidR="00136A8C" w:rsidRDefault="00136A8C" w:rsidP="00136A8C">
      <w:pPr>
        <w:contextualSpacing/>
        <w:rPr>
          <w:rFonts w:ascii="Arial" w:hAnsi="Arial" w:cs="Arial"/>
          <w:sz w:val="24"/>
          <w:szCs w:val="24"/>
        </w:rPr>
      </w:pPr>
    </w:p>
    <w:p w14:paraId="0D0C4A6C" w14:textId="6331D5A0" w:rsidR="00136A8C" w:rsidRDefault="00136A8C" w:rsidP="00136A8C">
      <w:pPr>
        <w:contextualSpacing/>
        <w:rPr>
          <w:rFonts w:ascii="Arial" w:hAnsi="Arial" w:cs="Arial"/>
          <w:sz w:val="24"/>
          <w:szCs w:val="24"/>
        </w:rPr>
      </w:pPr>
      <w:r>
        <w:rPr>
          <w:rFonts w:ascii="Arial" w:hAnsi="Arial" w:cs="Arial"/>
          <w:sz w:val="24"/>
          <w:szCs w:val="24"/>
        </w:rPr>
        <w:t>Jonathon Farrell</w:t>
      </w:r>
    </w:p>
    <w:p w14:paraId="43D3BECD" w14:textId="77777777" w:rsidR="00136A8C" w:rsidRDefault="00136A8C" w:rsidP="00136A8C">
      <w:pPr>
        <w:contextualSpacing/>
        <w:rPr>
          <w:rFonts w:ascii="Arial" w:hAnsi="Arial" w:cs="Arial"/>
          <w:sz w:val="24"/>
          <w:szCs w:val="24"/>
        </w:rPr>
      </w:pPr>
      <w:r w:rsidRPr="00136A8C">
        <w:rPr>
          <w:rFonts w:ascii="Arial" w:hAnsi="Arial" w:cs="Arial"/>
          <w:sz w:val="24"/>
          <w:szCs w:val="24"/>
        </w:rPr>
        <w:t xml:space="preserve">Lead Investigator </w:t>
      </w:r>
    </w:p>
    <w:p w14:paraId="46DA3559" w14:textId="77777777" w:rsidR="00136A8C" w:rsidRDefault="00136A8C" w:rsidP="00136A8C">
      <w:pPr>
        <w:contextualSpacing/>
        <w:rPr>
          <w:rFonts w:ascii="Arial" w:hAnsi="Arial" w:cs="Arial"/>
          <w:sz w:val="24"/>
          <w:szCs w:val="24"/>
        </w:rPr>
      </w:pPr>
      <w:r w:rsidRPr="00136A8C">
        <w:rPr>
          <w:rFonts w:ascii="Arial" w:hAnsi="Arial" w:cs="Arial"/>
          <w:sz w:val="24"/>
          <w:szCs w:val="24"/>
        </w:rPr>
        <w:t xml:space="preserve">Trade Remedies Authority </w:t>
      </w:r>
    </w:p>
    <w:p w14:paraId="7A17EE24" w14:textId="585037F4" w:rsidR="00B7412E" w:rsidRPr="00136A8C" w:rsidRDefault="00552211" w:rsidP="00136A8C">
      <w:pPr>
        <w:contextualSpacing/>
        <w:rPr>
          <w:rFonts w:ascii="Arial" w:hAnsi="Arial" w:cs="Arial"/>
          <w:sz w:val="24"/>
          <w:szCs w:val="24"/>
        </w:rPr>
      </w:pPr>
      <w:r>
        <w:rPr>
          <w:rFonts w:ascii="Arial" w:hAnsi="Arial" w:cs="Arial"/>
          <w:sz w:val="24"/>
          <w:szCs w:val="24"/>
        </w:rPr>
        <w:t>17</w:t>
      </w:r>
      <w:r w:rsidR="00136A8C">
        <w:rPr>
          <w:rFonts w:ascii="Arial" w:hAnsi="Arial" w:cs="Arial"/>
          <w:sz w:val="24"/>
          <w:szCs w:val="24"/>
        </w:rPr>
        <w:t xml:space="preserve"> October</w:t>
      </w:r>
      <w:r w:rsidR="00136A8C" w:rsidRPr="00136A8C">
        <w:rPr>
          <w:rFonts w:ascii="Arial" w:hAnsi="Arial" w:cs="Arial"/>
          <w:sz w:val="24"/>
          <w:szCs w:val="24"/>
        </w:rPr>
        <w:t xml:space="preserve"> 202</w:t>
      </w:r>
      <w:r w:rsidR="00136A8C">
        <w:rPr>
          <w:rFonts w:ascii="Arial" w:hAnsi="Arial" w:cs="Arial"/>
          <w:sz w:val="24"/>
          <w:szCs w:val="24"/>
        </w:rPr>
        <w:t>4</w:t>
      </w:r>
    </w:p>
    <w:sectPr w:rsidR="00B7412E" w:rsidRPr="00136A8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4EC14" w14:textId="77777777" w:rsidR="00136A8C" w:rsidRDefault="00136A8C" w:rsidP="00136A8C">
      <w:pPr>
        <w:spacing w:after="0" w:line="240" w:lineRule="auto"/>
      </w:pPr>
      <w:r>
        <w:separator/>
      </w:r>
    </w:p>
  </w:endnote>
  <w:endnote w:type="continuationSeparator" w:id="0">
    <w:p w14:paraId="52B5E005" w14:textId="77777777" w:rsidR="00136A8C" w:rsidRDefault="00136A8C" w:rsidP="0013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F19D1" w14:textId="77777777" w:rsidR="00136A8C" w:rsidRDefault="00136A8C" w:rsidP="00136A8C">
      <w:pPr>
        <w:spacing w:after="0" w:line="240" w:lineRule="auto"/>
      </w:pPr>
      <w:r>
        <w:separator/>
      </w:r>
    </w:p>
  </w:footnote>
  <w:footnote w:type="continuationSeparator" w:id="0">
    <w:p w14:paraId="644D61EF" w14:textId="77777777" w:rsidR="00136A8C" w:rsidRDefault="00136A8C" w:rsidP="00136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34952" w14:textId="25762E8F" w:rsidR="00136A8C" w:rsidRDefault="00136A8C">
    <w:pPr>
      <w:pStyle w:val="Header"/>
    </w:pPr>
    <w:r>
      <w:rPr>
        <w:rStyle w:val="a"/>
        <w:noProof/>
        <w:szCs w:val="24"/>
      </w:rPr>
      <w:drawing>
        <wp:inline distT="0" distB="0" distL="0" distR="0" wp14:anchorId="41E4DAF2" wp14:editId="1FCD9B52">
          <wp:extent cx="1434538" cy="810048"/>
          <wp:effectExtent l="0" t="0" r="0" b="9102"/>
          <wp:docPr id="714947167"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714947167" name="Picture 2" descr="A black background with a black square&#10;&#10;Description automatically generated with medium confidenc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p w14:paraId="127C9408" w14:textId="77777777" w:rsidR="00136A8C" w:rsidRDefault="00136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75395E"/>
    <w:multiLevelType w:val="hybridMultilevel"/>
    <w:tmpl w:val="71D69F46"/>
    <w:lvl w:ilvl="0" w:tplc="905465E4">
      <w:start w:val="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36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6A8C"/>
    <w:rsid w:val="00074D98"/>
    <w:rsid w:val="00136A8C"/>
    <w:rsid w:val="0036046C"/>
    <w:rsid w:val="003903B3"/>
    <w:rsid w:val="00552211"/>
    <w:rsid w:val="006C38EE"/>
    <w:rsid w:val="00902A5E"/>
    <w:rsid w:val="00AE635A"/>
    <w:rsid w:val="00B7412E"/>
    <w:rsid w:val="00E00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18C5"/>
  <w15:chartTrackingRefBased/>
  <w15:docId w15:val="{FEB8C44D-46C7-4A5F-A4C6-840E6153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A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A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A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A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A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A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A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A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A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A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A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A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A8C"/>
    <w:rPr>
      <w:rFonts w:eastAsiaTheme="majorEastAsia" w:cstheme="majorBidi"/>
      <w:color w:val="272727" w:themeColor="text1" w:themeTint="D8"/>
    </w:rPr>
  </w:style>
  <w:style w:type="paragraph" w:styleId="Title">
    <w:name w:val="Title"/>
    <w:basedOn w:val="Normal"/>
    <w:next w:val="Normal"/>
    <w:link w:val="TitleChar"/>
    <w:uiPriority w:val="10"/>
    <w:qFormat/>
    <w:rsid w:val="00136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A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A8C"/>
    <w:pPr>
      <w:spacing w:before="160"/>
      <w:jc w:val="center"/>
    </w:pPr>
    <w:rPr>
      <w:i/>
      <w:iCs/>
      <w:color w:val="404040" w:themeColor="text1" w:themeTint="BF"/>
    </w:rPr>
  </w:style>
  <w:style w:type="character" w:customStyle="1" w:styleId="QuoteChar">
    <w:name w:val="Quote Char"/>
    <w:basedOn w:val="DefaultParagraphFont"/>
    <w:link w:val="Quote"/>
    <w:uiPriority w:val="29"/>
    <w:rsid w:val="00136A8C"/>
    <w:rPr>
      <w:i/>
      <w:iCs/>
      <w:color w:val="404040" w:themeColor="text1" w:themeTint="BF"/>
    </w:rPr>
  </w:style>
  <w:style w:type="paragraph" w:styleId="ListParagraph">
    <w:name w:val="List Paragraph"/>
    <w:basedOn w:val="Normal"/>
    <w:uiPriority w:val="34"/>
    <w:qFormat/>
    <w:rsid w:val="00136A8C"/>
    <w:pPr>
      <w:ind w:left="720"/>
      <w:contextualSpacing/>
    </w:pPr>
  </w:style>
  <w:style w:type="character" w:styleId="IntenseEmphasis">
    <w:name w:val="Intense Emphasis"/>
    <w:basedOn w:val="DefaultParagraphFont"/>
    <w:uiPriority w:val="21"/>
    <w:qFormat/>
    <w:rsid w:val="00136A8C"/>
    <w:rPr>
      <w:i/>
      <w:iCs/>
      <w:color w:val="0F4761" w:themeColor="accent1" w:themeShade="BF"/>
    </w:rPr>
  </w:style>
  <w:style w:type="paragraph" w:styleId="IntenseQuote">
    <w:name w:val="Intense Quote"/>
    <w:basedOn w:val="Normal"/>
    <w:next w:val="Normal"/>
    <w:link w:val="IntenseQuoteChar"/>
    <w:uiPriority w:val="30"/>
    <w:qFormat/>
    <w:rsid w:val="00136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A8C"/>
    <w:rPr>
      <w:i/>
      <w:iCs/>
      <w:color w:val="0F4761" w:themeColor="accent1" w:themeShade="BF"/>
    </w:rPr>
  </w:style>
  <w:style w:type="character" w:styleId="IntenseReference">
    <w:name w:val="Intense Reference"/>
    <w:basedOn w:val="DefaultParagraphFont"/>
    <w:uiPriority w:val="32"/>
    <w:qFormat/>
    <w:rsid w:val="00136A8C"/>
    <w:rPr>
      <w:b/>
      <w:bCs/>
      <w:smallCaps/>
      <w:color w:val="0F4761" w:themeColor="accent1" w:themeShade="BF"/>
      <w:spacing w:val="5"/>
    </w:rPr>
  </w:style>
  <w:style w:type="paragraph" w:styleId="Header">
    <w:name w:val="header"/>
    <w:basedOn w:val="Normal"/>
    <w:link w:val="HeaderChar"/>
    <w:uiPriority w:val="99"/>
    <w:unhideWhenUsed/>
    <w:rsid w:val="00136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A8C"/>
  </w:style>
  <w:style w:type="paragraph" w:styleId="Footer">
    <w:name w:val="footer"/>
    <w:basedOn w:val="Normal"/>
    <w:link w:val="FooterChar"/>
    <w:uiPriority w:val="99"/>
    <w:unhideWhenUsed/>
    <w:rsid w:val="00136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A8C"/>
  </w:style>
  <w:style w:type="character" w:customStyle="1" w:styleId="a">
    <w:name w:val="默认段落字体"/>
    <w:rsid w:val="00136A8C"/>
  </w:style>
  <w:style w:type="character" w:styleId="Hyperlink">
    <w:name w:val="Hyperlink"/>
    <w:basedOn w:val="DefaultParagraphFont"/>
    <w:uiPriority w:val="99"/>
    <w:unhideWhenUsed/>
    <w:rsid w:val="00136A8C"/>
    <w:rPr>
      <w:color w:val="467886" w:themeColor="hyperlink"/>
      <w:u w:val="single"/>
    </w:rPr>
  </w:style>
  <w:style w:type="character" w:styleId="UnresolvedMention">
    <w:name w:val="Unresolved Mention"/>
    <w:basedOn w:val="DefaultParagraphFont"/>
    <w:uiPriority w:val="99"/>
    <w:semiHidden/>
    <w:unhideWhenUsed/>
    <w:rsid w:val="00136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0062@traderemedies.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de-remedies.service.gov.uk/public/case/AD0062/submission/22e572cc-6b0e-43c6-afb6-e17bf12bf1a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922b1407995bfe67da54277f2f34bca3">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a1881f4db465d171ad3bb0e2e43f2f0e"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readOnly="false" ma:default="1;#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readOnly="false" ma:default="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readOnly="false" ma:default="1;#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readOnly="false" ma:default="1;#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2F3E80-B3DB-4177-A669-FF2C3FE02074}">
  <ds:schemaRefs>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a933a4ec-650a-4d5f-a231-7b141c4967d1"/>
    <ds:schemaRef ds:uri="http://schemas.openxmlformats.org/package/2006/metadata/core-properties"/>
    <ds:schemaRef ds:uri="ca3a8e5f-87ae-44bc-a796-b11748aeb6fc"/>
    <ds:schemaRef ds:uri="c14de8ec-1bbe-45d0-9da6-488d8f109529"/>
    <ds:schemaRef ds:uri="http://purl.org/dc/dcmitype/"/>
  </ds:schemaRefs>
</ds:datastoreItem>
</file>

<file path=customXml/itemProps2.xml><?xml version="1.0" encoding="utf-8"?>
<ds:datastoreItem xmlns:ds="http://schemas.openxmlformats.org/officeDocument/2006/customXml" ds:itemID="{3A3FD2D3-B0EE-46F6-B8A2-D362656F1E44}">
  <ds:schemaRefs>
    <ds:schemaRef ds:uri="http://schemas.microsoft.com/sharepoint/v3/contenttype/forms"/>
  </ds:schemaRefs>
</ds:datastoreItem>
</file>

<file path=customXml/itemProps3.xml><?xml version="1.0" encoding="utf-8"?>
<ds:datastoreItem xmlns:ds="http://schemas.openxmlformats.org/officeDocument/2006/customXml" ds:itemID="{5BCAE74B-BFF0-4B8D-AC6C-AB8ED04F1C45}"/>
</file>

<file path=customXml/itemProps4.xml><?xml version="1.0" encoding="utf-8"?>
<ds:datastoreItem xmlns:ds="http://schemas.openxmlformats.org/officeDocument/2006/customXml" ds:itemID="{7BF64A23-4111-447C-9A46-A1B113810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2024-10-17T08:25:00Z</dcterms:created>
  <dcterms:modified xsi:type="dcterms:W3CDTF">2024-10-17T08:25:00Z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CaseCountry">
    <vt:lpwstr>31;#China|450f57c4-d239-451b-a905-81825d5a728d</vt:lpwstr>
  </property>
  <property fmtid="{D5CDD505-2E9C-101B-9397-08002B2CF9AE}" pid="4" name="CaseType">
    <vt:lpwstr>7</vt:lpwstr>
  </property>
  <property fmtid="{D5CDD505-2E9C-101B-9397-08002B2CF9AE}" pid="5" name="RelatedCountry">
    <vt:lpwstr/>
  </property>
  <property fmtid="{D5CDD505-2E9C-101B-9397-08002B2CF9AE}" pid="6" name="CaseProduct">
    <vt:lpwstr>249</vt:lpwstr>
  </property>
  <property fmtid="{D5CDD505-2E9C-101B-9397-08002B2CF9AE}" pid="7" name="Reconsideration Phase">
    <vt:lpwstr/>
  </property>
  <property fmtid="{D5CDD505-2E9C-101B-9397-08002B2CF9AE}" pid="8" name="QC Gate">
    <vt:lpwstr/>
  </property>
  <property fmtid="{D5CDD505-2E9C-101B-9397-08002B2CF9AE}" pid="9" name="MediaServiceImageTags">
    <vt:lpwstr/>
  </property>
  <property fmtid="{D5CDD505-2E9C-101B-9397-08002B2CF9AE}" pid="10" name="DocumentType">
    <vt:lpwstr>67;#Note|1badfd84-2193-4a3c-9186-0cbcd1b6703a</vt:lpwstr>
  </property>
  <property fmtid="{D5CDD505-2E9C-101B-9397-08002B2CF9AE}" pid="11" name="lcf76f155ced4ddcb4097134ff3c332f">
    <vt:lpwstr/>
  </property>
</Properties>
</file>