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8367" w14:textId="22E18AF6" w:rsidR="00952F77" w:rsidRPr="00A216F7" w:rsidRDefault="00340B3D">
      <w:pPr>
        <w:rPr>
          <w:rFonts w:ascii="Arial" w:hAnsi="Arial" w:cs="Arial"/>
        </w:rPr>
      </w:pPr>
      <w:r w:rsidRPr="0004672E">
        <w:rPr>
          <w:noProof/>
        </w:rPr>
        <w:drawing>
          <wp:inline distT="0" distB="0" distL="0" distR="0" wp14:anchorId="419CB325" wp14:editId="339159A0">
            <wp:extent cx="1568045" cy="885825"/>
            <wp:effectExtent l="0" t="0" r="0" b="0"/>
            <wp:docPr id="14548740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0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52557" w14:textId="75D56857" w:rsidR="00952F77" w:rsidRPr="00A216F7" w:rsidRDefault="00952F77">
      <w:pPr>
        <w:rPr>
          <w:rFonts w:ascii="Arial" w:hAnsi="Arial" w:cs="Arial"/>
        </w:rPr>
      </w:pPr>
    </w:p>
    <w:p w14:paraId="2D552098" w14:textId="5D391716" w:rsidR="00E66808" w:rsidRPr="00A216F7" w:rsidRDefault="00952F77" w:rsidP="00DB453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216F7">
        <w:rPr>
          <w:rFonts w:ascii="Arial" w:hAnsi="Arial" w:cs="Arial"/>
          <w:b/>
          <w:bCs/>
          <w:sz w:val="32"/>
          <w:szCs w:val="32"/>
        </w:rPr>
        <w:t>Extension – Note to Public File</w:t>
      </w:r>
    </w:p>
    <w:p w14:paraId="087139DD" w14:textId="77777777" w:rsidR="00952F77" w:rsidRDefault="00952F77">
      <w:pPr>
        <w:rPr>
          <w:rFonts w:ascii="Arial" w:hAnsi="Arial" w:cs="Arial"/>
        </w:rPr>
      </w:pPr>
    </w:p>
    <w:p w14:paraId="099B7850" w14:textId="7E6C33FC" w:rsidR="00952F77" w:rsidRPr="00A216F7" w:rsidRDefault="00952F77" w:rsidP="00DB45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16F7">
        <w:rPr>
          <w:rFonts w:ascii="Arial" w:hAnsi="Arial" w:cs="Arial"/>
          <w:b/>
          <w:bCs/>
          <w:sz w:val="24"/>
          <w:szCs w:val="24"/>
        </w:rPr>
        <w:t>Note to the public file summarising</w:t>
      </w:r>
      <w:r w:rsidR="0014046B">
        <w:rPr>
          <w:rFonts w:ascii="Arial" w:hAnsi="Arial" w:cs="Arial"/>
          <w:b/>
          <w:bCs/>
          <w:sz w:val="24"/>
          <w:szCs w:val="24"/>
        </w:rPr>
        <w:t xml:space="preserve"> a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time extension granted for submission of </w:t>
      </w:r>
      <w:r w:rsidR="00B04CAF">
        <w:rPr>
          <w:rFonts w:ascii="Arial" w:hAnsi="Arial" w:cs="Arial"/>
          <w:b/>
          <w:bCs/>
          <w:sz w:val="24"/>
          <w:szCs w:val="24"/>
        </w:rPr>
        <w:t>a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</w:t>
      </w:r>
      <w:r w:rsidR="008F7D60">
        <w:rPr>
          <w:rFonts w:ascii="Arial" w:hAnsi="Arial" w:cs="Arial"/>
          <w:b/>
          <w:bCs/>
          <w:sz w:val="24"/>
          <w:szCs w:val="24"/>
        </w:rPr>
        <w:t>SEF responses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to A</w:t>
      </w:r>
      <w:r w:rsidR="008946DC">
        <w:rPr>
          <w:rFonts w:ascii="Arial" w:hAnsi="Arial" w:cs="Arial"/>
          <w:b/>
          <w:bCs/>
          <w:sz w:val="24"/>
          <w:szCs w:val="24"/>
        </w:rPr>
        <w:t>S0067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B6BDD" w:rsidRPr="00A216F7">
        <w:rPr>
          <w:rFonts w:ascii="Arial" w:hAnsi="Arial" w:cs="Arial"/>
          <w:b/>
          <w:bCs/>
          <w:sz w:val="24"/>
          <w:szCs w:val="24"/>
        </w:rPr>
        <w:t>HVO</w:t>
      </w:r>
      <w:r w:rsidRPr="00A216F7">
        <w:rPr>
          <w:rFonts w:ascii="Arial" w:hAnsi="Arial" w:cs="Arial"/>
          <w:b/>
          <w:bCs/>
          <w:sz w:val="24"/>
          <w:szCs w:val="24"/>
        </w:rPr>
        <w:t xml:space="preserve"> from the US</w:t>
      </w:r>
    </w:p>
    <w:p w14:paraId="6E53D9C8" w14:textId="48530A2D" w:rsidR="00DB4533" w:rsidRDefault="00DB4533" w:rsidP="0023374C">
      <w:pPr>
        <w:rPr>
          <w:rFonts w:ascii="Arial" w:hAnsi="Arial" w:cs="Arial"/>
          <w:sz w:val="24"/>
          <w:szCs w:val="24"/>
        </w:rPr>
      </w:pPr>
      <w:r w:rsidRPr="00A216F7">
        <w:rPr>
          <w:rFonts w:ascii="Arial" w:hAnsi="Arial" w:cs="Arial"/>
          <w:sz w:val="24"/>
          <w:szCs w:val="24"/>
        </w:rPr>
        <w:t xml:space="preserve">The Trade Remedies Authority (TRA) received </w:t>
      </w:r>
      <w:r w:rsidR="0014046B">
        <w:rPr>
          <w:rFonts w:ascii="Arial" w:hAnsi="Arial" w:cs="Arial"/>
          <w:sz w:val="24"/>
          <w:szCs w:val="24"/>
        </w:rPr>
        <w:t xml:space="preserve">an </w:t>
      </w:r>
      <w:r w:rsidRPr="00A216F7">
        <w:rPr>
          <w:rFonts w:ascii="Arial" w:hAnsi="Arial" w:cs="Arial"/>
          <w:sz w:val="24"/>
          <w:szCs w:val="24"/>
        </w:rPr>
        <w:t xml:space="preserve">application for an extension of time to </w:t>
      </w:r>
      <w:r w:rsidR="008F7D60">
        <w:rPr>
          <w:rFonts w:ascii="Arial" w:hAnsi="Arial" w:cs="Arial"/>
          <w:sz w:val="24"/>
          <w:szCs w:val="24"/>
        </w:rPr>
        <w:t xml:space="preserve">file responses to the Statement of Essential Facts that was published on 28 November 2025. </w:t>
      </w:r>
      <w:r w:rsidRPr="00A216F7">
        <w:rPr>
          <w:rFonts w:ascii="Arial" w:hAnsi="Arial" w:cs="Arial"/>
          <w:sz w:val="24"/>
          <w:szCs w:val="24"/>
        </w:rPr>
        <w:t>Having considered the application, the TRA has determined that granting</w:t>
      </w:r>
      <w:r w:rsidR="00276C0F">
        <w:rPr>
          <w:rFonts w:ascii="Arial" w:hAnsi="Arial" w:cs="Arial"/>
          <w:sz w:val="24"/>
          <w:szCs w:val="24"/>
        </w:rPr>
        <w:t xml:space="preserve"> a</w:t>
      </w:r>
      <w:r w:rsidR="00734539">
        <w:rPr>
          <w:rFonts w:ascii="Arial" w:hAnsi="Arial" w:cs="Arial"/>
          <w:sz w:val="24"/>
          <w:szCs w:val="24"/>
        </w:rPr>
        <w:t xml:space="preserve">n </w:t>
      </w:r>
      <w:r w:rsidRPr="00A216F7">
        <w:rPr>
          <w:rFonts w:ascii="Arial" w:hAnsi="Arial" w:cs="Arial"/>
          <w:sz w:val="24"/>
          <w:szCs w:val="24"/>
        </w:rPr>
        <w:t xml:space="preserve">extension would not significantly impede the progress of the investigation and has therefore decided to grant </w:t>
      </w:r>
      <w:r w:rsidR="00B04CAF">
        <w:rPr>
          <w:rFonts w:ascii="Arial" w:hAnsi="Arial" w:cs="Arial"/>
          <w:sz w:val="24"/>
          <w:szCs w:val="24"/>
        </w:rPr>
        <w:t xml:space="preserve">an </w:t>
      </w:r>
      <w:r w:rsidRPr="00A216F7">
        <w:rPr>
          <w:rFonts w:ascii="Arial" w:hAnsi="Arial" w:cs="Arial"/>
          <w:sz w:val="24"/>
          <w:szCs w:val="24"/>
        </w:rPr>
        <w:t>extension to the following part</w:t>
      </w:r>
      <w:r w:rsidR="00734539">
        <w:rPr>
          <w:rFonts w:ascii="Arial" w:hAnsi="Arial" w:cs="Arial"/>
          <w:sz w:val="24"/>
          <w:szCs w:val="24"/>
        </w:rPr>
        <w:t>ies</w:t>
      </w:r>
      <w:r w:rsidRPr="00A216F7">
        <w:rPr>
          <w:rFonts w:ascii="Arial" w:hAnsi="Arial" w:cs="Arial"/>
          <w:sz w:val="24"/>
          <w:szCs w:val="24"/>
        </w:rPr>
        <w:t>:</w:t>
      </w:r>
    </w:p>
    <w:p w14:paraId="4691BF78" w14:textId="77777777" w:rsidR="008F28F4" w:rsidRPr="00A216F7" w:rsidRDefault="008F28F4" w:rsidP="008F28F4">
      <w:pPr>
        <w:rPr>
          <w:rFonts w:ascii="Arial" w:hAnsi="Arial" w:cs="Arial"/>
        </w:rPr>
      </w:pPr>
    </w:p>
    <w:tbl>
      <w:tblPr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390"/>
        <w:gridCol w:w="1035"/>
        <w:gridCol w:w="1226"/>
        <w:gridCol w:w="1659"/>
      </w:tblGrid>
      <w:tr w:rsidR="00A216F7" w:rsidRPr="00A216F7" w14:paraId="4D9512F3" w14:textId="77777777" w:rsidTr="0098391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4EDD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06274C1B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2C9F56CA" w14:textId="52BC586D" w:rsidR="001854C8" w:rsidRPr="001854C8" w:rsidRDefault="00C74B3D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Party</w:t>
            </w:r>
            <w:r w:rsidR="001854C8" w:rsidRPr="001854C8">
              <w:rPr>
                <w:rFonts w:ascii="Arial" w:hAnsi="Arial" w:cs="Arial"/>
                <w:b/>
                <w:bCs/>
              </w:rPr>
              <w:t xml:space="preserve"> Name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58F3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354E4CC0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17E33FF0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Reason for granting extension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9A08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3ED9CF17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Request date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894F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 </w:t>
            </w:r>
          </w:p>
          <w:p w14:paraId="74A28160" w14:textId="540C91F6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 xml:space="preserve">Number of days </w:t>
            </w:r>
            <w:r w:rsidR="00BC0EE0">
              <w:rPr>
                <w:rFonts w:ascii="Arial" w:hAnsi="Arial" w:cs="Arial"/>
                <w:b/>
                <w:bCs/>
              </w:rPr>
              <w:t>granted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C60" w14:textId="77777777" w:rsidR="001854C8" w:rsidRPr="001854C8" w:rsidRDefault="001854C8" w:rsidP="001854C8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1854C8">
              <w:rPr>
                <w:rFonts w:ascii="Arial" w:hAnsi="Arial" w:cs="Arial"/>
                <w:b/>
                <w:bCs/>
              </w:rPr>
              <w:t>New date for completed questionnaire response</w:t>
            </w:r>
          </w:p>
        </w:tc>
      </w:tr>
      <w:tr w:rsidR="0098391A" w:rsidRPr="00A216F7" w14:paraId="570D21B4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9F34" w14:textId="1F24DB55" w:rsidR="0098391A" w:rsidRPr="00C74B3D" w:rsidRDefault="00880E76" w:rsidP="0098391A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Valero Limited</w:t>
            </w:r>
            <w:r w:rsidR="0098391A">
              <w:rPr>
                <w:rFonts w:ascii="Arial" w:hAnsi="Arial" w:cs="Arial"/>
                <w:i/>
                <w:iCs/>
              </w:rPr>
              <w:t xml:space="preserve"> (Importer)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5BF6" w14:textId="77777777" w:rsidR="0098391A" w:rsidRDefault="0098391A" w:rsidP="0098391A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2D4B4F3B" w14:textId="403F976C" w:rsidR="0098391A" w:rsidRPr="00880E76" w:rsidRDefault="0098391A" w:rsidP="00880E76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2B4CE5" w14:textId="4A7FD9EF" w:rsidR="0098391A" w:rsidRDefault="0098391A" w:rsidP="0098391A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3FE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CB74" w14:textId="100D5CBD" w:rsidR="0098391A" w:rsidRPr="00C74B3D" w:rsidRDefault="0098391A" w:rsidP="0098391A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E7F3" w14:textId="404F58F8" w:rsidR="0098391A" w:rsidRDefault="0098391A" w:rsidP="0098391A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January 2026</w:t>
            </w:r>
          </w:p>
        </w:tc>
      </w:tr>
      <w:tr w:rsidR="00877815" w:rsidRPr="00A216F7" w14:paraId="1E73E329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D22A" w14:textId="12E49ABA" w:rsidR="00877815" w:rsidRPr="00C74B3D" w:rsidRDefault="00880E76" w:rsidP="00877815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Diamond Green Diesel (Exporter)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8C52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2C80EB79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  <w:p w14:paraId="0F2F5447" w14:textId="77777777" w:rsidR="00877815" w:rsidRDefault="00877815" w:rsidP="00877815">
            <w:pPr>
              <w:shd w:val="clear" w:color="auto" w:fill="FFFFFF" w:themeFill="background1"/>
              <w:ind w:left="720"/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C0D20E" w14:textId="4C69B4FA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3FE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27A5" w14:textId="14C11F92" w:rsidR="00877815" w:rsidRPr="00C74B3D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C67F" w14:textId="4FE4D365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January 2026</w:t>
            </w:r>
          </w:p>
        </w:tc>
      </w:tr>
      <w:tr w:rsidR="00877815" w:rsidRPr="00A216F7" w14:paraId="49E8FE12" w14:textId="77777777" w:rsidTr="0098391A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BC5E" w14:textId="19369BCB" w:rsidR="00877815" w:rsidRPr="00C74B3D" w:rsidRDefault="0072183B" w:rsidP="00877815">
            <w:pPr>
              <w:shd w:val="clear" w:color="auto" w:fill="FFFFFF" w:themeFill="background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 Bernard Renewables</w:t>
            </w:r>
            <w:r w:rsidR="00877815">
              <w:rPr>
                <w:rFonts w:ascii="Arial" w:hAnsi="Arial" w:cs="Arial"/>
                <w:i/>
                <w:iCs/>
              </w:rPr>
              <w:t xml:space="preserve"> (Exporter)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79E2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Significant data to review </w:t>
            </w:r>
          </w:p>
          <w:p w14:paraId="597CA23A" w14:textId="77777777" w:rsidR="00877815" w:rsidRDefault="00877815" w:rsidP="00877815">
            <w:pPr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leave due to Christmas period</w:t>
            </w:r>
          </w:p>
          <w:p w14:paraId="083A2B82" w14:textId="77777777" w:rsidR="00877815" w:rsidRDefault="00877815" w:rsidP="00877815">
            <w:pPr>
              <w:shd w:val="clear" w:color="auto" w:fill="FFFFFF" w:themeFill="background1"/>
              <w:ind w:left="720"/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A3C709" w14:textId="240C3185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December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6F93" w14:textId="15DD99B7" w:rsidR="00877815" w:rsidRPr="00C74B3D" w:rsidRDefault="00877815" w:rsidP="00877815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days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22EE" w14:textId="715ECB0F" w:rsidR="00877815" w:rsidRDefault="00877815" w:rsidP="00877815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January 2026</w:t>
            </w:r>
          </w:p>
        </w:tc>
      </w:tr>
    </w:tbl>
    <w:p w14:paraId="31BA84A4" w14:textId="77777777" w:rsidR="008B4BA7" w:rsidRPr="00A216F7" w:rsidRDefault="008B4BA7" w:rsidP="00DB4533">
      <w:pPr>
        <w:shd w:val="clear" w:color="auto" w:fill="FFFFFF" w:themeFill="background1"/>
        <w:rPr>
          <w:rFonts w:ascii="Arial" w:hAnsi="Arial" w:cs="Arial"/>
        </w:rPr>
      </w:pPr>
    </w:p>
    <w:p w14:paraId="6D1CB79D" w14:textId="3D09D6DE" w:rsidR="00DB4533" w:rsidRPr="00A216F7" w:rsidRDefault="00DB4533">
      <w:pPr>
        <w:rPr>
          <w:rFonts w:ascii="Arial" w:hAnsi="Arial" w:cs="Arial"/>
          <w:sz w:val="24"/>
          <w:szCs w:val="24"/>
        </w:rPr>
      </w:pPr>
      <w:r w:rsidRPr="00A216F7">
        <w:rPr>
          <w:rFonts w:ascii="Arial" w:hAnsi="Arial" w:cs="Arial"/>
          <w:sz w:val="24"/>
          <w:szCs w:val="24"/>
        </w:rPr>
        <w:t>Should you have any questions or comments, please do not hesitate to contact us at</w:t>
      </w:r>
      <w:r w:rsidR="00214468" w:rsidRPr="00A216F7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1303AF" w:rsidRPr="00341E97">
          <w:rPr>
            <w:rStyle w:val="Hyperlink"/>
            <w:rFonts w:ascii="Arial" w:hAnsi="Arial" w:cs="Arial"/>
            <w:sz w:val="24"/>
            <w:szCs w:val="24"/>
          </w:rPr>
          <w:t>AS0067@traderemedies.gov.uk</w:t>
        </w:r>
      </w:hyperlink>
      <w:r w:rsidR="00CA7CA9" w:rsidRPr="00A216F7">
        <w:rPr>
          <w:rFonts w:ascii="Arial" w:hAnsi="Arial" w:cs="Arial"/>
          <w:sz w:val="24"/>
          <w:szCs w:val="24"/>
        </w:rPr>
        <w:t xml:space="preserve"> </w:t>
      </w:r>
    </w:p>
    <w:sectPr w:rsidR="00DB4533" w:rsidRPr="00A21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4EA6" w14:textId="77777777" w:rsidR="00344503" w:rsidRDefault="00344503" w:rsidP="004610B5">
      <w:pPr>
        <w:spacing w:after="0" w:line="240" w:lineRule="auto"/>
      </w:pPr>
      <w:r>
        <w:separator/>
      </w:r>
    </w:p>
  </w:endnote>
  <w:endnote w:type="continuationSeparator" w:id="0">
    <w:p w14:paraId="0087EFF6" w14:textId="77777777" w:rsidR="00344503" w:rsidRDefault="00344503" w:rsidP="004610B5">
      <w:pPr>
        <w:spacing w:after="0" w:line="240" w:lineRule="auto"/>
      </w:pPr>
      <w:r>
        <w:continuationSeparator/>
      </w:r>
    </w:p>
  </w:endnote>
  <w:endnote w:type="continuationNotice" w:id="1">
    <w:p w14:paraId="70C18FDC" w14:textId="77777777" w:rsidR="00344503" w:rsidRDefault="00344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4751" w14:textId="77777777" w:rsidR="00344503" w:rsidRDefault="00344503" w:rsidP="004610B5">
      <w:pPr>
        <w:spacing w:after="0" w:line="240" w:lineRule="auto"/>
      </w:pPr>
      <w:r>
        <w:separator/>
      </w:r>
    </w:p>
  </w:footnote>
  <w:footnote w:type="continuationSeparator" w:id="0">
    <w:p w14:paraId="0A68E167" w14:textId="77777777" w:rsidR="00344503" w:rsidRDefault="00344503" w:rsidP="004610B5">
      <w:pPr>
        <w:spacing w:after="0" w:line="240" w:lineRule="auto"/>
      </w:pPr>
      <w:r>
        <w:continuationSeparator/>
      </w:r>
    </w:p>
  </w:footnote>
  <w:footnote w:type="continuationNotice" w:id="1">
    <w:p w14:paraId="18E69D04" w14:textId="77777777" w:rsidR="00344503" w:rsidRDefault="003445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0B6"/>
    <w:multiLevelType w:val="multilevel"/>
    <w:tmpl w:val="C20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D0F11"/>
    <w:multiLevelType w:val="multilevel"/>
    <w:tmpl w:val="C20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9333B"/>
    <w:multiLevelType w:val="multilevel"/>
    <w:tmpl w:val="C20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5132C"/>
    <w:multiLevelType w:val="hybridMultilevel"/>
    <w:tmpl w:val="89D89BCC"/>
    <w:lvl w:ilvl="0" w:tplc="FFFFFFFF">
      <w:start w:val="1"/>
      <w:numFmt w:val="lowerRoman"/>
      <w:lvlText w:val="(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57D"/>
    <w:multiLevelType w:val="hybridMultilevel"/>
    <w:tmpl w:val="89D89BCC"/>
    <w:lvl w:ilvl="0" w:tplc="FFFFFFFF">
      <w:start w:val="1"/>
      <w:numFmt w:val="lowerRoman"/>
      <w:lvlText w:val="(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7529">
    <w:abstractNumId w:val="1"/>
  </w:num>
  <w:num w:numId="2" w16cid:durableId="230628477">
    <w:abstractNumId w:val="1"/>
  </w:num>
  <w:num w:numId="3" w16cid:durableId="1067873470">
    <w:abstractNumId w:val="4"/>
  </w:num>
  <w:num w:numId="4" w16cid:durableId="629670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829725">
    <w:abstractNumId w:val="0"/>
  </w:num>
  <w:num w:numId="6" w16cid:durableId="83345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77"/>
    <w:rsid w:val="00014A24"/>
    <w:rsid w:val="00050B6F"/>
    <w:rsid w:val="0005523D"/>
    <w:rsid w:val="0008347D"/>
    <w:rsid w:val="000F5837"/>
    <w:rsid w:val="00102BAC"/>
    <w:rsid w:val="001303AF"/>
    <w:rsid w:val="00133BFF"/>
    <w:rsid w:val="0014046B"/>
    <w:rsid w:val="001539AD"/>
    <w:rsid w:val="00156ACB"/>
    <w:rsid w:val="001854C8"/>
    <w:rsid w:val="00192892"/>
    <w:rsid w:val="00195940"/>
    <w:rsid w:val="001B1ADC"/>
    <w:rsid w:val="001C4F7E"/>
    <w:rsid w:val="001D4174"/>
    <w:rsid w:val="00214468"/>
    <w:rsid w:val="00226BC4"/>
    <w:rsid w:val="0023374C"/>
    <w:rsid w:val="00276C0F"/>
    <w:rsid w:val="002B6BDD"/>
    <w:rsid w:val="002D30FD"/>
    <w:rsid w:val="00316CDC"/>
    <w:rsid w:val="00340B3D"/>
    <w:rsid w:val="00344503"/>
    <w:rsid w:val="00366294"/>
    <w:rsid w:val="00391576"/>
    <w:rsid w:val="0042291D"/>
    <w:rsid w:val="00445BDF"/>
    <w:rsid w:val="004610B5"/>
    <w:rsid w:val="004748C6"/>
    <w:rsid w:val="00475633"/>
    <w:rsid w:val="004833C9"/>
    <w:rsid w:val="0048719C"/>
    <w:rsid w:val="004C0B72"/>
    <w:rsid w:val="004D4BEA"/>
    <w:rsid w:val="0052367B"/>
    <w:rsid w:val="00525A9F"/>
    <w:rsid w:val="00527043"/>
    <w:rsid w:val="0055344B"/>
    <w:rsid w:val="00576DE8"/>
    <w:rsid w:val="00580F49"/>
    <w:rsid w:val="00585E26"/>
    <w:rsid w:val="005F42C4"/>
    <w:rsid w:val="006001FF"/>
    <w:rsid w:val="00616F8D"/>
    <w:rsid w:val="006F3F30"/>
    <w:rsid w:val="006F3FE1"/>
    <w:rsid w:val="00700DFE"/>
    <w:rsid w:val="0072183B"/>
    <w:rsid w:val="00734539"/>
    <w:rsid w:val="007C1539"/>
    <w:rsid w:val="007D4BCE"/>
    <w:rsid w:val="007E2F88"/>
    <w:rsid w:val="007E61C3"/>
    <w:rsid w:val="007F7AEF"/>
    <w:rsid w:val="00814B86"/>
    <w:rsid w:val="008401D0"/>
    <w:rsid w:val="008555CB"/>
    <w:rsid w:val="00873E21"/>
    <w:rsid w:val="00877815"/>
    <w:rsid w:val="00880E76"/>
    <w:rsid w:val="00883C7B"/>
    <w:rsid w:val="00887695"/>
    <w:rsid w:val="008946DC"/>
    <w:rsid w:val="008B4BA7"/>
    <w:rsid w:val="008F28F4"/>
    <w:rsid w:val="008F7D60"/>
    <w:rsid w:val="00931777"/>
    <w:rsid w:val="009501E4"/>
    <w:rsid w:val="00952F77"/>
    <w:rsid w:val="00971C6C"/>
    <w:rsid w:val="0098391A"/>
    <w:rsid w:val="009858CD"/>
    <w:rsid w:val="009B37BF"/>
    <w:rsid w:val="009D0B7A"/>
    <w:rsid w:val="009E078B"/>
    <w:rsid w:val="00A216F7"/>
    <w:rsid w:val="00A51C87"/>
    <w:rsid w:val="00A53CC2"/>
    <w:rsid w:val="00A70CDE"/>
    <w:rsid w:val="00A73408"/>
    <w:rsid w:val="00AB7ED8"/>
    <w:rsid w:val="00AC37B6"/>
    <w:rsid w:val="00AF29E0"/>
    <w:rsid w:val="00B04CAF"/>
    <w:rsid w:val="00B32A07"/>
    <w:rsid w:val="00BA3010"/>
    <w:rsid w:val="00BC0EE0"/>
    <w:rsid w:val="00BF159F"/>
    <w:rsid w:val="00C30548"/>
    <w:rsid w:val="00C74B3D"/>
    <w:rsid w:val="00CA7CA9"/>
    <w:rsid w:val="00D05C40"/>
    <w:rsid w:val="00D077E2"/>
    <w:rsid w:val="00D32E5E"/>
    <w:rsid w:val="00D33B03"/>
    <w:rsid w:val="00D431BB"/>
    <w:rsid w:val="00D44686"/>
    <w:rsid w:val="00D679F0"/>
    <w:rsid w:val="00D84DCF"/>
    <w:rsid w:val="00D95D5D"/>
    <w:rsid w:val="00DB4533"/>
    <w:rsid w:val="00DC586E"/>
    <w:rsid w:val="00DC5EF8"/>
    <w:rsid w:val="00E230A4"/>
    <w:rsid w:val="00E501BE"/>
    <w:rsid w:val="00E6051A"/>
    <w:rsid w:val="00E66808"/>
    <w:rsid w:val="00E87F20"/>
    <w:rsid w:val="00E90B4A"/>
    <w:rsid w:val="00EA76E9"/>
    <w:rsid w:val="00ED5E3F"/>
    <w:rsid w:val="00F30A74"/>
    <w:rsid w:val="00FA2C16"/>
    <w:rsid w:val="00F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0F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C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0B5"/>
  </w:style>
  <w:style w:type="paragraph" w:styleId="Footer">
    <w:name w:val="footer"/>
    <w:basedOn w:val="Normal"/>
    <w:link w:val="FooterChar"/>
    <w:uiPriority w:val="99"/>
    <w:unhideWhenUsed/>
    <w:rsid w:val="00461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0B5"/>
  </w:style>
  <w:style w:type="paragraph" w:styleId="ListParagraph">
    <w:name w:val="List Paragraph"/>
    <w:basedOn w:val="Normal"/>
    <w:uiPriority w:val="34"/>
    <w:qFormat/>
    <w:rsid w:val="00FA2C16"/>
    <w:pPr>
      <w:spacing w:after="0" w:line="240" w:lineRule="auto"/>
      <w:ind w:left="720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0067@traderemedies.gov.uk" TargetMode="External"/><Relationship Id="rId2" Type="http://schemas.openxmlformats.org/officeDocument/2006/relationships/customXml" Target="../customXml/item2.xml"/><Relationship Id="rId11" Type="http://schemas.openxmlformats.org/officeDocument/2006/relationships/image" Target="media/image1.jpe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4ef26ddfd582a7be24a1a898d31c026b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6d36493e97e3098c431625b28e207d99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D3D03F-5458-4106-A41B-9491EB401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BCFA9-A07F-4815-AEA2-9C855F4A1C53}"/>
</file>

<file path=customXml/itemProps3.xml><?xml version="1.0" encoding="utf-8"?>
<ds:datastoreItem xmlns:ds="http://schemas.openxmlformats.org/officeDocument/2006/customXml" ds:itemID="{940508FF-1AFE-4D54-9881-0B66A65D6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953CA-E5DD-4919-92CD-959EEA220A1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14de8ec-1bbe-45d0-9da6-488d8f109529"/>
    <ds:schemaRef ds:uri="http://www.w3.org/XML/1998/namespace"/>
    <ds:schemaRef ds:uri="ca3a8e5f-87ae-44bc-a796-b11748aeb6fc"/>
    <ds:schemaRef ds:uri="http://schemas.microsoft.com/office/infopath/2007/PartnerControls"/>
    <ds:schemaRef ds:uri="http://purl.org/dc/dcmitype/"/>
    <ds:schemaRef ds:uri="a933a4ec-650a-4d5f-a231-7b141c4967d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Links>
    <vt:vector size="6" baseType="variant">
      <vt:variant>
        <vt:i4>4915241</vt:i4>
      </vt:variant>
      <vt:variant>
        <vt:i4>0</vt:i4>
      </vt:variant>
      <vt:variant>
        <vt:i4>0</vt:i4>
      </vt:variant>
      <vt:variant>
        <vt:i4>5</vt:i4>
      </vt:variant>
      <vt:variant>
        <vt:lpwstr>mailto:AD0049@traderemedies.gov.uk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2026-01-14T18:22:00Z</dcterms:created>
  <dcterms:modified xsi:type="dcterms:W3CDTF">2026-01-14T18:22:00Z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95;#United States of America (USA)|b419673a-3189-4c8d-92ed-093b42125a86</vt:lpwstr>
  </property>
  <property fmtid="{D5CDD505-2E9C-101B-9397-08002B2CF9AE}" pid="4" name="RelatedCountry">
    <vt:lpwstr>226;#Egypt|7bebcf6a-9b35-49fe-bd92-1db41e721742</vt:lpwstr>
  </property>
  <property fmtid="{D5CDD505-2E9C-101B-9397-08002B2CF9AE}" pid="5" name="Reconsideration_x0020_Phase">
    <vt:lpwstr/>
  </property>
  <property fmtid="{D5CDD505-2E9C-101B-9397-08002B2CF9AE}" pid="6" name="Reconsideration Phase">
    <vt:lpwstr/>
  </property>
  <property fmtid="{D5CDD505-2E9C-101B-9397-08002B2CF9AE}" pid="7" name="MediaServiceImageTags">
    <vt:lpwstr/>
  </property>
  <property fmtid="{D5CDD505-2E9C-101B-9397-08002B2CF9AE}" pid="8" name="DocumentType">
    <vt:lpwstr>45;#Notice|b2784802-62eb-47e5-b453-36348427d6c3</vt:lpwstr>
  </property>
  <property fmtid="{D5CDD505-2E9C-101B-9397-08002B2CF9AE}" pid="9" name="lcf76f155ced4ddcb4097134ff3c332f">
    <vt:lpwstr/>
  </property>
  <property fmtid="{D5CDD505-2E9C-101B-9397-08002B2CF9AE}" pid="10" name="_docset_NoMedatataSyncRequired">
    <vt:lpwstr>False</vt:lpwstr>
  </property>
  <property fmtid="{D5CDD505-2E9C-101B-9397-08002B2CF9AE}" pid="11" name="QC Gate">
    <vt:lpwstr>183;#QC Gate 8|fd472dad-e6f5-4569-b2ed-e462f7179a79</vt:lpwstr>
  </property>
  <property fmtid="{D5CDD505-2E9C-101B-9397-08002B2CF9AE}" pid="12" name="QC_x0020_Gate">
    <vt:lpwstr>183;#QC Gate 8|fd472dad-e6f5-4569-b2ed-e462f7179a79</vt:lpwstr>
  </property>
  <property fmtid="{D5CDD505-2E9C-101B-9397-08002B2CF9AE}" pid="13" name="CaseProduct">
    <vt:lpwstr>96</vt:lpwstr>
  </property>
  <property fmtid="{D5CDD505-2E9C-101B-9397-08002B2CF9AE}" pid="14" name="CaseType">
    <vt:lpwstr>9</vt:lpwstr>
  </property>
</Properties>
</file>