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8367" w14:textId="22E18AF6" w:rsidR="00952F77" w:rsidRPr="00A216F7" w:rsidRDefault="00340B3D">
      <w:pPr>
        <w:rPr>
          <w:rFonts w:ascii="Arial" w:hAnsi="Arial" w:cs="Arial"/>
        </w:rPr>
      </w:pPr>
      <w:r w:rsidRPr="0004672E">
        <w:rPr>
          <w:noProof/>
        </w:rPr>
        <w:drawing>
          <wp:inline distT="0" distB="0" distL="0" distR="0" wp14:anchorId="419CB325" wp14:editId="339159A0">
            <wp:extent cx="1568045" cy="885825"/>
            <wp:effectExtent l="0" t="0" r="0" b="0"/>
            <wp:docPr id="14548740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0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52557" w14:textId="75D56857" w:rsidR="00952F77" w:rsidRPr="00A216F7" w:rsidRDefault="00952F77">
      <w:pPr>
        <w:rPr>
          <w:rFonts w:ascii="Arial" w:hAnsi="Arial" w:cs="Arial"/>
        </w:rPr>
      </w:pPr>
    </w:p>
    <w:p w14:paraId="2D552098" w14:textId="5D391716" w:rsidR="00E66808" w:rsidRPr="00A216F7" w:rsidRDefault="00952F77" w:rsidP="00DB453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216F7">
        <w:rPr>
          <w:rFonts w:ascii="Arial" w:hAnsi="Arial" w:cs="Arial"/>
          <w:b/>
          <w:bCs/>
          <w:sz w:val="32"/>
          <w:szCs w:val="32"/>
        </w:rPr>
        <w:t>Extension – Note to Public File</w:t>
      </w:r>
    </w:p>
    <w:p w14:paraId="087139DD" w14:textId="77777777" w:rsidR="00952F77" w:rsidRDefault="00952F77">
      <w:pPr>
        <w:rPr>
          <w:rFonts w:ascii="Arial" w:hAnsi="Arial" w:cs="Arial"/>
        </w:rPr>
      </w:pPr>
    </w:p>
    <w:p w14:paraId="099B7850" w14:textId="7E6C33FC" w:rsidR="00952F77" w:rsidRPr="00A216F7" w:rsidRDefault="00952F77" w:rsidP="00DB45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16F7">
        <w:rPr>
          <w:rFonts w:ascii="Arial" w:hAnsi="Arial" w:cs="Arial"/>
          <w:b/>
          <w:bCs/>
          <w:sz w:val="24"/>
          <w:szCs w:val="24"/>
        </w:rPr>
        <w:t>Note to the public file summarising</w:t>
      </w:r>
      <w:r w:rsidR="0014046B">
        <w:rPr>
          <w:rFonts w:ascii="Arial" w:hAnsi="Arial" w:cs="Arial"/>
          <w:b/>
          <w:bCs/>
          <w:sz w:val="24"/>
          <w:szCs w:val="24"/>
        </w:rPr>
        <w:t xml:space="preserve"> a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time extension granted for submission of </w:t>
      </w:r>
      <w:r w:rsidR="00B04CAF">
        <w:rPr>
          <w:rFonts w:ascii="Arial" w:hAnsi="Arial" w:cs="Arial"/>
          <w:b/>
          <w:bCs/>
          <w:sz w:val="24"/>
          <w:szCs w:val="24"/>
        </w:rPr>
        <w:t>a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</w:t>
      </w:r>
      <w:r w:rsidR="008F7D60">
        <w:rPr>
          <w:rFonts w:ascii="Arial" w:hAnsi="Arial" w:cs="Arial"/>
          <w:b/>
          <w:bCs/>
          <w:sz w:val="24"/>
          <w:szCs w:val="24"/>
        </w:rPr>
        <w:t>SEF responses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to A</w:t>
      </w:r>
      <w:r w:rsidR="008946DC">
        <w:rPr>
          <w:rFonts w:ascii="Arial" w:hAnsi="Arial" w:cs="Arial"/>
          <w:b/>
          <w:bCs/>
          <w:sz w:val="24"/>
          <w:szCs w:val="24"/>
        </w:rPr>
        <w:t>S0067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B6BDD" w:rsidRPr="00A216F7">
        <w:rPr>
          <w:rFonts w:ascii="Arial" w:hAnsi="Arial" w:cs="Arial"/>
          <w:b/>
          <w:bCs/>
          <w:sz w:val="24"/>
          <w:szCs w:val="24"/>
        </w:rPr>
        <w:t>HVO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from the US</w:t>
      </w:r>
    </w:p>
    <w:p w14:paraId="6E53D9C8" w14:textId="48530A2D" w:rsidR="00DB4533" w:rsidRDefault="00DB4533" w:rsidP="0023374C">
      <w:pPr>
        <w:rPr>
          <w:rFonts w:ascii="Arial" w:hAnsi="Arial" w:cs="Arial"/>
          <w:sz w:val="24"/>
          <w:szCs w:val="24"/>
        </w:rPr>
      </w:pPr>
      <w:r w:rsidRPr="00A216F7">
        <w:rPr>
          <w:rFonts w:ascii="Arial" w:hAnsi="Arial" w:cs="Arial"/>
          <w:sz w:val="24"/>
          <w:szCs w:val="24"/>
        </w:rPr>
        <w:t xml:space="preserve">The Trade Remedies Authority (TRA) received </w:t>
      </w:r>
      <w:r w:rsidR="0014046B">
        <w:rPr>
          <w:rFonts w:ascii="Arial" w:hAnsi="Arial" w:cs="Arial"/>
          <w:sz w:val="24"/>
          <w:szCs w:val="24"/>
        </w:rPr>
        <w:t xml:space="preserve">an </w:t>
      </w:r>
      <w:r w:rsidRPr="00A216F7">
        <w:rPr>
          <w:rFonts w:ascii="Arial" w:hAnsi="Arial" w:cs="Arial"/>
          <w:sz w:val="24"/>
          <w:szCs w:val="24"/>
        </w:rPr>
        <w:t xml:space="preserve">application for an extension of time to </w:t>
      </w:r>
      <w:r w:rsidR="008F7D60">
        <w:rPr>
          <w:rFonts w:ascii="Arial" w:hAnsi="Arial" w:cs="Arial"/>
          <w:sz w:val="24"/>
          <w:szCs w:val="24"/>
        </w:rPr>
        <w:t xml:space="preserve">file responses to the Statement of Essential Facts that was published on 28 November 2025. </w:t>
      </w:r>
      <w:r w:rsidRPr="00A216F7">
        <w:rPr>
          <w:rFonts w:ascii="Arial" w:hAnsi="Arial" w:cs="Arial"/>
          <w:sz w:val="24"/>
          <w:szCs w:val="24"/>
        </w:rPr>
        <w:t>Having considered the application, the TRA has determined that granting</w:t>
      </w:r>
      <w:r w:rsidR="00276C0F">
        <w:rPr>
          <w:rFonts w:ascii="Arial" w:hAnsi="Arial" w:cs="Arial"/>
          <w:sz w:val="24"/>
          <w:szCs w:val="24"/>
        </w:rPr>
        <w:t xml:space="preserve"> a</w:t>
      </w:r>
      <w:r w:rsidR="00734539">
        <w:rPr>
          <w:rFonts w:ascii="Arial" w:hAnsi="Arial" w:cs="Arial"/>
          <w:sz w:val="24"/>
          <w:szCs w:val="24"/>
        </w:rPr>
        <w:t xml:space="preserve">n </w:t>
      </w:r>
      <w:r w:rsidRPr="00A216F7">
        <w:rPr>
          <w:rFonts w:ascii="Arial" w:hAnsi="Arial" w:cs="Arial"/>
          <w:sz w:val="24"/>
          <w:szCs w:val="24"/>
        </w:rPr>
        <w:t xml:space="preserve">extension would not significantly impede the progress of the investigation and has therefore decided to grant </w:t>
      </w:r>
      <w:r w:rsidR="00B04CAF">
        <w:rPr>
          <w:rFonts w:ascii="Arial" w:hAnsi="Arial" w:cs="Arial"/>
          <w:sz w:val="24"/>
          <w:szCs w:val="24"/>
        </w:rPr>
        <w:t xml:space="preserve">an </w:t>
      </w:r>
      <w:r w:rsidRPr="00A216F7">
        <w:rPr>
          <w:rFonts w:ascii="Arial" w:hAnsi="Arial" w:cs="Arial"/>
          <w:sz w:val="24"/>
          <w:szCs w:val="24"/>
        </w:rPr>
        <w:t>extension to the following part</w:t>
      </w:r>
      <w:r w:rsidR="00734539">
        <w:rPr>
          <w:rFonts w:ascii="Arial" w:hAnsi="Arial" w:cs="Arial"/>
          <w:sz w:val="24"/>
          <w:szCs w:val="24"/>
        </w:rPr>
        <w:t>ies</w:t>
      </w:r>
      <w:r w:rsidRPr="00A216F7">
        <w:rPr>
          <w:rFonts w:ascii="Arial" w:hAnsi="Arial" w:cs="Arial"/>
          <w:sz w:val="24"/>
          <w:szCs w:val="24"/>
        </w:rPr>
        <w:t>:</w:t>
      </w:r>
    </w:p>
    <w:p w14:paraId="4691BF78" w14:textId="77777777" w:rsidR="008F28F4" w:rsidRPr="00A216F7" w:rsidRDefault="008F28F4" w:rsidP="008F28F4">
      <w:pPr>
        <w:rPr>
          <w:rFonts w:ascii="Arial" w:hAnsi="Arial" w:cs="Arial"/>
        </w:rPr>
      </w:pPr>
    </w:p>
    <w:tbl>
      <w:tblPr>
        <w:tblW w:w="9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390"/>
        <w:gridCol w:w="1035"/>
        <w:gridCol w:w="1226"/>
        <w:gridCol w:w="1659"/>
      </w:tblGrid>
      <w:tr w:rsidR="00A216F7" w:rsidRPr="00A216F7" w14:paraId="4D9512F3" w14:textId="77777777" w:rsidTr="0098391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D4EDD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06274C1B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2C9F56CA" w14:textId="52BC586D" w:rsidR="001854C8" w:rsidRPr="001854C8" w:rsidRDefault="00C74B3D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Party</w:t>
            </w:r>
            <w:r w:rsidR="001854C8" w:rsidRPr="001854C8">
              <w:rPr>
                <w:rFonts w:ascii="Arial" w:hAnsi="Arial" w:cs="Arial"/>
                <w:b/>
                <w:bCs/>
              </w:rPr>
              <w:t xml:space="preserve"> Name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58F3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354E4CC0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17E33FF0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Reason for granting extension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9A08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3ED9CF17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Request date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894F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74A28160" w14:textId="540C91F6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 xml:space="preserve">Number of days </w:t>
            </w:r>
            <w:r w:rsidR="00BC0EE0">
              <w:rPr>
                <w:rFonts w:ascii="Arial" w:hAnsi="Arial" w:cs="Arial"/>
                <w:b/>
                <w:bCs/>
              </w:rPr>
              <w:t>granted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C60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New date for completed questionnaire response</w:t>
            </w:r>
          </w:p>
        </w:tc>
      </w:tr>
      <w:tr w:rsidR="00734539" w:rsidRPr="00A216F7" w14:paraId="35D404F7" w14:textId="77777777" w:rsidTr="0098391A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59E6" w14:textId="64D6414F" w:rsidR="00734539" w:rsidRPr="00C74B3D" w:rsidRDefault="00FB297E" w:rsidP="001854C8">
            <w:pPr>
              <w:shd w:val="clear" w:color="auto" w:fill="FFFFFF" w:themeFill="background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Howard Tenens Logistics</w:t>
            </w:r>
            <w:r w:rsidR="00BA3010">
              <w:rPr>
                <w:rFonts w:ascii="Arial" w:hAnsi="Arial" w:cs="Arial"/>
                <w:i/>
                <w:iCs/>
              </w:rPr>
              <w:t xml:space="preserve"> (Contributor)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99D4" w14:textId="2F7C4140" w:rsidR="00D05C40" w:rsidRDefault="00D05C40" w:rsidP="00D05C40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Busiest period of the year for logistics industry</w:t>
            </w:r>
          </w:p>
          <w:p w14:paraId="14973163" w14:textId="77777777" w:rsidR="00D05C40" w:rsidRDefault="00D05C40" w:rsidP="00D05C40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leave due to Christmas period</w:t>
            </w:r>
          </w:p>
          <w:p w14:paraId="15B9CB1D" w14:textId="074E4E81" w:rsidR="00734539" w:rsidRDefault="00D05C40" w:rsidP="00D05C40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significant effect on industry so more time required to consider fully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B1C2FF" w14:textId="598AA87E" w:rsidR="00734539" w:rsidRDefault="00195940" w:rsidP="001854C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December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719A" w14:textId="1D78479A" w:rsidR="00734539" w:rsidRPr="00C74B3D" w:rsidRDefault="0052367B" w:rsidP="001854C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days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E6ED" w14:textId="65A18DFC" w:rsidR="00734539" w:rsidRDefault="00BA3010" w:rsidP="001854C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January 2026</w:t>
            </w:r>
          </w:p>
        </w:tc>
      </w:tr>
      <w:tr w:rsidR="00734539" w:rsidRPr="00A216F7" w14:paraId="03DF610D" w14:textId="77777777" w:rsidTr="0098391A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A687" w14:textId="43ED1D67" w:rsidR="00734539" w:rsidRPr="00C74B3D" w:rsidRDefault="002D30FD" w:rsidP="001854C8">
            <w:pPr>
              <w:shd w:val="clear" w:color="auto" w:fill="FFFFFF" w:themeFill="background1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Certas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Energy Limited (Importer)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5EC1" w14:textId="77777777" w:rsidR="00734539" w:rsidRDefault="0005523D" w:rsidP="007F7AEF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data to review </w:t>
            </w:r>
          </w:p>
          <w:p w14:paraId="6BFFB0E8" w14:textId="77777777" w:rsidR="0005523D" w:rsidRDefault="0005523D" w:rsidP="007F7AEF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leave due to Christmas period</w:t>
            </w:r>
          </w:p>
          <w:p w14:paraId="709963A1" w14:textId="233FE9CD" w:rsidR="00873E21" w:rsidRDefault="00873E21" w:rsidP="007F7AEF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significant effect on industry so more time required to consider fully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90087B" w14:textId="14F0DAD7" w:rsidR="00734539" w:rsidRDefault="002D30FD" w:rsidP="001854C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December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2D39" w14:textId="5BE62EA2" w:rsidR="00734539" w:rsidRPr="00C74B3D" w:rsidRDefault="0052367B" w:rsidP="001854C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days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DC0B" w14:textId="7FA55444" w:rsidR="00734539" w:rsidRDefault="0008347D" w:rsidP="001854C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January 2026</w:t>
            </w:r>
          </w:p>
        </w:tc>
      </w:tr>
      <w:tr w:rsidR="0098391A" w:rsidRPr="00A216F7" w14:paraId="5425090C" w14:textId="77777777" w:rsidTr="0098391A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AD20" w14:textId="21D99EF5" w:rsidR="0098391A" w:rsidRDefault="0098391A" w:rsidP="0098391A">
            <w:pPr>
              <w:shd w:val="clear" w:color="auto" w:fill="FFFFFF" w:themeFill="background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UKIFDA (Contributor)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D602" w14:textId="77777777" w:rsidR="00133BFF" w:rsidRDefault="00133BFF" w:rsidP="00133BFF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data to review </w:t>
            </w:r>
          </w:p>
          <w:p w14:paraId="6C547F10" w14:textId="6A84AB74" w:rsidR="0098391A" w:rsidRPr="00226BC4" w:rsidRDefault="00133BFF" w:rsidP="00226BC4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leave due to Christmas period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9B6BDF" w14:textId="564F6E60" w:rsidR="0098391A" w:rsidRDefault="00133BFF" w:rsidP="0098391A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December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0295" w14:textId="1B9A211D" w:rsidR="0098391A" w:rsidRDefault="0098391A" w:rsidP="0098391A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days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ED4A" w14:textId="02F51022" w:rsidR="0098391A" w:rsidRDefault="0098391A" w:rsidP="0098391A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January 2026</w:t>
            </w:r>
          </w:p>
        </w:tc>
      </w:tr>
      <w:tr w:rsidR="0098391A" w:rsidRPr="00A216F7" w14:paraId="570D21B4" w14:textId="77777777" w:rsidTr="0098391A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9F34" w14:textId="1C3C23F4" w:rsidR="0098391A" w:rsidRPr="00C74B3D" w:rsidRDefault="0098391A" w:rsidP="0098391A">
            <w:pPr>
              <w:shd w:val="clear" w:color="auto" w:fill="FFFFFF" w:themeFill="background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Crown Oil Limited (Importer)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5BF6" w14:textId="77777777" w:rsidR="0098391A" w:rsidRDefault="0098391A" w:rsidP="0098391A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data to review </w:t>
            </w:r>
          </w:p>
          <w:p w14:paraId="5DB4EF1E" w14:textId="77777777" w:rsidR="0098391A" w:rsidRDefault="0098391A" w:rsidP="0098391A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leave due to Christmas period</w:t>
            </w:r>
          </w:p>
          <w:p w14:paraId="2D4B4F3B" w14:textId="01462A65" w:rsidR="0098391A" w:rsidRDefault="0098391A" w:rsidP="0098391A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significant effect on industry so more time required to consider fully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2B4CE5" w14:textId="2CEA7963" w:rsidR="0098391A" w:rsidRDefault="0098391A" w:rsidP="0098391A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CB74" w14:textId="100D5CBD" w:rsidR="0098391A" w:rsidRPr="00C74B3D" w:rsidRDefault="0098391A" w:rsidP="0098391A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days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E7F3" w14:textId="404F58F8" w:rsidR="0098391A" w:rsidRDefault="0098391A" w:rsidP="0098391A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January 2026</w:t>
            </w:r>
          </w:p>
        </w:tc>
      </w:tr>
      <w:tr w:rsidR="00877815" w:rsidRPr="00A216F7" w14:paraId="1E73E329" w14:textId="77777777" w:rsidTr="0098391A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D22A" w14:textId="5C411BB5" w:rsidR="00877815" w:rsidRPr="00C74B3D" w:rsidRDefault="00877815" w:rsidP="00877815">
            <w:pPr>
              <w:shd w:val="clear" w:color="auto" w:fill="FFFFFF" w:themeFill="background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UKIOTC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8C52" w14:textId="77777777" w:rsidR="00877815" w:rsidRDefault="00877815" w:rsidP="00877815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data to review </w:t>
            </w:r>
          </w:p>
          <w:p w14:paraId="2C80EB79" w14:textId="77777777" w:rsidR="00877815" w:rsidRDefault="00877815" w:rsidP="00877815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leave due to Christmas period</w:t>
            </w:r>
          </w:p>
          <w:p w14:paraId="0F2F5447" w14:textId="77777777" w:rsidR="00877815" w:rsidRDefault="00877815" w:rsidP="00877815">
            <w:pPr>
              <w:shd w:val="clear" w:color="auto" w:fill="FFFFFF" w:themeFill="background1"/>
              <w:ind w:left="720"/>
              <w:rPr>
                <w:rFonts w:ascii="Arial" w:hAnsi="Arial" w:cs="Arial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C0D20E" w14:textId="3F01E87E" w:rsidR="00877815" w:rsidRDefault="00877815" w:rsidP="00877815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</w:rPr>
              <w:t>December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27A5" w14:textId="14C11F92" w:rsidR="00877815" w:rsidRPr="00C74B3D" w:rsidRDefault="00877815" w:rsidP="00877815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days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C67F" w14:textId="4FE4D365" w:rsidR="00877815" w:rsidRDefault="00877815" w:rsidP="00877815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January 2026</w:t>
            </w:r>
          </w:p>
        </w:tc>
      </w:tr>
      <w:tr w:rsidR="00877815" w:rsidRPr="00A216F7" w14:paraId="49E8FE12" w14:textId="77777777" w:rsidTr="0098391A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BC5E" w14:textId="05812017" w:rsidR="00877815" w:rsidRPr="00C74B3D" w:rsidRDefault="00877815" w:rsidP="00877815">
            <w:pPr>
              <w:shd w:val="clear" w:color="auto" w:fill="FFFFFF" w:themeFill="background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Philips 66 (Exporter)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79E2" w14:textId="77777777" w:rsidR="00877815" w:rsidRDefault="00877815" w:rsidP="00877815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data to review </w:t>
            </w:r>
          </w:p>
          <w:p w14:paraId="597CA23A" w14:textId="77777777" w:rsidR="00877815" w:rsidRDefault="00877815" w:rsidP="00877815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leave due to Christmas period</w:t>
            </w:r>
          </w:p>
          <w:p w14:paraId="083A2B82" w14:textId="77777777" w:rsidR="00877815" w:rsidRDefault="00877815" w:rsidP="00877815">
            <w:pPr>
              <w:shd w:val="clear" w:color="auto" w:fill="FFFFFF" w:themeFill="background1"/>
              <w:ind w:left="720"/>
              <w:rPr>
                <w:rFonts w:ascii="Arial" w:hAnsi="Arial" w:cs="Arial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A3C709" w14:textId="240C3185" w:rsidR="00877815" w:rsidRDefault="00877815" w:rsidP="00877815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6F93" w14:textId="15DD99B7" w:rsidR="00877815" w:rsidRPr="00C74B3D" w:rsidRDefault="00877815" w:rsidP="00877815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days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22EE" w14:textId="715ECB0F" w:rsidR="00877815" w:rsidRDefault="00877815" w:rsidP="00877815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January 2026</w:t>
            </w:r>
          </w:p>
        </w:tc>
      </w:tr>
    </w:tbl>
    <w:p w14:paraId="31BA84A4" w14:textId="77777777" w:rsidR="008B4BA7" w:rsidRPr="00A216F7" w:rsidRDefault="008B4BA7" w:rsidP="00DB4533">
      <w:pPr>
        <w:shd w:val="clear" w:color="auto" w:fill="FFFFFF" w:themeFill="background1"/>
        <w:rPr>
          <w:rFonts w:ascii="Arial" w:hAnsi="Arial" w:cs="Arial"/>
        </w:rPr>
      </w:pPr>
    </w:p>
    <w:p w14:paraId="6D1CB79D" w14:textId="3D09D6DE" w:rsidR="00DB4533" w:rsidRPr="00A216F7" w:rsidRDefault="00DB4533">
      <w:pPr>
        <w:rPr>
          <w:rFonts w:ascii="Arial" w:hAnsi="Arial" w:cs="Arial"/>
          <w:sz w:val="24"/>
          <w:szCs w:val="24"/>
        </w:rPr>
      </w:pPr>
      <w:r w:rsidRPr="00A216F7">
        <w:rPr>
          <w:rFonts w:ascii="Arial" w:hAnsi="Arial" w:cs="Arial"/>
          <w:sz w:val="24"/>
          <w:szCs w:val="24"/>
        </w:rPr>
        <w:t>Should you have any questions or comments, please do not hesitate to contact us at</w:t>
      </w:r>
      <w:r w:rsidR="00214468" w:rsidRPr="00A216F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303AF" w:rsidRPr="00341E97">
          <w:rPr>
            <w:rStyle w:val="Hyperlink"/>
            <w:rFonts w:ascii="Arial" w:hAnsi="Arial" w:cs="Arial"/>
            <w:sz w:val="24"/>
            <w:szCs w:val="24"/>
          </w:rPr>
          <w:t>AS0067@traderemedies.gov.uk</w:t>
        </w:r>
      </w:hyperlink>
      <w:r w:rsidR="00CA7CA9" w:rsidRPr="00A216F7">
        <w:rPr>
          <w:rFonts w:ascii="Arial" w:hAnsi="Arial" w:cs="Arial"/>
          <w:sz w:val="24"/>
          <w:szCs w:val="24"/>
        </w:rPr>
        <w:t xml:space="preserve"> </w:t>
      </w:r>
    </w:p>
    <w:sectPr w:rsidR="00DB4533" w:rsidRPr="00A21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E16C" w14:textId="77777777" w:rsidR="00E87F20" w:rsidRDefault="00E87F20" w:rsidP="004610B5">
      <w:pPr>
        <w:spacing w:after="0" w:line="240" w:lineRule="auto"/>
      </w:pPr>
      <w:r>
        <w:separator/>
      </w:r>
    </w:p>
  </w:endnote>
  <w:endnote w:type="continuationSeparator" w:id="0">
    <w:p w14:paraId="23DC522B" w14:textId="77777777" w:rsidR="00E87F20" w:rsidRDefault="00E87F20" w:rsidP="004610B5">
      <w:pPr>
        <w:spacing w:after="0" w:line="240" w:lineRule="auto"/>
      </w:pPr>
      <w:r>
        <w:continuationSeparator/>
      </w:r>
    </w:p>
  </w:endnote>
  <w:endnote w:type="continuationNotice" w:id="1">
    <w:p w14:paraId="31604909" w14:textId="77777777" w:rsidR="00D679F0" w:rsidRDefault="00D67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BDD8" w14:textId="77777777" w:rsidR="00E87F20" w:rsidRDefault="00E87F20" w:rsidP="004610B5">
      <w:pPr>
        <w:spacing w:after="0" w:line="240" w:lineRule="auto"/>
      </w:pPr>
      <w:r>
        <w:separator/>
      </w:r>
    </w:p>
  </w:footnote>
  <w:footnote w:type="continuationSeparator" w:id="0">
    <w:p w14:paraId="59F9CAEE" w14:textId="77777777" w:rsidR="00E87F20" w:rsidRDefault="00E87F20" w:rsidP="004610B5">
      <w:pPr>
        <w:spacing w:after="0" w:line="240" w:lineRule="auto"/>
      </w:pPr>
      <w:r>
        <w:continuationSeparator/>
      </w:r>
    </w:p>
  </w:footnote>
  <w:footnote w:type="continuationNotice" w:id="1">
    <w:p w14:paraId="7B1CD39A" w14:textId="77777777" w:rsidR="00D679F0" w:rsidRDefault="00D679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60B6"/>
    <w:multiLevelType w:val="multilevel"/>
    <w:tmpl w:val="C208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D0F11"/>
    <w:multiLevelType w:val="multilevel"/>
    <w:tmpl w:val="C208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9333B"/>
    <w:multiLevelType w:val="multilevel"/>
    <w:tmpl w:val="C208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5132C"/>
    <w:multiLevelType w:val="hybridMultilevel"/>
    <w:tmpl w:val="89D89BCC"/>
    <w:lvl w:ilvl="0" w:tplc="FFFFFFFF">
      <w:start w:val="1"/>
      <w:numFmt w:val="lowerRoman"/>
      <w:lvlText w:val="(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57D"/>
    <w:multiLevelType w:val="hybridMultilevel"/>
    <w:tmpl w:val="89D89BCC"/>
    <w:lvl w:ilvl="0" w:tplc="FFFFFFFF">
      <w:start w:val="1"/>
      <w:numFmt w:val="lowerRoman"/>
      <w:lvlText w:val="(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7529">
    <w:abstractNumId w:val="1"/>
  </w:num>
  <w:num w:numId="2" w16cid:durableId="230628477">
    <w:abstractNumId w:val="1"/>
  </w:num>
  <w:num w:numId="3" w16cid:durableId="1067873470">
    <w:abstractNumId w:val="4"/>
  </w:num>
  <w:num w:numId="4" w16cid:durableId="629670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829725">
    <w:abstractNumId w:val="0"/>
  </w:num>
  <w:num w:numId="6" w16cid:durableId="833452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77"/>
    <w:rsid w:val="00014A24"/>
    <w:rsid w:val="00050B6F"/>
    <w:rsid w:val="0005523D"/>
    <w:rsid w:val="0008347D"/>
    <w:rsid w:val="000F5837"/>
    <w:rsid w:val="00102BAC"/>
    <w:rsid w:val="001303AF"/>
    <w:rsid w:val="00133BFF"/>
    <w:rsid w:val="0014046B"/>
    <w:rsid w:val="001539AD"/>
    <w:rsid w:val="00156ACB"/>
    <w:rsid w:val="001854C8"/>
    <w:rsid w:val="00192892"/>
    <w:rsid w:val="00195940"/>
    <w:rsid w:val="001B1ADC"/>
    <w:rsid w:val="001C4F7E"/>
    <w:rsid w:val="001D4174"/>
    <w:rsid w:val="00214468"/>
    <w:rsid w:val="00226BC4"/>
    <w:rsid w:val="0023374C"/>
    <w:rsid w:val="00276C0F"/>
    <w:rsid w:val="002B6BDD"/>
    <w:rsid w:val="002D30FD"/>
    <w:rsid w:val="00316CDC"/>
    <w:rsid w:val="00340B3D"/>
    <w:rsid w:val="00366294"/>
    <w:rsid w:val="00391576"/>
    <w:rsid w:val="0042291D"/>
    <w:rsid w:val="00445BDF"/>
    <w:rsid w:val="004610B5"/>
    <w:rsid w:val="004748C6"/>
    <w:rsid w:val="00475633"/>
    <w:rsid w:val="004833C9"/>
    <w:rsid w:val="0048719C"/>
    <w:rsid w:val="004C0B72"/>
    <w:rsid w:val="004D4BEA"/>
    <w:rsid w:val="0052367B"/>
    <w:rsid w:val="00525A9F"/>
    <w:rsid w:val="00527043"/>
    <w:rsid w:val="0055344B"/>
    <w:rsid w:val="00576DE8"/>
    <w:rsid w:val="00580F49"/>
    <w:rsid w:val="00585E26"/>
    <w:rsid w:val="005F42C4"/>
    <w:rsid w:val="00616F8D"/>
    <w:rsid w:val="006F3F30"/>
    <w:rsid w:val="00700DFE"/>
    <w:rsid w:val="00734539"/>
    <w:rsid w:val="007C1539"/>
    <w:rsid w:val="007D4BCE"/>
    <w:rsid w:val="007E2F88"/>
    <w:rsid w:val="007E61C3"/>
    <w:rsid w:val="007F7AEF"/>
    <w:rsid w:val="00814B86"/>
    <w:rsid w:val="008401D0"/>
    <w:rsid w:val="008555CB"/>
    <w:rsid w:val="00873E21"/>
    <w:rsid w:val="00877815"/>
    <w:rsid w:val="00887695"/>
    <w:rsid w:val="008946DC"/>
    <w:rsid w:val="008B4BA7"/>
    <w:rsid w:val="008F28F4"/>
    <w:rsid w:val="008F30BE"/>
    <w:rsid w:val="008F7D60"/>
    <w:rsid w:val="00931777"/>
    <w:rsid w:val="009501E4"/>
    <w:rsid w:val="00952F77"/>
    <w:rsid w:val="0098391A"/>
    <w:rsid w:val="009858CD"/>
    <w:rsid w:val="009B37BF"/>
    <w:rsid w:val="009D0B7A"/>
    <w:rsid w:val="009E078B"/>
    <w:rsid w:val="00A216F7"/>
    <w:rsid w:val="00A51C87"/>
    <w:rsid w:val="00A53CC2"/>
    <w:rsid w:val="00A70CDE"/>
    <w:rsid w:val="00A73408"/>
    <w:rsid w:val="00AB7ED8"/>
    <w:rsid w:val="00AC37B6"/>
    <w:rsid w:val="00AF29E0"/>
    <w:rsid w:val="00AF511C"/>
    <w:rsid w:val="00B04CAF"/>
    <w:rsid w:val="00BA3010"/>
    <w:rsid w:val="00BC0EE0"/>
    <w:rsid w:val="00BF159F"/>
    <w:rsid w:val="00C30548"/>
    <w:rsid w:val="00C74B3D"/>
    <w:rsid w:val="00CA7CA9"/>
    <w:rsid w:val="00D05C40"/>
    <w:rsid w:val="00D077E2"/>
    <w:rsid w:val="00D32E5E"/>
    <w:rsid w:val="00D33B03"/>
    <w:rsid w:val="00D431BB"/>
    <w:rsid w:val="00D44686"/>
    <w:rsid w:val="00D679F0"/>
    <w:rsid w:val="00D84DCF"/>
    <w:rsid w:val="00D95D5D"/>
    <w:rsid w:val="00DB4533"/>
    <w:rsid w:val="00DC586E"/>
    <w:rsid w:val="00DC5EF8"/>
    <w:rsid w:val="00E230A4"/>
    <w:rsid w:val="00E501BE"/>
    <w:rsid w:val="00E6051A"/>
    <w:rsid w:val="00E66808"/>
    <w:rsid w:val="00E87F20"/>
    <w:rsid w:val="00E90B4A"/>
    <w:rsid w:val="00EA76E9"/>
    <w:rsid w:val="00FA2C16"/>
    <w:rsid w:val="00F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70F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7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C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0B5"/>
  </w:style>
  <w:style w:type="paragraph" w:styleId="Footer">
    <w:name w:val="footer"/>
    <w:basedOn w:val="Normal"/>
    <w:link w:val="FooterChar"/>
    <w:uiPriority w:val="99"/>
    <w:unhideWhenUsed/>
    <w:rsid w:val="00461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0B5"/>
  </w:style>
  <w:style w:type="paragraph" w:styleId="ListParagraph">
    <w:name w:val="List Paragraph"/>
    <w:basedOn w:val="Normal"/>
    <w:uiPriority w:val="34"/>
    <w:qFormat/>
    <w:rsid w:val="00FA2C16"/>
    <w:pPr>
      <w:spacing w:after="0" w:line="240" w:lineRule="auto"/>
      <w:ind w:left="720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0067@traderemedies.gov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922648A-AF21-45FD-9ACA-7BE8E4A1DD02}"/>
</file>

<file path=customXml/itemProps2.xml><?xml version="1.0" encoding="utf-8"?>
<ds:datastoreItem xmlns:ds="http://schemas.openxmlformats.org/officeDocument/2006/customXml" ds:itemID="{9826ADFC-5F34-4E29-83BB-57F1518ABC3A}"/>
</file>

<file path=customXml/itemProps3.xml><?xml version="1.0" encoding="utf-8"?>
<ds:datastoreItem xmlns:ds="http://schemas.openxmlformats.org/officeDocument/2006/customXml" ds:itemID="{2A808941-4992-4316-9E3D-EFD6C2293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Links>
    <vt:vector size="6" baseType="variant">
      <vt:variant>
        <vt:i4>4915241</vt:i4>
      </vt:variant>
      <vt:variant>
        <vt:i4>0</vt:i4>
      </vt:variant>
      <vt:variant>
        <vt:i4>0</vt:i4>
      </vt:variant>
      <vt:variant>
        <vt:i4>5</vt:i4>
      </vt:variant>
      <vt:variant>
        <vt:lpwstr>mailto:AD0049@traderemedies.gov.uk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2026-01-14T17:46:00Z</dcterms:created>
  <dcterms:modified xsi:type="dcterms:W3CDTF">2026-01-14T17:46:00Z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