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30D1C6E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7CAB85F7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 xml:space="preserve">Note to the public file summarising time extensions granted for submission of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="00D046E8">
        <w:rPr>
          <w:rFonts w:cs="Arial"/>
          <w:b/>
          <w:color w:val="auto"/>
          <w:sz w:val="24"/>
        </w:rPr>
        <w:t>s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357654C6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00CD157A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00CD157A">
        <w:rPr>
          <w:rFonts w:eastAsia="Times New Roman" w:cs="Times New Roman"/>
          <w:sz w:val="24"/>
          <w:szCs w:val="24"/>
          <w:lang w:eastAsia="en-GB"/>
        </w:rPr>
        <w:t>received 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> for extension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 of time to submit </w:t>
      </w:r>
      <w:r w:rsidR="000440B0" w:rsidRPr="00CD157A">
        <w:rPr>
          <w:rFonts w:eastAsia="Times New Roman" w:cs="Times New Roman"/>
          <w:sz w:val="24"/>
          <w:szCs w:val="24"/>
          <w:lang w:eastAsia="en-GB"/>
        </w:rPr>
        <w:t>a questionnaire</w:t>
      </w:r>
      <w:r w:rsidRPr="00CD157A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73C24A0B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00CD157A">
        <w:rPr>
          <w:rFonts w:eastAsia="Times New Roman" w:cs="Times New Roman"/>
          <w:sz w:val="24"/>
          <w:szCs w:val="24"/>
          <w:lang w:eastAsia="en-GB"/>
        </w:rPr>
        <w:t>application</w:t>
      </w:r>
      <w:r w:rsidR="00B2491C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00CD157A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00CD157A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>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 would not significantly impede the progress of the investigation and </w:t>
      </w:r>
      <w:r w:rsidR="00282660" w:rsidRPr="00CD157A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00CD157A">
        <w:rPr>
          <w:rFonts w:eastAsia="Times New Roman" w:cs="Times New Roman"/>
          <w:sz w:val="24"/>
          <w:szCs w:val="24"/>
          <w:lang w:eastAsia="en-GB"/>
        </w:rPr>
        <w:t>grant extension</w:t>
      </w:r>
      <w:r w:rsidR="00540631">
        <w:rPr>
          <w:rFonts w:eastAsia="Times New Roman" w:cs="Times New Roman"/>
          <w:sz w:val="24"/>
          <w:szCs w:val="24"/>
          <w:lang w:eastAsia="en-GB"/>
        </w:rPr>
        <w:t>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540631">
        <w:rPr>
          <w:rFonts w:eastAsia="Times New Roman" w:cs="Times New Roman"/>
          <w:sz w:val="24"/>
          <w:szCs w:val="24"/>
          <w:lang w:eastAsia="en-GB"/>
        </w:rPr>
        <w:t>ies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00CD157A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00CD157A">
        <w:tc>
          <w:tcPr>
            <w:tcW w:w="2778" w:type="dxa"/>
          </w:tcPr>
          <w:p w14:paraId="41AFE141" w14:textId="66277013" w:rsidR="00A5374C" w:rsidRPr="009D22F2" w:rsidRDefault="002338AE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Frog Bikes</w:t>
            </w:r>
          </w:p>
        </w:tc>
        <w:tc>
          <w:tcPr>
            <w:tcW w:w="4196" w:type="dxa"/>
          </w:tcPr>
          <w:p w14:paraId="13615248" w14:textId="1F08551B" w:rsidR="00A5374C" w:rsidRPr="009D22F2" w:rsidRDefault="002B4FC4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Difficulty obtaining data in a timely manner during one of the </w:t>
            </w:r>
            <w:r w:rsidRPr="002B4FC4">
              <w:rPr>
                <w:rFonts w:ascii="Arial" w:hAnsi="Arial" w:cs="Arial"/>
                <w:color w:val="000000" w:themeColor="text1"/>
                <w:sz w:val="24"/>
                <w:szCs w:val="24"/>
              </w:rPr>
              <w:t>busiest times of year.</w:t>
            </w:r>
          </w:p>
        </w:tc>
        <w:tc>
          <w:tcPr>
            <w:tcW w:w="2268" w:type="dxa"/>
          </w:tcPr>
          <w:p w14:paraId="179E5B91" w14:textId="1F2318C6" w:rsidR="00A5374C" w:rsidRPr="009D22F2" w:rsidRDefault="00D5414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  <w:r w:rsidR="00316CA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December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  <w:tr w:rsidR="005A6222" w14:paraId="749FA1A3" w14:textId="77777777" w:rsidTr="00CD157A">
        <w:tc>
          <w:tcPr>
            <w:tcW w:w="2778" w:type="dxa"/>
          </w:tcPr>
          <w:p w14:paraId="6E04A1DD" w14:textId="024F92F0" w:rsidR="005A6222" w:rsidRPr="009D22F2" w:rsidRDefault="002338AE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Halfords</w:t>
            </w:r>
          </w:p>
        </w:tc>
        <w:tc>
          <w:tcPr>
            <w:tcW w:w="4196" w:type="dxa"/>
          </w:tcPr>
          <w:p w14:paraId="42C287EF" w14:textId="05DD7BE1" w:rsidR="005A6222" w:rsidRPr="009D22F2" w:rsidRDefault="00155359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Conflicting </w:t>
            </w:r>
            <w:r w:rsidR="00D54142">
              <w:rPr>
                <w:rFonts w:ascii="Arial" w:hAnsi="Arial" w:cs="Arial"/>
                <w:color w:val="000000" w:themeColor="text1"/>
                <w:sz w:val="24"/>
                <w:szCs w:val="24"/>
              </w:rPr>
              <w:t>demands over the last month</w:t>
            </w:r>
          </w:p>
        </w:tc>
        <w:tc>
          <w:tcPr>
            <w:tcW w:w="2268" w:type="dxa"/>
          </w:tcPr>
          <w:p w14:paraId="3BE5A960" w14:textId="344C2B48" w:rsidR="005A6222" w:rsidRPr="009D22F2" w:rsidRDefault="009D22F2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2656E2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656E2"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</w:t>
            </w:r>
            <w:r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11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949F" w14:textId="77777777" w:rsidR="00DB26CA" w:rsidRDefault="00DB26CA" w:rsidP="001578D4">
      <w:pPr>
        <w:spacing w:after="0" w:line="240" w:lineRule="auto"/>
      </w:pPr>
      <w:r>
        <w:separator/>
      </w:r>
    </w:p>
  </w:endnote>
  <w:endnote w:type="continuationSeparator" w:id="0">
    <w:p w14:paraId="280CF38B" w14:textId="77777777" w:rsidR="00DB26CA" w:rsidRDefault="00DB26CA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6FEBE" w14:textId="77777777" w:rsidR="00DB26CA" w:rsidRDefault="00DB26CA" w:rsidP="001578D4">
      <w:pPr>
        <w:spacing w:after="0" w:line="240" w:lineRule="auto"/>
      </w:pPr>
      <w:r>
        <w:separator/>
      </w:r>
    </w:p>
  </w:footnote>
  <w:footnote w:type="continuationSeparator" w:id="0">
    <w:p w14:paraId="5668708C" w14:textId="77777777" w:rsidR="00DB26CA" w:rsidRDefault="00DB26CA" w:rsidP="0015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A1294"/>
    <w:rsid w:val="000A139D"/>
    <w:rsid w:val="000A6670"/>
    <w:rsid w:val="000B566D"/>
    <w:rsid w:val="000D3317"/>
    <w:rsid w:val="001148BE"/>
    <w:rsid w:val="00133F81"/>
    <w:rsid w:val="00155359"/>
    <w:rsid w:val="001578D4"/>
    <w:rsid w:val="00192686"/>
    <w:rsid w:val="0019389B"/>
    <w:rsid w:val="001D0A00"/>
    <w:rsid w:val="001F2358"/>
    <w:rsid w:val="002073A3"/>
    <w:rsid w:val="002338AE"/>
    <w:rsid w:val="00245FD0"/>
    <w:rsid w:val="002656E2"/>
    <w:rsid w:val="00271116"/>
    <w:rsid w:val="0027569F"/>
    <w:rsid w:val="0027705F"/>
    <w:rsid w:val="00282660"/>
    <w:rsid w:val="00296546"/>
    <w:rsid w:val="002B4FC4"/>
    <w:rsid w:val="002C07B7"/>
    <w:rsid w:val="002D4D1B"/>
    <w:rsid w:val="002F362A"/>
    <w:rsid w:val="003057AF"/>
    <w:rsid w:val="00316CA6"/>
    <w:rsid w:val="00356BFE"/>
    <w:rsid w:val="00361D05"/>
    <w:rsid w:val="003A4993"/>
    <w:rsid w:val="003C496B"/>
    <w:rsid w:val="003D4097"/>
    <w:rsid w:val="003F2042"/>
    <w:rsid w:val="003F731C"/>
    <w:rsid w:val="00402177"/>
    <w:rsid w:val="004B0FEC"/>
    <w:rsid w:val="0050015B"/>
    <w:rsid w:val="0053693C"/>
    <w:rsid w:val="00540631"/>
    <w:rsid w:val="00552963"/>
    <w:rsid w:val="00560B0E"/>
    <w:rsid w:val="00567DC8"/>
    <w:rsid w:val="005A6222"/>
    <w:rsid w:val="0060085F"/>
    <w:rsid w:val="006124E3"/>
    <w:rsid w:val="00612CD2"/>
    <w:rsid w:val="006222A7"/>
    <w:rsid w:val="0062524B"/>
    <w:rsid w:val="00634AC6"/>
    <w:rsid w:val="006C28DF"/>
    <w:rsid w:val="006C3F13"/>
    <w:rsid w:val="006F5BF3"/>
    <w:rsid w:val="0071019F"/>
    <w:rsid w:val="007443A6"/>
    <w:rsid w:val="00753B2B"/>
    <w:rsid w:val="00784718"/>
    <w:rsid w:val="007B079F"/>
    <w:rsid w:val="007D5762"/>
    <w:rsid w:val="007F41CB"/>
    <w:rsid w:val="00803977"/>
    <w:rsid w:val="0085781F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F6C2D"/>
    <w:rsid w:val="00A21380"/>
    <w:rsid w:val="00A36E7A"/>
    <w:rsid w:val="00A5374C"/>
    <w:rsid w:val="00A85E56"/>
    <w:rsid w:val="00AA4604"/>
    <w:rsid w:val="00AB7963"/>
    <w:rsid w:val="00AD69F8"/>
    <w:rsid w:val="00B1601C"/>
    <w:rsid w:val="00B2491C"/>
    <w:rsid w:val="00B26451"/>
    <w:rsid w:val="00B4181E"/>
    <w:rsid w:val="00B65E4F"/>
    <w:rsid w:val="00B8034A"/>
    <w:rsid w:val="00B860CC"/>
    <w:rsid w:val="00B97EED"/>
    <w:rsid w:val="00BB073A"/>
    <w:rsid w:val="00BB596F"/>
    <w:rsid w:val="00BD69A8"/>
    <w:rsid w:val="00BE4FDF"/>
    <w:rsid w:val="00BF2E22"/>
    <w:rsid w:val="00C3631C"/>
    <w:rsid w:val="00C46283"/>
    <w:rsid w:val="00C54697"/>
    <w:rsid w:val="00C661F2"/>
    <w:rsid w:val="00CA2638"/>
    <w:rsid w:val="00CA3E4E"/>
    <w:rsid w:val="00CD157A"/>
    <w:rsid w:val="00CD4090"/>
    <w:rsid w:val="00CD7855"/>
    <w:rsid w:val="00CE1EF4"/>
    <w:rsid w:val="00D046E8"/>
    <w:rsid w:val="00D2091F"/>
    <w:rsid w:val="00D54142"/>
    <w:rsid w:val="00D764CC"/>
    <w:rsid w:val="00D8624C"/>
    <w:rsid w:val="00D9053B"/>
    <w:rsid w:val="00DA1C42"/>
    <w:rsid w:val="00DB26CA"/>
    <w:rsid w:val="00DC5116"/>
    <w:rsid w:val="00E07E8F"/>
    <w:rsid w:val="00E13F5F"/>
    <w:rsid w:val="00E23560"/>
    <w:rsid w:val="00E46CBC"/>
    <w:rsid w:val="00E76857"/>
    <w:rsid w:val="00EB2AB4"/>
    <w:rsid w:val="00EF173A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hyperlink" Target="mailto:TD0061@traderemedies.gov.uk" TargetMode="Externa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922b1407995bfe67da54277f2f34bca3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a1881f4db465d171ad3bb0e2e43f2f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904A50-CFD4-45FC-AFDC-7242816B5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BCA9A-20E5-4240-BB5C-5759969732DF}"/>
</file>

<file path=customXml/itemProps3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025267-FF98-44CE-8142-A2F48710329C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2024-11-26T14:26:00Z</dcterms:created>
  <dcterms:modified xsi:type="dcterms:W3CDTF">2024-11-26T14:47:00Z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60;#Extension Submission|0d98ec71-4f98-4f1f-9e5b-4e0a8b68c266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CaseCountry">
    <vt:lpwstr>31;#China|450f57c4-d239-451b-a905-81825d5a728d</vt:lpwstr>
  </property>
  <property fmtid="{D5CDD505-2E9C-101B-9397-08002B2CF9AE}" pid="24" name="CaseType">
    <vt:lpwstr>30</vt:lpwstr>
  </property>
  <property fmtid="{D5CDD505-2E9C-101B-9397-08002B2CF9AE}" pid="25" name="RelatedCountry">
    <vt:lpwstr>226;#Egypt|7bebcf6a-9b35-49fe-bd92-1db41e721742</vt:lpwstr>
  </property>
  <property fmtid="{D5CDD505-2E9C-101B-9397-08002B2CF9AE}" pid="26" name="CaseProduct">
    <vt:lpwstr>170</vt:lpwstr>
  </property>
  <property fmtid="{D5CDD505-2E9C-101B-9397-08002B2CF9AE}" pid="27" name="Reconsideration Phase">
    <vt:lpwstr/>
  </property>
  <property fmtid="{D5CDD505-2E9C-101B-9397-08002B2CF9AE}" pid="28" name="QC Gate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_docset_NoMedatataSyncRequired">
    <vt:lpwstr>False</vt:lpwstr>
  </property>
</Properties>
</file>