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Default="00952F77">
      <w:r>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Default="00952F77"/>
    <w:p w14:paraId="16E52557" w14:textId="75D56857" w:rsidR="00952F77" w:rsidRDefault="00952F77"/>
    <w:p w14:paraId="08143D66" w14:textId="57032122" w:rsidR="00952F77" w:rsidRDefault="00952F77"/>
    <w:p w14:paraId="2D552098" w14:textId="51D1FA8F" w:rsidR="00E66808" w:rsidRPr="00DB4533" w:rsidRDefault="00952F77" w:rsidP="00DB4533">
      <w:pPr>
        <w:jc w:val="center"/>
        <w:rPr>
          <w:rFonts w:ascii="Arial" w:hAnsi="Arial" w:cs="Arial"/>
          <w:b/>
          <w:bCs/>
          <w:sz w:val="32"/>
          <w:szCs w:val="32"/>
        </w:rPr>
      </w:pPr>
      <w:r w:rsidRPr="00DB4533">
        <w:rPr>
          <w:rFonts w:ascii="Arial" w:hAnsi="Arial" w:cs="Arial"/>
          <w:b/>
          <w:bCs/>
          <w:sz w:val="32"/>
          <w:szCs w:val="32"/>
        </w:rPr>
        <w:t>Extensions – Note to Public File</w:t>
      </w:r>
    </w:p>
    <w:p w14:paraId="087139DD" w14:textId="77777777" w:rsidR="00952F77" w:rsidRDefault="00952F77"/>
    <w:p w14:paraId="099B7850" w14:textId="784553AA" w:rsidR="00952F77" w:rsidRPr="00DB4533" w:rsidRDefault="00952F77" w:rsidP="00DB4533">
      <w:pPr>
        <w:jc w:val="center"/>
        <w:rPr>
          <w:rFonts w:ascii="Arial" w:hAnsi="Arial" w:cs="Arial"/>
          <w:b/>
          <w:bCs/>
          <w:sz w:val="24"/>
          <w:szCs w:val="24"/>
        </w:rPr>
      </w:pPr>
      <w:r w:rsidRPr="00DB4533">
        <w:rPr>
          <w:rFonts w:ascii="Arial" w:hAnsi="Arial" w:cs="Arial"/>
          <w:b/>
          <w:bCs/>
          <w:sz w:val="24"/>
          <w:szCs w:val="24"/>
        </w:rPr>
        <w:t>Note to the public file summarising time extensions granted for submission of the questionnaire to AD0049 – SPVC from the US</w:t>
      </w:r>
    </w:p>
    <w:p w14:paraId="00778C25" w14:textId="1391DD8D" w:rsidR="00952F77" w:rsidRPr="00DB4533" w:rsidRDefault="00DB4533">
      <w:pPr>
        <w:rPr>
          <w:rFonts w:ascii="Arial" w:hAnsi="Arial" w:cs="Arial"/>
          <w:sz w:val="24"/>
          <w:szCs w:val="24"/>
        </w:rPr>
      </w:pPr>
      <w:r w:rsidRPr="00DB4533">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tbl>
      <w:tblPr>
        <w:tblStyle w:val="TableGrid"/>
        <w:tblW w:w="0" w:type="auto"/>
        <w:tblLook w:val="04A0" w:firstRow="1" w:lastRow="0" w:firstColumn="1" w:lastColumn="0" w:noHBand="0" w:noVBand="1"/>
      </w:tblPr>
      <w:tblGrid>
        <w:gridCol w:w="2071"/>
        <w:gridCol w:w="4190"/>
        <w:gridCol w:w="1097"/>
        <w:gridCol w:w="1658"/>
      </w:tblGrid>
      <w:tr w:rsidR="00DB4533" w14:paraId="2CF8573A" w14:textId="77777777" w:rsidTr="00DB4533">
        <w:tc>
          <w:tcPr>
            <w:tcW w:w="2122" w:type="dxa"/>
            <w:shd w:val="clear" w:color="auto" w:fill="D9D9D9" w:themeFill="background1" w:themeFillShade="D9"/>
          </w:tcPr>
          <w:p w14:paraId="362C8089" w14:textId="77777777" w:rsidR="00DB4533" w:rsidRDefault="00DB4533" w:rsidP="00DB4533">
            <w:pPr>
              <w:jc w:val="center"/>
              <w:rPr>
                <w:rFonts w:ascii="Arial" w:hAnsi="Arial" w:cs="Arial"/>
                <w:sz w:val="24"/>
                <w:szCs w:val="24"/>
              </w:rPr>
            </w:pPr>
          </w:p>
          <w:p w14:paraId="4BE788B1" w14:textId="77777777" w:rsidR="00DB4533" w:rsidRDefault="00DB4533" w:rsidP="00DB4533">
            <w:pPr>
              <w:jc w:val="center"/>
              <w:rPr>
                <w:rFonts w:ascii="Arial" w:hAnsi="Arial" w:cs="Arial"/>
                <w:sz w:val="24"/>
                <w:szCs w:val="24"/>
              </w:rPr>
            </w:pPr>
          </w:p>
          <w:p w14:paraId="49846827" w14:textId="644BD2EC" w:rsidR="00DB4533" w:rsidRPr="00DB4533" w:rsidRDefault="00DB4533" w:rsidP="00DB4533">
            <w:pPr>
              <w:jc w:val="center"/>
              <w:rPr>
                <w:rFonts w:ascii="Arial" w:hAnsi="Arial" w:cs="Arial"/>
                <w:sz w:val="24"/>
                <w:szCs w:val="24"/>
              </w:rPr>
            </w:pPr>
            <w:r w:rsidRPr="00DB4533">
              <w:rPr>
                <w:rFonts w:ascii="Arial" w:hAnsi="Arial" w:cs="Arial"/>
                <w:sz w:val="24"/>
                <w:szCs w:val="24"/>
              </w:rPr>
              <w:t>Company Name</w:t>
            </w:r>
          </w:p>
        </w:tc>
        <w:tc>
          <w:tcPr>
            <w:tcW w:w="4394" w:type="dxa"/>
            <w:shd w:val="clear" w:color="auto" w:fill="D9D9D9" w:themeFill="background1" w:themeFillShade="D9"/>
          </w:tcPr>
          <w:p w14:paraId="51111BE7" w14:textId="77777777" w:rsidR="00DB4533" w:rsidRDefault="00DB4533" w:rsidP="00DB4533">
            <w:pPr>
              <w:jc w:val="center"/>
              <w:rPr>
                <w:rFonts w:ascii="Arial" w:hAnsi="Arial" w:cs="Arial"/>
                <w:sz w:val="24"/>
                <w:szCs w:val="24"/>
              </w:rPr>
            </w:pPr>
          </w:p>
          <w:p w14:paraId="770728C3" w14:textId="77777777" w:rsidR="00DB4533" w:rsidRDefault="00DB4533" w:rsidP="00DB4533">
            <w:pPr>
              <w:jc w:val="center"/>
              <w:rPr>
                <w:rFonts w:ascii="Arial" w:hAnsi="Arial" w:cs="Arial"/>
                <w:sz w:val="24"/>
                <w:szCs w:val="24"/>
              </w:rPr>
            </w:pPr>
          </w:p>
          <w:p w14:paraId="779C77AE" w14:textId="18685EBD" w:rsidR="00DB4533" w:rsidRPr="00DB4533" w:rsidRDefault="00DB4533" w:rsidP="00DB4533">
            <w:pPr>
              <w:jc w:val="center"/>
              <w:rPr>
                <w:rFonts w:ascii="Arial" w:hAnsi="Arial" w:cs="Arial"/>
                <w:sz w:val="24"/>
                <w:szCs w:val="24"/>
              </w:rPr>
            </w:pPr>
            <w:r w:rsidRPr="00DB4533">
              <w:rPr>
                <w:rFonts w:ascii="Arial" w:hAnsi="Arial" w:cs="Arial"/>
                <w:sz w:val="24"/>
                <w:szCs w:val="24"/>
              </w:rPr>
              <w:t>Reason for granting extension</w:t>
            </w:r>
          </w:p>
        </w:tc>
        <w:tc>
          <w:tcPr>
            <w:tcW w:w="992" w:type="dxa"/>
            <w:shd w:val="clear" w:color="auto" w:fill="D9D9D9" w:themeFill="background1" w:themeFillShade="D9"/>
          </w:tcPr>
          <w:p w14:paraId="50C86E59" w14:textId="77777777" w:rsidR="00DB4533" w:rsidRDefault="00DB4533" w:rsidP="00DB4533">
            <w:pPr>
              <w:jc w:val="center"/>
              <w:rPr>
                <w:rFonts w:ascii="Arial" w:hAnsi="Arial" w:cs="Arial"/>
                <w:sz w:val="24"/>
                <w:szCs w:val="24"/>
              </w:rPr>
            </w:pPr>
          </w:p>
          <w:p w14:paraId="48A85468" w14:textId="68B3B234" w:rsidR="00DB4533" w:rsidRPr="00DB4533" w:rsidRDefault="00DB4533" w:rsidP="00DB4533">
            <w:pPr>
              <w:jc w:val="center"/>
              <w:rPr>
                <w:rFonts w:ascii="Arial" w:hAnsi="Arial" w:cs="Arial"/>
                <w:sz w:val="24"/>
                <w:szCs w:val="24"/>
              </w:rPr>
            </w:pPr>
            <w:r w:rsidRPr="00DB4533">
              <w:rPr>
                <w:rFonts w:ascii="Arial" w:hAnsi="Arial" w:cs="Arial"/>
                <w:sz w:val="24"/>
                <w:szCs w:val="24"/>
              </w:rPr>
              <w:t>Number of days required</w:t>
            </w:r>
          </w:p>
        </w:tc>
        <w:tc>
          <w:tcPr>
            <w:tcW w:w="1508" w:type="dxa"/>
            <w:shd w:val="clear" w:color="auto" w:fill="D9D9D9" w:themeFill="background1" w:themeFillShade="D9"/>
          </w:tcPr>
          <w:p w14:paraId="7CBAFFE8" w14:textId="6147F685" w:rsidR="00DB4533" w:rsidRPr="00DB4533" w:rsidRDefault="00DB4533" w:rsidP="00DB4533">
            <w:pPr>
              <w:jc w:val="center"/>
              <w:rPr>
                <w:rFonts w:ascii="Arial" w:hAnsi="Arial" w:cs="Arial"/>
                <w:sz w:val="24"/>
                <w:szCs w:val="24"/>
              </w:rPr>
            </w:pPr>
            <w:r w:rsidRPr="00DB4533">
              <w:rPr>
                <w:rFonts w:ascii="Arial" w:hAnsi="Arial" w:cs="Arial"/>
                <w:sz w:val="24"/>
                <w:szCs w:val="24"/>
              </w:rPr>
              <w:t>New date for completed questionnaire response</w:t>
            </w:r>
          </w:p>
        </w:tc>
      </w:tr>
      <w:tr w:rsidR="00DB4533" w14:paraId="6C2DCAD7" w14:textId="77777777" w:rsidTr="00DB4533">
        <w:tc>
          <w:tcPr>
            <w:tcW w:w="2122" w:type="dxa"/>
          </w:tcPr>
          <w:p w14:paraId="4E370DEF" w14:textId="60F59FCC" w:rsidR="00DB4533" w:rsidRPr="00DB4533" w:rsidRDefault="00DB4533" w:rsidP="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Ravago Americas LLC d/b/a </w:t>
            </w:r>
            <w:proofErr w:type="spellStart"/>
            <w:r w:rsidRPr="00DB4533">
              <w:rPr>
                <w:rFonts w:ascii="Arial" w:hAnsi="Arial" w:cs="Arial"/>
                <w:b/>
                <w:bCs/>
                <w:i/>
                <w:iCs/>
                <w:color w:val="2E74B5" w:themeColor="accent5" w:themeShade="BF"/>
                <w:sz w:val="24"/>
                <w:szCs w:val="24"/>
              </w:rPr>
              <w:t>Resintech</w:t>
            </w:r>
            <w:proofErr w:type="spellEnd"/>
            <w:r w:rsidRPr="00DB4533">
              <w:rPr>
                <w:rFonts w:ascii="Arial" w:hAnsi="Arial" w:cs="Arial"/>
                <w:b/>
                <w:bCs/>
                <w:i/>
                <w:iCs/>
                <w:color w:val="2E74B5" w:themeColor="accent5" w:themeShade="BF"/>
                <w:sz w:val="24"/>
                <w:szCs w:val="24"/>
              </w:rPr>
              <w:t xml:space="preserve"> USA and Resin Technology Inc</w:t>
            </w:r>
          </w:p>
        </w:tc>
        <w:tc>
          <w:tcPr>
            <w:tcW w:w="4394" w:type="dxa"/>
          </w:tcPr>
          <w:p w14:paraId="546A4EF1" w14:textId="77777777" w:rsidR="00DB4533" w:rsidRDefault="00DB4533">
            <w:pPr>
              <w:rPr>
                <w:rFonts w:ascii="Arial" w:hAnsi="Arial" w:cs="Arial"/>
                <w:b/>
                <w:bCs/>
                <w:i/>
                <w:iCs/>
                <w:color w:val="2E74B5" w:themeColor="accent5" w:themeShade="BF"/>
                <w:sz w:val="24"/>
                <w:szCs w:val="24"/>
              </w:rPr>
            </w:pPr>
          </w:p>
          <w:p w14:paraId="311E56B4" w14:textId="61C28560" w:rsidR="00DB4533" w:rsidRPr="00DB4533" w:rsidRDefault="00DB4533" w:rsidP="00F977DE">
            <w:pPr>
              <w:spacing w:after="160" w:line="259" w:lineRule="auto"/>
              <w:jc w:val="both"/>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Due to a change in legal </w:t>
            </w:r>
            <w:proofErr w:type="gramStart"/>
            <w:r w:rsidRPr="00DB4533">
              <w:rPr>
                <w:rFonts w:ascii="Arial" w:hAnsi="Arial" w:cs="Arial"/>
                <w:b/>
                <w:bCs/>
                <w:i/>
                <w:iCs/>
                <w:color w:val="2E74B5" w:themeColor="accent5" w:themeShade="BF"/>
                <w:sz w:val="24"/>
                <w:szCs w:val="24"/>
              </w:rPr>
              <w:t>counsel</w:t>
            </w:r>
            <w:proofErr w:type="gramEnd"/>
            <w:r w:rsidRPr="00DB4533">
              <w:rPr>
                <w:rFonts w:ascii="Arial" w:hAnsi="Arial" w:cs="Arial"/>
                <w:b/>
                <w:bCs/>
                <w:i/>
                <w:iCs/>
                <w:color w:val="2E74B5" w:themeColor="accent5" w:themeShade="BF"/>
                <w:sz w:val="24"/>
                <w:szCs w:val="24"/>
              </w:rPr>
              <w:t xml:space="preserve"> we require an additional </w:t>
            </w:r>
            <w:r w:rsidR="00F977DE">
              <w:rPr>
                <w:rFonts w:ascii="Arial" w:hAnsi="Arial" w:cs="Arial"/>
                <w:b/>
                <w:bCs/>
                <w:i/>
                <w:iCs/>
                <w:color w:val="2E74B5" w:themeColor="accent5" w:themeShade="BF"/>
                <w:sz w:val="24"/>
                <w:szCs w:val="24"/>
              </w:rPr>
              <w:t>time</w:t>
            </w:r>
            <w:r w:rsidRPr="00DB4533">
              <w:rPr>
                <w:rFonts w:ascii="Arial" w:hAnsi="Arial" w:cs="Arial"/>
                <w:b/>
                <w:bCs/>
                <w:i/>
                <w:iCs/>
                <w:color w:val="2E74B5" w:themeColor="accent5" w:themeShade="BF"/>
                <w:sz w:val="24"/>
                <w:szCs w:val="24"/>
              </w:rPr>
              <w:t xml:space="preserve"> to submit our questionnaire</w:t>
            </w:r>
            <w:r w:rsidR="009F44C1">
              <w:rPr>
                <w:rFonts w:ascii="Arial" w:hAnsi="Arial" w:cs="Arial"/>
                <w:b/>
                <w:bCs/>
                <w:i/>
                <w:iCs/>
                <w:color w:val="2E74B5" w:themeColor="accent5" w:themeShade="BF"/>
                <w:sz w:val="24"/>
                <w:szCs w:val="24"/>
              </w:rPr>
              <w:t xml:space="preserve">. </w:t>
            </w:r>
            <w:r w:rsidR="009F44C1" w:rsidRPr="00F977DE">
              <w:rPr>
                <w:rFonts w:ascii="Arial" w:hAnsi="Arial" w:cs="Arial"/>
                <w:b/>
                <w:bCs/>
                <w:i/>
                <w:iCs/>
                <w:color w:val="0070C0"/>
                <w:sz w:val="24"/>
                <w:szCs w:val="24"/>
                <w:lang w:val="en-US"/>
              </w:rPr>
              <w:t>The complexity of the matter requires coordination among various business units to ensure accuracy and comprehensiveness in our response. We believe that the additional time will enable us to provide accurate and the most thorough answers possible.</w:t>
            </w:r>
          </w:p>
        </w:tc>
        <w:tc>
          <w:tcPr>
            <w:tcW w:w="992" w:type="dxa"/>
          </w:tcPr>
          <w:p w14:paraId="33F52281" w14:textId="77777777" w:rsidR="00DB4533" w:rsidRPr="00DB4533" w:rsidRDefault="00DB4533" w:rsidP="00DB4533">
            <w:pPr>
              <w:jc w:val="center"/>
              <w:rPr>
                <w:rFonts w:ascii="Arial" w:hAnsi="Arial" w:cs="Arial"/>
                <w:b/>
                <w:bCs/>
                <w:color w:val="2E74B5" w:themeColor="accent5" w:themeShade="BF"/>
                <w:sz w:val="24"/>
                <w:szCs w:val="24"/>
              </w:rPr>
            </w:pPr>
          </w:p>
          <w:p w14:paraId="60B6EDA1" w14:textId="77777777" w:rsidR="00DB4533" w:rsidRPr="00DB4533" w:rsidRDefault="00DB4533" w:rsidP="00DB4533">
            <w:pPr>
              <w:jc w:val="center"/>
              <w:rPr>
                <w:rFonts w:ascii="Arial" w:hAnsi="Arial" w:cs="Arial"/>
                <w:b/>
                <w:bCs/>
                <w:color w:val="2E74B5" w:themeColor="accent5" w:themeShade="BF"/>
                <w:sz w:val="24"/>
                <w:szCs w:val="24"/>
              </w:rPr>
            </w:pPr>
          </w:p>
          <w:p w14:paraId="73F0F8CD" w14:textId="32AC8AA5" w:rsidR="00DB4533" w:rsidRPr="00DB4533" w:rsidRDefault="009F44C1" w:rsidP="00DB4533">
            <w:pPr>
              <w:jc w:val="center"/>
              <w:rPr>
                <w:rFonts w:ascii="Arial" w:hAnsi="Arial" w:cs="Arial"/>
                <w:b/>
                <w:bCs/>
                <w:color w:val="2E74B5" w:themeColor="accent5" w:themeShade="BF"/>
                <w:sz w:val="24"/>
                <w:szCs w:val="24"/>
              </w:rPr>
            </w:pPr>
            <w:r>
              <w:rPr>
                <w:rFonts w:ascii="Arial" w:hAnsi="Arial" w:cs="Arial"/>
                <w:b/>
                <w:bCs/>
                <w:color w:val="2E74B5" w:themeColor="accent5" w:themeShade="BF"/>
                <w:sz w:val="24"/>
                <w:szCs w:val="24"/>
              </w:rPr>
              <w:t>14</w:t>
            </w:r>
            <w:r w:rsidR="00DB4533" w:rsidRPr="00DB4533">
              <w:rPr>
                <w:rFonts w:ascii="Arial" w:hAnsi="Arial" w:cs="Arial"/>
                <w:b/>
                <w:bCs/>
                <w:color w:val="2E74B5" w:themeColor="accent5" w:themeShade="BF"/>
                <w:sz w:val="24"/>
                <w:szCs w:val="24"/>
              </w:rPr>
              <w:t xml:space="preserve"> days</w:t>
            </w:r>
          </w:p>
        </w:tc>
        <w:tc>
          <w:tcPr>
            <w:tcW w:w="1508" w:type="dxa"/>
          </w:tcPr>
          <w:p w14:paraId="46FAAFA2" w14:textId="77777777" w:rsidR="00DB4533" w:rsidRPr="00DB4533" w:rsidRDefault="00DB4533" w:rsidP="00DB4533">
            <w:pPr>
              <w:jc w:val="center"/>
              <w:rPr>
                <w:rFonts w:ascii="Arial" w:hAnsi="Arial" w:cs="Arial"/>
                <w:b/>
                <w:bCs/>
                <w:color w:val="2E74B5" w:themeColor="accent5" w:themeShade="BF"/>
                <w:sz w:val="24"/>
                <w:szCs w:val="24"/>
              </w:rPr>
            </w:pPr>
          </w:p>
          <w:p w14:paraId="5822ADB7" w14:textId="77777777" w:rsidR="00DB4533" w:rsidRPr="00DB4533" w:rsidRDefault="00DB4533" w:rsidP="00DB4533">
            <w:pPr>
              <w:jc w:val="center"/>
              <w:rPr>
                <w:rFonts w:ascii="Arial" w:hAnsi="Arial" w:cs="Arial"/>
                <w:b/>
                <w:bCs/>
                <w:color w:val="2E74B5" w:themeColor="accent5" w:themeShade="BF"/>
                <w:sz w:val="24"/>
                <w:szCs w:val="24"/>
              </w:rPr>
            </w:pPr>
          </w:p>
          <w:p w14:paraId="7E85C043" w14:textId="61BAAF66" w:rsidR="00DB4533" w:rsidRPr="00DB4533" w:rsidRDefault="009F44C1" w:rsidP="00DB4533">
            <w:pPr>
              <w:jc w:val="center"/>
              <w:rPr>
                <w:rFonts w:ascii="Arial" w:hAnsi="Arial" w:cs="Arial"/>
                <w:b/>
                <w:bCs/>
                <w:color w:val="2E74B5" w:themeColor="accent5" w:themeShade="BF"/>
                <w:sz w:val="24"/>
                <w:szCs w:val="24"/>
              </w:rPr>
            </w:pPr>
            <w:r>
              <w:rPr>
                <w:rFonts w:ascii="Arial" w:hAnsi="Arial" w:cs="Arial"/>
                <w:b/>
                <w:bCs/>
                <w:color w:val="2E74B5" w:themeColor="accent5" w:themeShade="BF"/>
                <w:sz w:val="24"/>
                <w:szCs w:val="24"/>
              </w:rPr>
              <w:t>22</w:t>
            </w:r>
            <w:r w:rsidR="00DB4533" w:rsidRPr="00DB4533">
              <w:rPr>
                <w:rFonts w:ascii="Arial" w:hAnsi="Arial" w:cs="Arial"/>
                <w:b/>
                <w:bCs/>
                <w:color w:val="2E74B5" w:themeColor="accent5" w:themeShade="BF"/>
                <w:sz w:val="24"/>
                <w:szCs w:val="24"/>
              </w:rPr>
              <w:t>/03/2024</w:t>
            </w:r>
          </w:p>
        </w:tc>
      </w:tr>
      <w:tr w:rsidR="00DB4533" w14:paraId="457EBEE3" w14:textId="77777777" w:rsidTr="00DB4533">
        <w:tc>
          <w:tcPr>
            <w:tcW w:w="2122" w:type="dxa"/>
          </w:tcPr>
          <w:p w14:paraId="558CD815" w14:textId="77777777" w:rsidR="00DB4533" w:rsidRDefault="00DB4533" w:rsidP="00DB4533">
            <w:pPr>
              <w:rPr>
                <w:rFonts w:ascii="Arial" w:hAnsi="Arial" w:cs="Arial"/>
                <w:b/>
                <w:bCs/>
                <w:i/>
                <w:iCs/>
                <w:color w:val="2E74B5" w:themeColor="accent5" w:themeShade="BF"/>
                <w:sz w:val="24"/>
                <w:szCs w:val="24"/>
              </w:rPr>
            </w:pPr>
          </w:p>
          <w:p w14:paraId="1EB94990" w14:textId="77777777" w:rsidR="00DB4533" w:rsidRDefault="00DB4533" w:rsidP="00DB4533">
            <w:pPr>
              <w:rPr>
                <w:rFonts w:ascii="Arial" w:hAnsi="Arial" w:cs="Arial"/>
                <w:b/>
                <w:bCs/>
                <w:i/>
                <w:iCs/>
                <w:color w:val="2E74B5" w:themeColor="accent5" w:themeShade="BF"/>
                <w:sz w:val="24"/>
                <w:szCs w:val="24"/>
              </w:rPr>
            </w:pPr>
          </w:p>
          <w:p w14:paraId="33CB87BA" w14:textId="174A76B9" w:rsidR="00DB4533" w:rsidRPr="00DB4533" w:rsidRDefault="00DB4533" w:rsidP="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Formosa Plastics Corporation, </w:t>
            </w:r>
            <w:proofErr w:type="gramStart"/>
            <w:r w:rsidRPr="00DB4533">
              <w:rPr>
                <w:rFonts w:ascii="Arial" w:hAnsi="Arial" w:cs="Arial"/>
                <w:b/>
                <w:bCs/>
                <w:i/>
                <w:iCs/>
                <w:color w:val="2E74B5" w:themeColor="accent5" w:themeShade="BF"/>
                <w:sz w:val="24"/>
                <w:szCs w:val="24"/>
              </w:rPr>
              <w:t>USA</w:t>
            </w:r>
            <w:proofErr w:type="gramEnd"/>
            <w:r w:rsidRPr="00DB4533">
              <w:rPr>
                <w:rFonts w:ascii="Arial" w:hAnsi="Arial" w:cs="Arial"/>
                <w:b/>
                <w:bCs/>
                <w:i/>
                <w:iCs/>
                <w:color w:val="2E74B5" w:themeColor="accent5" w:themeShade="BF"/>
                <w:sz w:val="24"/>
                <w:szCs w:val="24"/>
              </w:rPr>
              <w:t xml:space="preserve"> and related entities (FPC)</w:t>
            </w:r>
          </w:p>
        </w:tc>
        <w:tc>
          <w:tcPr>
            <w:tcW w:w="4394" w:type="dxa"/>
          </w:tcPr>
          <w:p w14:paraId="2222BA85" w14:textId="33B44DED" w:rsidR="00DB4533" w:rsidRPr="00DB4533" w:rsidRDefault="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Questionnaire response required significant resources, and several key team members have been unavailable due to competing demands. The questionnaire requires data to be provided across several entities and from different personnel, across different sites and divisions.</w:t>
            </w:r>
          </w:p>
        </w:tc>
        <w:tc>
          <w:tcPr>
            <w:tcW w:w="992" w:type="dxa"/>
          </w:tcPr>
          <w:p w14:paraId="6FEB4BDF" w14:textId="77777777" w:rsidR="00DB4533" w:rsidRPr="00DB4533" w:rsidRDefault="00DB4533" w:rsidP="00DB4533">
            <w:pPr>
              <w:jc w:val="center"/>
              <w:rPr>
                <w:rFonts w:ascii="Arial" w:hAnsi="Arial" w:cs="Arial"/>
                <w:b/>
                <w:bCs/>
                <w:color w:val="2E74B5" w:themeColor="accent5" w:themeShade="BF"/>
                <w:sz w:val="24"/>
                <w:szCs w:val="24"/>
              </w:rPr>
            </w:pPr>
          </w:p>
          <w:p w14:paraId="69AEB4A0" w14:textId="77777777" w:rsidR="00DB4533" w:rsidRPr="00DB4533" w:rsidRDefault="00DB4533" w:rsidP="00DB4533">
            <w:pPr>
              <w:jc w:val="center"/>
              <w:rPr>
                <w:rFonts w:ascii="Arial" w:hAnsi="Arial" w:cs="Arial"/>
                <w:b/>
                <w:bCs/>
                <w:color w:val="2E74B5" w:themeColor="accent5" w:themeShade="BF"/>
                <w:sz w:val="24"/>
                <w:szCs w:val="24"/>
              </w:rPr>
            </w:pPr>
          </w:p>
          <w:p w14:paraId="32975203" w14:textId="77777777" w:rsidR="00DB4533" w:rsidRPr="00DB4533" w:rsidRDefault="00DB4533" w:rsidP="00DB4533">
            <w:pPr>
              <w:jc w:val="center"/>
              <w:rPr>
                <w:rFonts w:ascii="Arial" w:hAnsi="Arial" w:cs="Arial"/>
                <w:b/>
                <w:bCs/>
                <w:color w:val="2E74B5" w:themeColor="accent5" w:themeShade="BF"/>
                <w:sz w:val="24"/>
                <w:szCs w:val="24"/>
              </w:rPr>
            </w:pPr>
          </w:p>
          <w:p w14:paraId="0530CAF3" w14:textId="77777777" w:rsidR="00DB4533" w:rsidRPr="00DB4533" w:rsidRDefault="00DB4533" w:rsidP="00DB4533">
            <w:pPr>
              <w:jc w:val="center"/>
              <w:rPr>
                <w:rFonts w:ascii="Arial" w:hAnsi="Arial" w:cs="Arial"/>
                <w:b/>
                <w:bCs/>
                <w:color w:val="2E74B5" w:themeColor="accent5" w:themeShade="BF"/>
                <w:sz w:val="24"/>
                <w:szCs w:val="24"/>
              </w:rPr>
            </w:pPr>
          </w:p>
          <w:p w14:paraId="295A52E4" w14:textId="72320D2F"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14 days</w:t>
            </w:r>
          </w:p>
        </w:tc>
        <w:tc>
          <w:tcPr>
            <w:tcW w:w="1508" w:type="dxa"/>
          </w:tcPr>
          <w:p w14:paraId="147AE3E4" w14:textId="77777777" w:rsidR="00DB4533" w:rsidRPr="00DB4533" w:rsidRDefault="00DB4533" w:rsidP="00DB4533">
            <w:pPr>
              <w:jc w:val="center"/>
              <w:rPr>
                <w:rFonts w:ascii="Arial" w:hAnsi="Arial" w:cs="Arial"/>
                <w:b/>
                <w:bCs/>
                <w:color w:val="2E74B5" w:themeColor="accent5" w:themeShade="BF"/>
                <w:sz w:val="24"/>
                <w:szCs w:val="24"/>
              </w:rPr>
            </w:pPr>
          </w:p>
          <w:p w14:paraId="1E67FD81" w14:textId="77777777" w:rsidR="00DB4533" w:rsidRPr="00DB4533" w:rsidRDefault="00DB4533" w:rsidP="00DB4533">
            <w:pPr>
              <w:jc w:val="center"/>
              <w:rPr>
                <w:rFonts w:ascii="Arial" w:hAnsi="Arial" w:cs="Arial"/>
                <w:b/>
                <w:bCs/>
                <w:color w:val="2E74B5" w:themeColor="accent5" w:themeShade="BF"/>
                <w:sz w:val="24"/>
                <w:szCs w:val="24"/>
              </w:rPr>
            </w:pPr>
          </w:p>
          <w:p w14:paraId="2429B0EE" w14:textId="77777777" w:rsidR="00DB4533" w:rsidRPr="00DB4533" w:rsidRDefault="00DB4533" w:rsidP="00DB4533">
            <w:pPr>
              <w:jc w:val="center"/>
              <w:rPr>
                <w:rFonts w:ascii="Arial" w:hAnsi="Arial" w:cs="Arial"/>
                <w:b/>
                <w:bCs/>
                <w:color w:val="2E74B5" w:themeColor="accent5" w:themeShade="BF"/>
                <w:sz w:val="24"/>
                <w:szCs w:val="24"/>
              </w:rPr>
            </w:pPr>
          </w:p>
          <w:p w14:paraId="254D0116" w14:textId="77777777" w:rsidR="00DB4533" w:rsidRPr="00DB4533" w:rsidRDefault="00DB4533" w:rsidP="00DB4533">
            <w:pPr>
              <w:jc w:val="center"/>
              <w:rPr>
                <w:rFonts w:ascii="Arial" w:hAnsi="Arial" w:cs="Arial"/>
                <w:b/>
                <w:bCs/>
                <w:color w:val="2E74B5" w:themeColor="accent5" w:themeShade="BF"/>
                <w:sz w:val="24"/>
                <w:szCs w:val="24"/>
              </w:rPr>
            </w:pPr>
          </w:p>
          <w:p w14:paraId="092AAEC0" w14:textId="6E754E62"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22/03/2024</w:t>
            </w:r>
          </w:p>
        </w:tc>
      </w:tr>
    </w:tbl>
    <w:p w14:paraId="12249135" w14:textId="77777777" w:rsidR="00DB4533" w:rsidRDefault="00DB4533"/>
    <w:p w14:paraId="6D1CB79D" w14:textId="16DBF20A" w:rsidR="00DB4533" w:rsidRPr="00DB4533" w:rsidRDefault="00DB4533">
      <w:pPr>
        <w:rPr>
          <w:rFonts w:ascii="Arial" w:hAnsi="Arial" w:cs="Arial"/>
          <w:sz w:val="24"/>
          <w:szCs w:val="24"/>
        </w:rPr>
      </w:pPr>
      <w:r w:rsidRPr="00DB4533">
        <w:rPr>
          <w:rFonts w:ascii="Arial" w:hAnsi="Arial" w:cs="Arial"/>
          <w:sz w:val="24"/>
          <w:szCs w:val="24"/>
        </w:rPr>
        <w:t>Should you have any questions or comments, please do not hesitate to contact us at</w:t>
      </w:r>
      <w:r w:rsidR="00214468">
        <w:rPr>
          <w:rFonts w:ascii="Arial" w:hAnsi="Arial" w:cs="Arial"/>
          <w:sz w:val="24"/>
          <w:szCs w:val="24"/>
        </w:rPr>
        <w:t xml:space="preserve"> </w:t>
      </w:r>
      <w:hyperlink r:id="rId8" w:history="1">
        <w:r w:rsidR="00CA7CA9" w:rsidRPr="001F2FD2">
          <w:rPr>
            <w:rStyle w:val="Hyperlink"/>
            <w:rFonts w:ascii="Arial" w:hAnsi="Arial" w:cs="Arial"/>
            <w:sz w:val="24"/>
            <w:szCs w:val="24"/>
          </w:rPr>
          <w:t>AD0049@traderemedies.gov.uk</w:t>
        </w:r>
      </w:hyperlink>
      <w:r w:rsidR="00CA7CA9">
        <w:rPr>
          <w:rFonts w:ascii="Arial" w:hAnsi="Arial" w:cs="Arial"/>
          <w:sz w:val="24"/>
          <w:szCs w:val="24"/>
        </w:rPr>
        <w:t xml:space="preserve"> </w:t>
      </w:r>
    </w:p>
    <w:sectPr w:rsidR="00DB4533" w:rsidRPr="00DB4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65A1" w14:textId="77777777" w:rsidR="00176252" w:rsidRDefault="00176252" w:rsidP="004610B5">
      <w:pPr>
        <w:spacing w:after="0" w:line="240" w:lineRule="auto"/>
      </w:pPr>
      <w:r>
        <w:separator/>
      </w:r>
    </w:p>
  </w:endnote>
  <w:endnote w:type="continuationSeparator" w:id="0">
    <w:p w14:paraId="5E69851E" w14:textId="77777777" w:rsidR="00176252" w:rsidRDefault="00176252" w:rsidP="004610B5">
      <w:pPr>
        <w:spacing w:after="0" w:line="240" w:lineRule="auto"/>
      </w:pPr>
      <w:r>
        <w:continuationSeparator/>
      </w:r>
    </w:p>
  </w:endnote>
  <w:endnote w:type="continuationNotice" w:id="1">
    <w:p w14:paraId="4822F73A" w14:textId="77777777" w:rsidR="00176252" w:rsidRDefault="00176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BDF7" w14:textId="77777777" w:rsidR="00176252" w:rsidRDefault="00176252" w:rsidP="004610B5">
      <w:pPr>
        <w:spacing w:after="0" w:line="240" w:lineRule="auto"/>
      </w:pPr>
      <w:r>
        <w:separator/>
      </w:r>
    </w:p>
  </w:footnote>
  <w:footnote w:type="continuationSeparator" w:id="0">
    <w:p w14:paraId="3A2F7B9D" w14:textId="77777777" w:rsidR="00176252" w:rsidRDefault="00176252" w:rsidP="004610B5">
      <w:pPr>
        <w:spacing w:after="0" w:line="240" w:lineRule="auto"/>
      </w:pPr>
      <w:r>
        <w:continuationSeparator/>
      </w:r>
    </w:p>
  </w:footnote>
  <w:footnote w:type="continuationNotice" w:id="1">
    <w:p w14:paraId="5BE4C246" w14:textId="77777777" w:rsidR="00176252" w:rsidRDefault="001762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176252"/>
    <w:rsid w:val="001B47B0"/>
    <w:rsid w:val="001D4174"/>
    <w:rsid w:val="00214468"/>
    <w:rsid w:val="00314F93"/>
    <w:rsid w:val="003965B6"/>
    <w:rsid w:val="003B3E4C"/>
    <w:rsid w:val="003E1B87"/>
    <w:rsid w:val="004610B5"/>
    <w:rsid w:val="00525A9F"/>
    <w:rsid w:val="00576DE8"/>
    <w:rsid w:val="00616F8D"/>
    <w:rsid w:val="006E513F"/>
    <w:rsid w:val="00821AB1"/>
    <w:rsid w:val="008D16D8"/>
    <w:rsid w:val="00952F77"/>
    <w:rsid w:val="009E078B"/>
    <w:rsid w:val="009F44C1"/>
    <w:rsid w:val="00CA7CA9"/>
    <w:rsid w:val="00CC4A70"/>
    <w:rsid w:val="00D077E2"/>
    <w:rsid w:val="00D27579"/>
    <w:rsid w:val="00D32E5E"/>
    <w:rsid w:val="00DB4533"/>
    <w:rsid w:val="00DF0D6B"/>
    <w:rsid w:val="00E66808"/>
    <w:rsid w:val="00E961C1"/>
    <w:rsid w:val="00EA27F7"/>
    <w:rsid w:val="00F9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49@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FFAEACA-8633-4DFB-8776-8F05B9F0C940}"/>
</file>

<file path=customXml/itemProps2.xml><?xml version="1.0" encoding="utf-8"?>
<ds:datastoreItem xmlns:ds="http://schemas.openxmlformats.org/officeDocument/2006/customXml" ds:itemID="{C679DEBE-E903-4A26-BBC1-C51F09260981}"/>
</file>

<file path=customXml/itemProps3.xml><?xml version="1.0" encoding="utf-8"?>
<ds:datastoreItem xmlns:ds="http://schemas.openxmlformats.org/officeDocument/2006/customXml" ds:itemID="{CD59035B-F88C-4FEC-97D4-CFB8CC4E84EB}"/>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2024-03-13T11:13:00Z</dcterms:created>
  <dcterms:modified xsi:type="dcterms:W3CDTF">2024-03-13T11:14:00Z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