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Note to the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file</w:t>
      </w:r>
      <w:proofErr w:type="gramEnd"/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51336B26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 w:rsidR="00D8188D">
        <w:rPr>
          <w:rStyle w:val="normaltextrun"/>
          <w:rFonts w:ascii="Arial" w:hAnsi="Arial" w:cs="Arial"/>
          <w:b/>
          <w:bCs/>
          <w:color w:val="000000" w:themeColor="text1"/>
        </w:rPr>
        <w:t>TS0044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048B2AF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 xml:space="preserve">Transition review of </w:t>
      </w:r>
      <w:r w:rsidR="00A3067B">
        <w:rPr>
          <w:b/>
          <w:bCs/>
          <w:color w:val="auto"/>
          <w:sz w:val="24"/>
        </w:rPr>
        <w:t>countervailing</w:t>
      </w:r>
      <w:r w:rsidRPr="48EAE4A0">
        <w:rPr>
          <w:b/>
          <w:bCs/>
          <w:color w:val="auto"/>
          <w:sz w:val="24"/>
        </w:rPr>
        <w:t xml:space="preserve">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>on</w:t>
      </w:r>
      <w:r w:rsidR="001756D8">
        <w:rPr>
          <w:b/>
          <w:bCs/>
          <w:sz w:val="24"/>
        </w:rPr>
        <w:t xml:space="preserve"> </w:t>
      </w:r>
      <w:r w:rsidR="003708E0">
        <w:rPr>
          <w:b/>
          <w:bCs/>
          <w:sz w:val="24"/>
        </w:rPr>
        <w:t>B</w:t>
      </w:r>
      <w:r w:rsidR="001756D8">
        <w:rPr>
          <w:b/>
          <w:bCs/>
          <w:sz w:val="24"/>
        </w:rPr>
        <w:t>iodiesel originating from Argentina</w:t>
      </w:r>
      <w:r w:rsidR="005A67BE" w:rsidRPr="48EAE4A0">
        <w:rPr>
          <w:b/>
          <w:bCs/>
          <w:sz w:val="24"/>
        </w:rPr>
        <w:t xml:space="preserve"> 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6EE8AF87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6EE8AF87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5468A5A4" w:rsidR="00D940A4" w:rsidRPr="005C4948" w:rsidRDefault="00AC532A" w:rsidP="004B5E59">
            <w:pPr>
              <w:spacing w:line="276" w:lineRule="auto"/>
            </w:pPr>
            <w:r>
              <w:t>5 October 2023</w:t>
            </w:r>
          </w:p>
        </w:tc>
      </w:tr>
      <w:tr w:rsidR="00D940A4" w:rsidRPr="005C4948" w14:paraId="7BDF3816" w14:textId="77777777" w:rsidTr="6EE8AF87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43BE8FDA" w:rsidR="00D940A4" w:rsidRPr="005C4948" w:rsidRDefault="00D91C50" w:rsidP="004B5E59">
            <w:pPr>
              <w:spacing w:line="276" w:lineRule="auto"/>
            </w:pPr>
            <w:r>
              <w:t>2</w:t>
            </w:r>
            <w:r w:rsidR="00C4061A">
              <w:t>3</w:t>
            </w:r>
            <w:r>
              <w:t xml:space="preserve"> October 2023</w:t>
            </w:r>
          </w:p>
        </w:tc>
      </w:tr>
      <w:tr w:rsidR="00D940A4" w:rsidRPr="005C4948" w14:paraId="2D6FB35B" w14:textId="77777777" w:rsidTr="6EE8AF87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5CFE3649" w:rsidR="00D940A4" w:rsidRPr="0022628D" w:rsidRDefault="002757B7" w:rsidP="004B5E59">
            <w:pPr>
              <w:spacing w:line="276" w:lineRule="auto"/>
            </w:pPr>
            <w:r>
              <w:t>14 November 2023</w:t>
            </w:r>
          </w:p>
        </w:tc>
      </w:tr>
      <w:tr w:rsidR="00D940A4" w:rsidRPr="005C4948" w14:paraId="48FFECDB" w14:textId="77777777" w:rsidTr="6EE8AF87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7640FFFD" w:rsidR="00D940A4" w:rsidRPr="00042F51" w:rsidRDefault="00BE4FFB" w:rsidP="004B5E59">
            <w:pPr>
              <w:spacing w:line="276" w:lineRule="auto"/>
            </w:pPr>
            <w:r>
              <w:t>22 December 2023</w:t>
            </w:r>
          </w:p>
        </w:tc>
      </w:tr>
      <w:tr w:rsidR="00D940A4" w:rsidRPr="005C4948" w14:paraId="443A50F2" w14:textId="77777777" w:rsidTr="6EE8AF87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4BF7B6F9" w:rsidR="00D940A4" w:rsidRPr="0022744B" w:rsidRDefault="00F63D8F" w:rsidP="004B5E59">
            <w:pPr>
              <w:spacing w:line="276" w:lineRule="auto"/>
            </w:pPr>
            <w:r>
              <w:t>February to April 2024</w:t>
            </w:r>
          </w:p>
        </w:tc>
      </w:tr>
      <w:tr w:rsidR="00D940A4" w:rsidRPr="005C4948" w14:paraId="16FC3C47" w14:textId="77777777" w:rsidTr="6EE8AF87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49397645" w:rsidR="00D940A4" w:rsidRDefault="00F63D8F" w:rsidP="004B5E59">
            <w:pPr>
              <w:spacing w:line="276" w:lineRule="auto"/>
            </w:pPr>
            <w:r>
              <w:t>September</w:t>
            </w:r>
            <w:r w:rsidR="00D95D47">
              <w:t xml:space="preserve"> 2024</w:t>
            </w:r>
          </w:p>
        </w:tc>
      </w:tr>
      <w:tr w:rsidR="00832212" w:rsidRPr="005C4948" w14:paraId="28ADCB7E" w14:textId="77777777" w:rsidTr="6EE8AF87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032F6674" w:rsidR="00832212" w:rsidRDefault="00526768" w:rsidP="004B5E59">
            <w:pPr>
              <w:spacing w:line="276" w:lineRule="auto"/>
            </w:pPr>
            <w:r>
              <w:t>February</w:t>
            </w:r>
            <w:r w:rsidR="00E13C84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2A6DF8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51B8" w14:textId="77777777" w:rsidR="00FA1A65" w:rsidRDefault="00FA1A65" w:rsidP="006D2B04">
      <w:pPr>
        <w:spacing w:after="0" w:line="240" w:lineRule="auto"/>
      </w:pPr>
      <w:r>
        <w:separator/>
      </w:r>
    </w:p>
  </w:endnote>
  <w:endnote w:type="continuationSeparator" w:id="0">
    <w:p w14:paraId="751C0898" w14:textId="77777777" w:rsidR="00FA1A65" w:rsidRDefault="00FA1A65" w:rsidP="006D2B04">
      <w:pPr>
        <w:spacing w:after="0" w:line="240" w:lineRule="auto"/>
      </w:pPr>
      <w:r>
        <w:continuationSeparator/>
      </w:r>
    </w:p>
  </w:endnote>
  <w:endnote w:type="continuationNotice" w:id="1">
    <w:p w14:paraId="60B674D4" w14:textId="77777777" w:rsidR="00FA1A65" w:rsidRDefault="00FA1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2EB9" w14:textId="77777777" w:rsidR="00FA1A65" w:rsidRDefault="00FA1A65" w:rsidP="006D2B04">
      <w:pPr>
        <w:spacing w:after="0" w:line="240" w:lineRule="auto"/>
      </w:pPr>
      <w:r>
        <w:separator/>
      </w:r>
    </w:p>
  </w:footnote>
  <w:footnote w:type="continuationSeparator" w:id="0">
    <w:p w14:paraId="7B427743" w14:textId="77777777" w:rsidR="00FA1A65" w:rsidRDefault="00FA1A65" w:rsidP="006D2B04">
      <w:pPr>
        <w:spacing w:after="0" w:line="240" w:lineRule="auto"/>
      </w:pPr>
      <w:r>
        <w:continuationSeparator/>
      </w:r>
    </w:p>
  </w:footnote>
  <w:footnote w:type="continuationNotice" w:id="1">
    <w:p w14:paraId="01B8C3CB" w14:textId="77777777" w:rsidR="00FA1A65" w:rsidRDefault="00FA1A65">
      <w:pPr>
        <w:spacing w:after="0" w:line="240" w:lineRule="auto"/>
      </w:pPr>
    </w:p>
  </w:footnote>
  <w:footnote w:id="2">
    <w:p w14:paraId="39AD3B4A" w14:textId="42D11D2A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>please see the</w:t>
      </w:r>
      <w:r w:rsidR="00C92DFC">
        <w:t xml:space="preserve"> Notice of Initiation on the </w:t>
      </w:r>
      <w:hyperlink r:id="rId1" w:history="1">
        <w:r w:rsidR="00C92DFC" w:rsidRPr="001839CA">
          <w:rPr>
            <w:rStyle w:val="Hyperlink"/>
          </w:rPr>
          <w:t>public file</w:t>
        </w:r>
      </w:hyperlink>
      <w:r w:rsidR="001839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102B13"/>
    <w:rsid w:val="00130411"/>
    <w:rsid w:val="00161BDE"/>
    <w:rsid w:val="0017274E"/>
    <w:rsid w:val="001756D8"/>
    <w:rsid w:val="001839CA"/>
    <w:rsid w:val="0022628D"/>
    <w:rsid w:val="0022744B"/>
    <w:rsid w:val="002535D3"/>
    <w:rsid w:val="002757B7"/>
    <w:rsid w:val="0028495E"/>
    <w:rsid w:val="002A22B2"/>
    <w:rsid w:val="002A6DF8"/>
    <w:rsid w:val="002C25FB"/>
    <w:rsid w:val="00310C8C"/>
    <w:rsid w:val="00315518"/>
    <w:rsid w:val="00351E45"/>
    <w:rsid w:val="003539BA"/>
    <w:rsid w:val="003708E0"/>
    <w:rsid w:val="0049197C"/>
    <w:rsid w:val="004940DD"/>
    <w:rsid w:val="00494270"/>
    <w:rsid w:val="00526768"/>
    <w:rsid w:val="005A67BE"/>
    <w:rsid w:val="005C0D21"/>
    <w:rsid w:val="005E317C"/>
    <w:rsid w:val="0062593C"/>
    <w:rsid w:val="0063300C"/>
    <w:rsid w:val="00655A52"/>
    <w:rsid w:val="006C4D71"/>
    <w:rsid w:val="006D2B04"/>
    <w:rsid w:val="007104AD"/>
    <w:rsid w:val="00721CCB"/>
    <w:rsid w:val="007B7495"/>
    <w:rsid w:val="007D19C7"/>
    <w:rsid w:val="007E52D4"/>
    <w:rsid w:val="00832212"/>
    <w:rsid w:val="0086075A"/>
    <w:rsid w:val="00943430"/>
    <w:rsid w:val="009528E8"/>
    <w:rsid w:val="009A2172"/>
    <w:rsid w:val="009F48D5"/>
    <w:rsid w:val="009F4BC3"/>
    <w:rsid w:val="00A3067B"/>
    <w:rsid w:val="00A56EBB"/>
    <w:rsid w:val="00AC532A"/>
    <w:rsid w:val="00B03936"/>
    <w:rsid w:val="00B45C84"/>
    <w:rsid w:val="00BC3B69"/>
    <w:rsid w:val="00BE4FFB"/>
    <w:rsid w:val="00C4061A"/>
    <w:rsid w:val="00C57DCB"/>
    <w:rsid w:val="00C92DFC"/>
    <w:rsid w:val="00C950F1"/>
    <w:rsid w:val="00CD4717"/>
    <w:rsid w:val="00D02555"/>
    <w:rsid w:val="00D41017"/>
    <w:rsid w:val="00D420E9"/>
    <w:rsid w:val="00D45594"/>
    <w:rsid w:val="00D8188D"/>
    <w:rsid w:val="00D91C50"/>
    <w:rsid w:val="00D940A4"/>
    <w:rsid w:val="00D95D47"/>
    <w:rsid w:val="00DA3E22"/>
    <w:rsid w:val="00DB5777"/>
    <w:rsid w:val="00DC3E4E"/>
    <w:rsid w:val="00E13C84"/>
    <w:rsid w:val="00E41F17"/>
    <w:rsid w:val="00EA073F"/>
    <w:rsid w:val="00EA4A90"/>
    <w:rsid w:val="00EC4366"/>
    <w:rsid w:val="00ED6B5A"/>
    <w:rsid w:val="00F6076A"/>
    <w:rsid w:val="00F63D8F"/>
    <w:rsid w:val="00FA1A65"/>
    <w:rsid w:val="00FB7BFB"/>
    <w:rsid w:val="00FC5225"/>
    <w:rsid w:val="3495D9C1"/>
    <w:rsid w:val="48EAE4A0"/>
    <w:rsid w:val="5B3D5F4D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S004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922b1407995bfe67da54277f2f34bca3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a1881f4db465d171ad3bb0e2e43f2f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494A1-D5BB-47EF-B949-2433F188FCFD}">
  <ds:schemaRefs>
    <ds:schemaRef ds:uri="http://schemas.microsoft.com/office/infopath/2007/PartnerControls"/>
    <ds:schemaRef ds:uri="a933a4ec-650a-4d5f-a231-7b141c4967d1"/>
    <ds:schemaRef ds:uri="http://purl.org/dc/terms/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a3a8e5f-87ae-44bc-a796-b11748aeb6f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B629F-B2F1-4A57-8E39-973A0A7094BE}"/>
</file>

<file path=customXml/itemProps4.xml><?xml version="1.0" encoding="utf-8"?>
<ds:datastoreItem xmlns:ds="http://schemas.openxmlformats.org/officeDocument/2006/customXml" ds:itemID="{6B1E3ACE-64F6-4F4A-B318-83AD97F3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201AA5-F16E-4930-AA46-06B367385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2024-07-26T08:57:00Z</dcterms:created>
  <dcterms:modified xsi:type="dcterms:W3CDTF">2024-07-26T08:57:00Z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onfidential">
    <vt:bool>true</vt:bool>
  </property>
  <property fmtid="{D5CDD505-2E9C-101B-9397-08002B2CF9AE}" pid="4" name="Originator">
    <vt:lpwstr>TRA</vt:lpwstr>
  </property>
  <property fmtid="{D5CDD505-2E9C-101B-9397-08002B2CF9AE}" pid="5" name="Originator Type">
    <vt:lpwstr>TRA</vt:lpwstr>
  </property>
  <property fmtid="{D5CDD505-2E9C-101B-9397-08002B2CF9AE}" pid="6" name="Uploaded/Downloaded to/from TRS">
    <vt:bool>false</vt:bool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CaseCountry">
    <vt:lpwstr>233;#Argentina|42748c8a-19a3-4832-bf68-36f45bda8e33</vt:lpwstr>
  </property>
  <property fmtid="{D5CDD505-2E9C-101B-9397-08002B2CF9AE}" pid="11" name="DocumentType">
    <vt:lpwstr>67;#Note|1badfd84-2193-4a3c-9186-0cbcd1b6703a</vt:lpwstr>
  </property>
  <property fmtid="{D5CDD505-2E9C-101B-9397-08002B2CF9AE}" pid="12" name="RelatedCountry">
    <vt:lpwstr>226;#Egypt|7bebcf6a-9b35-49fe-bd92-1db41e721742</vt:lpwstr>
  </property>
  <property fmtid="{D5CDD505-2E9C-101B-9397-08002B2CF9AE}" pid="13" name="lcf76f155ced4ddcb4097134ff3c332f">
    <vt:lpwstr/>
  </property>
  <property fmtid="{D5CDD505-2E9C-101B-9397-08002B2CF9AE}" pid="14" name="_docset_NoMedatataSyncRequired">
    <vt:lpwstr>False</vt:lpwstr>
  </property>
  <property fmtid="{D5CDD505-2E9C-101B-9397-08002B2CF9AE}" pid="15" name="CaseType">
    <vt:lpwstr>63;#Transition Countervailing Review|2fe39b6d-2b65-4d5c-a526-3c7bd73b88ec</vt:lpwstr>
  </property>
  <property fmtid="{D5CDD505-2E9C-101B-9397-08002B2CF9AE}" pid="16" name="CaseProduct">
    <vt:lpwstr>96;#Bio Diesel|84329ffe-f759-41b1-a782-da37bd3adcd5</vt:lpwstr>
  </property>
</Properties>
</file>