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16D85" w:rsidRPr="007C60AF" w:rsidRDefault="00130320">
      <w:pPr>
        <w:pStyle w:val="Title"/>
        <w:jc w:val="center"/>
        <w:rPr>
          <w:sz w:val="48"/>
          <w:szCs w:val="48"/>
        </w:rPr>
      </w:pPr>
      <w:bookmarkStart w:id="0" w:name="_heading=h.ktyddamqk9hx" w:colFirst="0" w:colLast="0"/>
      <w:bookmarkEnd w:id="0"/>
      <w:r w:rsidRPr="007C60AF">
        <w:rPr>
          <w:sz w:val="48"/>
          <w:szCs w:val="48"/>
        </w:rPr>
        <w:t>Trade Remedies Authority</w:t>
      </w:r>
    </w:p>
    <w:p w14:paraId="00000002" w14:textId="77777777" w:rsidR="00416D85" w:rsidRPr="007C60AF" w:rsidRDefault="00130320">
      <w:pPr>
        <w:pStyle w:val="Title"/>
        <w:jc w:val="center"/>
        <w:rPr>
          <w:b w:val="0"/>
          <w:sz w:val="48"/>
          <w:szCs w:val="48"/>
        </w:rPr>
      </w:pPr>
      <w:r w:rsidRPr="007C60AF">
        <w:rPr>
          <w:sz w:val="48"/>
          <w:szCs w:val="48"/>
        </w:rPr>
        <w:t>Anti-dumping and Subsidy Investigations:</w:t>
      </w:r>
    </w:p>
    <w:p w14:paraId="00000003" w14:textId="77777777" w:rsidR="00416D85" w:rsidRPr="007C60AF" w:rsidRDefault="00130320">
      <w:pPr>
        <w:tabs>
          <w:tab w:val="left" w:pos="2130"/>
        </w:tabs>
        <w:jc w:val="center"/>
        <w:rPr>
          <w:b/>
          <w:sz w:val="36"/>
          <w:szCs w:val="36"/>
        </w:rPr>
      </w:pPr>
      <w:r w:rsidRPr="007C60AF">
        <w:rPr>
          <w:b/>
          <w:sz w:val="36"/>
          <w:szCs w:val="36"/>
        </w:rPr>
        <w:t>Application form</w:t>
      </w:r>
    </w:p>
    <w:p w14:paraId="00000004" w14:textId="77777777" w:rsidR="00416D85" w:rsidRPr="007C60AF" w:rsidRDefault="00416D85">
      <w:pPr>
        <w:tabs>
          <w:tab w:val="left" w:pos="2130"/>
        </w:tabs>
        <w:jc w:val="both"/>
        <w:rPr>
          <w:b/>
          <w:sz w:val="32"/>
          <w:szCs w:val="32"/>
        </w:rPr>
      </w:pPr>
    </w:p>
    <w:p w14:paraId="00000005" w14:textId="77777777" w:rsidR="00416D85" w:rsidRPr="007C60AF" w:rsidRDefault="00416D85">
      <w:pPr>
        <w:tabs>
          <w:tab w:val="left" w:pos="2130"/>
        </w:tabs>
        <w:jc w:val="both"/>
        <w:rPr>
          <w:b/>
          <w:sz w:val="32"/>
          <w:szCs w:val="32"/>
        </w:rPr>
      </w:pPr>
    </w:p>
    <w:p w14:paraId="00000006" w14:textId="77777777" w:rsidR="00416D85" w:rsidRPr="007C60AF" w:rsidRDefault="00416D85">
      <w:pPr>
        <w:tabs>
          <w:tab w:val="left" w:pos="2130"/>
        </w:tabs>
        <w:jc w:val="both"/>
        <w:rPr>
          <w:b/>
          <w:sz w:val="32"/>
          <w:szCs w:val="32"/>
        </w:rPr>
      </w:pPr>
    </w:p>
    <w:p w14:paraId="00000007" w14:textId="77777777" w:rsidR="00416D85" w:rsidRPr="007C60AF" w:rsidRDefault="00130320">
      <w:pPr>
        <w:tabs>
          <w:tab w:val="left" w:pos="2130"/>
          <w:tab w:val="left" w:pos="6602"/>
        </w:tabs>
        <w:jc w:val="both"/>
        <w:rPr>
          <w:b/>
          <w:sz w:val="32"/>
          <w:szCs w:val="32"/>
        </w:rPr>
      </w:pPr>
      <w:r w:rsidRPr="007C60AF">
        <w:rPr>
          <w:b/>
          <w:sz w:val="32"/>
          <w:szCs w:val="32"/>
        </w:rPr>
        <w:tab/>
      </w:r>
      <w:r w:rsidRPr="007C60AF">
        <w:rPr>
          <w:b/>
          <w:sz w:val="32"/>
          <w:szCs w:val="32"/>
        </w:rPr>
        <w:tab/>
      </w:r>
    </w:p>
    <w:p w14:paraId="00000008" w14:textId="77777777" w:rsidR="00416D85" w:rsidRPr="007C60AF" w:rsidRDefault="00416D85">
      <w:pPr>
        <w:tabs>
          <w:tab w:val="left" w:pos="2130"/>
        </w:tabs>
        <w:jc w:val="both"/>
        <w:rPr>
          <w:b/>
          <w:sz w:val="32"/>
          <w:szCs w:val="32"/>
        </w:rPr>
      </w:pPr>
    </w:p>
    <w:p w14:paraId="00000009" w14:textId="77777777" w:rsidR="00416D85" w:rsidRPr="007C60AF" w:rsidRDefault="00416D85">
      <w:pPr>
        <w:tabs>
          <w:tab w:val="left" w:pos="2130"/>
        </w:tabs>
        <w:jc w:val="both"/>
        <w:rPr>
          <w:b/>
          <w:sz w:val="32"/>
          <w:szCs w:val="32"/>
        </w:rPr>
      </w:pPr>
    </w:p>
    <w:p w14:paraId="0000000A" w14:textId="77777777" w:rsidR="00416D85" w:rsidRPr="007C60AF" w:rsidRDefault="00416D85">
      <w:pPr>
        <w:tabs>
          <w:tab w:val="left" w:pos="2130"/>
        </w:tabs>
        <w:jc w:val="both"/>
        <w:rPr>
          <w:b/>
          <w:sz w:val="32"/>
          <w:szCs w:val="32"/>
        </w:rPr>
      </w:pPr>
    </w:p>
    <w:p w14:paraId="0000000B" w14:textId="77777777" w:rsidR="00416D85" w:rsidRPr="007C60AF" w:rsidRDefault="00416D85">
      <w:pPr>
        <w:tabs>
          <w:tab w:val="left" w:pos="2130"/>
        </w:tabs>
        <w:jc w:val="both"/>
        <w:rPr>
          <w:b/>
          <w:sz w:val="32"/>
          <w:szCs w:val="32"/>
        </w:rPr>
      </w:pPr>
    </w:p>
    <w:p w14:paraId="0000000C" w14:textId="77777777" w:rsidR="00416D85" w:rsidRPr="007C60AF" w:rsidRDefault="00416D85">
      <w:pPr>
        <w:tabs>
          <w:tab w:val="left" w:pos="2130"/>
        </w:tabs>
        <w:jc w:val="both"/>
        <w:rPr>
          <w:b/>
          <w:sz w:val="32"/>
          <w:szCs w:val="32"/>
        </w:rPr>
      </w:pPr>
    </w:p>
    <w:p w14:paraId="0000000E" w14:textId="77777777" w:rsidR="00416D85" w:rsidRPr="007C60AF" w:rsidRDefault="00416D85">
      <w:pPr>
        <w:tabs>
          <w:tab w:val="left" w:pos="2130"/>
        </w:tabs>
        <w:jc w:val="both"/>
        <w:rPr>
          <w:b/>
          <w:sz w:val="32"/>
          <w:szCs w:val="32"/>
        </w:rPr>
      </w:pPr>
    </w:p>
    <w:p w14:paraId="0000000F" w14:textId="77777777" w:rsidR="00416D85" w:rsidRPr="007C60AF" w:rsidRDefault="00416D85">
      <w:pPr>
        <w:pBdr>
          <w:bottom w:val="single" w:sz="6" w:space="1" w:color="000000"/>
        </w:pBdr>
        <w:spacing w:after="0"/>
        <w:jc w:val="both"/>
      </w:pPr>
    </w:p>
    <w:p w14:paraId="00000010" w14:textId="77777777" w:rsidR="00416D85" w:rsidRPr="007C60AF" w:rsidRDefault="00130320">
      <w:pPr>
        <w:spacing w:after="0"/>
        <w:jc w:val="both"/>
        <w:rPr>
          <w:color w:val="000000"/>
        </w:rPr>
      </w:pPr>
      <w:r w:rsidRPr="007C60AF">
        <w:rPr>
          <w:color w:val="000000"/>
        </w:rPr>
        <w:t xml:space="preserve">When you have completed this form, indicate the </w:t>
      </w:r>
      <w:r w:rsidRPr="007C60AF">
        <w:rPr>
          <w:b/>
          <w:color w:val="000000"/>
        </w:rPr>
        <w:t>confidentiality</w:t>
      </w:r>
      <w:r w:rsidRPr="007C60AF">
        <w:rPr>
          <w:color w:val="000000"/>
        </w:rPr>
        <w:t xml:space="preserve"> of this document by placing an X in the relevant box below:</w:t>
      </w:r>
    </w:p>
    <w:p w14:paraId="00000011" w14:textId="77777777" w:rsidR="00416D85" w:rsidRPr="007C60AF" w:rsidRDefault="00416D85">
      <w:pPr>
        <w:spacing w:after="0"/>
        <w:jc w:val="both"/>
        <w:rPr>
          <w:color w:val="000000"/>
        </w:rPr>
      </w:pPr>
    </w:p>
    <w:p w14:paraId="00000012" w14:textId="77777777" w:rsidR="00416D85" w:rsidRPr="007C60AF" w:rsidRDefault="00000000">
      <w:pPr>
        <w:spacing w:after="0"/>
        <w:jc w:val="both"/>
        <w:rPr>
          <w:color w:val="000000"/>
        </w:rPr>
      </w:pPr>
      <w:sdt>
        <w:sdtPr>
          <w:tag w:val="goog_rdk_0"/>
          <w:id w:val="401956097"/>
        </w:sdtPr>
        <w:sdtContent>
          <w:r w:rsidR="00130320" w:rsidRPr="007C60AF">
            <w:rPr>
              <w:rFonts w:ascii="Arial Unicode MS" w:eastAsia="Arial Unicode MS" w:hAnsi="Arial Unicode MS" w:cs="Arial Unicode MS"/>
              <w:b/>
              <w:color w:val="000000"/>
            </w:rPr>
            <w:t>☐</w:t>
          </w:r>
        </w:sdtContent>
      </w:sdt>
      <w:r w:rsidR="00130320" w:rsidRPr="007C60AF">
        <w:rPr>
          <w:color w:val="000000"/>
        </w:rPr>
        <w:t xml:space="preserve"> Confidential</w:t>
      </w:r>
    </w:p>
    <w:p w14:paraId="00000013" w14:textId="77777777" w:rsidR="00416D85" w:rsidRPr="007C60AF" w:rsidRDefault="00130320">
      <w:pPr>
        <w:spacing w:after="0"/>
        <w:jc w:val="both"/>
        <w:rPr>
          <w:color w:val="000000"/>
        </w:rPr>
      </w:pPr>
      <w:r w:rsidRPr="007C60AF">
        <w:rPr>
          <w:rFonts w:ascii="Quattrocento Sans" w:eastAsia="Quattrocento Sans" w:hAnsi="Quattrocento Sans" w:cs="Quattrocento Sans"/>
          <w:b/>
          <w:color w:val="000000"/>
        </w:rPr>
        <w:t>X</w:t>
      </w:r>
      <w:r w:rsidRPr="007C60AF">
        <w:rPr>
          <w:color w:val="000000"/>
        </w:rPr>
        <w:t xml:space="preserve"> </w:t>
      </w:r>
      <w:proofErr w:type="gramStart"/>
      <w:r w:rsidRPr="007C60AF">
        <w:rPr>
          <w:color w:val="000000"/>
        </w:rPr>
        <w:t>Non-Confidential</w:t>
      </w:r>
      <w:proofErr w:type="gramEnd"/>
      <w:r w:rsidRPr="007C60AF">
        <w:rPr>
          <w:color w:val="000000"/>
        </w:rPr>
        <w:t xml:space="preserve"> – will be made publicly available</w:t>
      </w:r>
    </w:p>
    <w:p w14:paraId="00000014" w14:textId="77777777" w:rsidR="00416D85" w:rsidRPr="007C60AF" w:rsidRDefault="00416D85">
      <w:pPr>
        <w:spacing w:after="0"/>
        <w:jc w:val="both"/>
        <w:rPr>
          <w:color w:val="000000"/>
        </w:rPr>
      </w:pPr>
    </w:p>
    <w:p w14:paraId="00000015" w14:textId="77777777" w:rsidR="00416D85" w:rsidRPr="007C60AF" w:rsidRDefault="00130320">
      <w:pPr>
        <w:pBdr>
          <w:bottom w:val="single" w:sz="6" w:space="1" w:color="000000"/>
        </w:pBdr>
        <w:spacing w:after="0"/>
        <w:jc w:val="both"/>
        <w:rPr>
          <w:color w:val="000000"/>
        </w:rPr>
      </w:pPr>
      <w:r w:rsidRPr="007C60AF">
        <w:rPr>
          <w:color w:val="000000"/>
        </w:rPr>
        <w:t xml:space="preserve">Please note that you will have to provide </w:t>
      </w:r>
      <w:r w:rsidRPr="007C60AF">
        <w:rPr>
          <w:b/>
          <w:color w:val="000000"/>
        </w:rPr>
        <w:t>two copies of your response</w:t>
      </w:r>
      <w:r w:rsidRPr="007C60AF">
        <w:rPr>
          <w:color w:val="000000"/>
        </w:rPr>
        <w:t xml:space="preserve"> – a </w:t>
      </w:r>
      <w:r w:rsidRPr="007C60AF">
        <w:rPr>
          <w:b/>
          <w:color w:val="000000"/>
        </w:rPr>
        <w:t xml:space="preserve">Confidential </w:t>
      </w:r>
      <w:r w:rsidRPr="007C60AF">
        <w:rPr>
          <w:color w:val="000000"/>
        </w:rPr>
        <w:t xml:space="preserve">and a </w:t>
      </w:r>
      <w:r w:rsidRPr="007C60AF">
        <w:rPr>
          <w:b/>
          <w:color w:val="000000"/>
        </w:rPr>
        <w:t xml:space="preserve">Non-Confidential version. </w:t>
      </w:r>
      <w:r w:rsidRPr="007C60AF">
        <w:rPr>
          <w:color w:val="000000"/>
        </w:rPr>
        <w:t>Both copies should be returned to the TRA using the Trade Remedies Service (</w:t>
      </w:r>
      <w:hyperlink r:id="rId8">
        <w:r w:rsidRPr="007C60AF">
          <w:rPr>
            <w:color w:val="0563C1"/>
            <w:u w:val="single"/>
          </w:rPr>
          <w:t>www.trade-remedies.service.gov.uk</w:t>
        </w:r>
      </w:hyperlink>
      <w:r w:rsidRPr="007C60AF">
        <w:rPr>
          <w:color w:val="000000"/>
        </w:rPr>
        <w:t>).</w:t>
      </w:r>
    </w:p>
    <w:p w14:paraId="00000016" w14:textId="77777777" w:rsidR="00416D85" w:rsidRPr="007C60AF" w:rsidRDefault="00130320">
      <w:pPr>
        <w:jc w:val="both"/>
        <w:rPr>
          <w:color w:val="000000"/>
        </w:rPr>
      </w:pPr>
      <w:r w:rsidRPr="007C60AF">
        <w:br w:type="page"/>
      </w:r>
    </w:p>
    <w:p w14:paraId="00000017" w14:textId="77777777" w:rsidR="00416D85" w:rsidRPr="007C60AF" w:rsidRDefault="00130320">
      <w:pPr>
        <w:keepNext/>
        <w:keepLines/>
        <w:pBdr>
          <w:top w:val="nil"/>
          <w:left w:val="nil"/>
          <w:bottom w:val="nil"/>
          <w:right w:val="nil"/>
          <w:between w:val="nil"/>
        </w:pBdr>
        <w:spacing w:before="240" w:after="0"/>
        <w:jc w:val="both"/>
        <w:rPr>
          <w:rFonts w:eastAsia="Arial"/>
          <w:b/>
          <w:color w:val="000000"/>
          <w:sz w:val="32"/>
          <w:szCs w:val="32"/>
        </w:rPr>
      </w:pPr>
      <w:r w:rsidRPr="007C60AF">
        <w:rPr>
          <w:rFonts w:eastAsia="Arial"/>
          <w:b/>
          <w:color w:val="000000"/>
          <w:sz w:val="32"/>
          <w:szCs w:val="32"/>
        </w:rPr>
        <w:lastRenderedPageBreak/>
        <w:t>Contents</w:t>
      </w:r>
    </w:p>
    <w:sdt>
      <w:sdtPr>
        <w:id w:val="898626922"/>
        <w:docPartObj>
          <w:docPartGallery w:val="Table of Contents"/>
          <w:docPartUnique/>
        </w:docPartObj>
      </w:sdtPr>
      <w:sdtContent>
        <w:p w14:paraId="00000018" w14:textId="77777777" w:rsidR="00416D85" w:rsidRPr="007C60AF" w:rsidRDefault="00130320">
          <w:pPr>
            <w:pBdr>
              <w:top w:val="nil"/>
              <w:left w:val="nil"/>
              <w:bottom w:val="nil"/>
              <w:right w:val="nil"/>
              <w:between w:val="nil"/>
            </w:pBdr>
            <w:tabs>
              <w:tab w:val="right" w:leader="dot" w:pos="9016"/>
            </w:tabs>
            <w:spacing w:before="360" w:after="0"/>
            <w:rPr>
              <w:rFonts w:ascii="Calibri" w:eastAsia="Calibri" w:hAnsi="Calibri" w:cs="Calibri"/>
              <w:color w:val="000000"/>
            </w:rPr>
          </w:pPr>
          <w:r w:rsidRPr="007C60AF">
            <w:fldChar w:fldCharType="begin"/>
          </w:r>
          <w:r w:rsidRPr="007C60AF">
            <w:instrText xml:space="preserve"> TOC \h \u \z \t "Heading 1,1,"</w:instrText>
          </w:r>
          <w:r w:rsidRPr="007C60AF">
            <w:fldChar w:fldCharType="separate"/>
          </w:r>
          <w:hyperlink w:anchor="_heading=h.9c9k8fljckid">
            <w:r w:rsidRPr="007C60AF">
              <w:rPr>
                <w:rFonts w:eastAsia="Arial"/>
                <w:b/>
                <w:color w:val="000000"/>
              </w:rPr>
              <w:t>Instructions</w:t>
            </w:r>
            <w:r w:rsidRPr="007C60AF">
              <w:rPr>
                <w:rFonts w:eastAsia="Arial"/>
                <w:b/>
                <w:color w:val="000000"/>
              </w:rPr>
              <w:tab/>
              <w:t>3</w:t>
            </w:r>
          </w:hyperlink>
        </w:p>
        <w:p w14:paraId="00000019"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dilb6bdmfre2">
            <w:r w:rsidR="00130320" w:rsidRPr="007C60AF">
              <w:rPr>
                <w:rFonts w:eastAsia="Arial"/>
                <w:b/>
                <w:color w:val="000000"/>
              </w:rPr>
              <w:t>SECTION A: About The Goods</w:t>
            </w:r>
            <w:r w:rsidR="00130320" w:rsidRPr="007C60AF">
              <w:rPr>
                <w:rFonts w:eastAsia="Arial"/>
                <w:b/>
                <w:color w:val="000000"/>
              </w:rPr>
              <w:tab/>
              <w:t>6</w:t>
            </w:r>
          </w:hyperlink>
        </w:p>
        <w:p w14:paraId="0000001A"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whop89f2ko2x">
            <w:r w:rsidR="00130320" w:rsidRPr="007C60AF">
              <w:rPr>
                <w:rFonts w:eastAsia="Arial"/>
                <w:b/>
                <w:color w:val="000000"/>
              </w:rPr>
              <w:t>SECTION B: About the Application</w:t>
            </w:r>
            <w:r w:rsidR="00130320" w:rsidRPr="007C60AF">
              <w:rPr>
                <w:rFonts w:eastAsia="Arial"/>
                <w:b/>
                <w:color w:val="000000"/>
              </w:rPr>
              <w:tab/>
              <w:t>44</w:t>
            </w:r>
          </w:hyperlink>
        </w:p>
        <w:p w14:paraId="0000001B"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wzwjbp8dvh59">
            <w:r w:rsidR="00130320" w:rsidRPr="007C60AF">
              <w:rPr>
                <w:rFonts w:eastAsia="Arial"/>
                <w:b/>
                <w:color w:val="000000"/>
              </w:rPr>
              <w:t>SECTION C: About Other Interested Parties</w:t>
            </w:r>
            <w:r w:rsidR="00130320" w:rsidRPr="007C60AF">
              <w:rPr>
                <w:rFonts w:eastAsia="Arial"/>
                <w:b/>
                <w:color w:val="000000"/>
              </w:rPr>
              <w:tab/>
              <w:t>48</w:t>
            </w:r>
          </w:hyperlink>
        </w:p>
        <w:p w14:paraId="0000001C"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52j8py8v9lpf">
            <w:r w:rsidR="00130320" w:rsidRPr="007C60AF">
              <w:rPr>
                <w:rFonts w:eastAsia="Arial"/>
                <w:b/>
                <w:color w:val="000000"/>
              </w:rPr>
              <w:t>SECTION D: Representativeness</w:t>
            </w:r>
            <w:r w:rsidR="00130320" w:rsidRPr="007C60AF">
              <w:rPr>
                <w:rFonts w:eastAsia="Arial"/>
                <w:b/>
                <w:color w:val="000000"/>
              </w:rPr>
              <w:tab/>
              <w:t>51</w:t>
            </w:r>
          </w:hyperlink>
        </w:p>
        <w:p w14:paraId="0000001D"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hck0c4y4tlsy">
            <w:r w:rsidR="00130320" w:rsidRPr="007C60AF">
              <w:rPr>
                <w:rFonts w:eastAsia="Arial"/>
                <w:b/>
                <w:color w:val="000000"/>
              </w:rPr>
              <w:t>SECTION E: About the allegedly dumped imports you want us to investigate</w:t>
            </w:r>
            <w:r w:rsidR="00130320" w:rsidRPr="007C60AF">
              <w:rPr>
                <w:rFonts w:eastAsia="Arial"/>
                <w:b/>
                <w:color w:val="000000"/>
              </w:rPr>
              <w:tab/>
              <w:t>53</w:t>
            </w:r>
          </w:hyperlink>
        </w:p>
        <w:p w14:paraId="0000001E"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r9b3vv34t7w2">
            <w:r w:rsidR="00130320" w:rsidRPr="007C60AF">
              <w:rPr>
                <w:rFonts w:eastAsia="Arial"/>
                <w:b/>
                <w:color w:val="000000"/>
              </w:rPr>
              <w:t>SECTION F: Subsidised imports</w:t>
            </w:r>
            <w:r w:rsidR="00130320" w:rsidRPr="007C60AF">
              <w:rPr>
                <w:rFonts w:eastAsia="Arial"/>
                <w:b/>
                <w:color w:val="000000"/>
              </w:rPr>
              <w:tab/>
              <w:t>69</w:t>
            </w:r>
          </w:hyperlink>
        </w:p>
        <w:p w14:paraId="0000001F"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eqg2j1d0mdjm">
            <w:r w:rsidR="00130320" w:rsidRPr="007C60AF">
              <w:rPr>
                <w:rFonts w:eastAsia="Arial"/>
                <w:b/>
                <w:color w:val="000000"/>
              </w:rPr>
              <w:t>SECTION G: Injury</w:t>
            </w:r>
            <w:r w:rsidR="00130320" w:rsidRPr="007C60AF">
              <w:rPr>
                <w:rFonts w:eastAsia="Arial"/>
                <w:b/>
                <w:color w:val="000000"/>
              </w:rPr>
              <w:tab/>
              <w:t>83</w:t>
            </w:r>
          </w:hyperlink>
        </w:p>
        <w:p w14:paraId="00000020"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4rwge81ndud">
            <w:r w:rsidR="00130320" w:rsidRPr="007C60AF">
              <w:rPr>
                <w:rFonts w:eastAsia="Arial"/>
                <w:b/>
                <w:color w:val="000000"/>
              </w:rPr>
              <w:t>SECTION H: Causal link between the imported goods and injury to your industry</w:t>
            </w:r>
            <w:r w:rsidR="00130320" w:rsidRPr="007C60AF">
              <w:rPr>
                <w:rFonts w:eastAsia="Arial"/>
                <w:b/>
                <w:color w:val="000000"/>
              </w:rPr>
              <w:tab/>
              <w:t>114</w:t>
            </w:r>
          </w:hyperlink>
        </w:p>
        <w:p w14:paraId="00000021"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1pktd1gyt4el">
            <w:r w:rsidR="00130320" w:rsidRPr="007C60AF">
              <w:rPr>
                <w:rFonts w:eastAsia="Arial"/>
                <w:b/>
                <w:color w:val="000000"/>
              </w:rPr>
              <w:t>SECTION I: Request for registration of imports</w:t>
            </w:r>
            <w:r w:rsidR="00130320" w:rsidRPr="007C60AF">
              <w:rPr>
                <w:rFonts w:eastAsia="Arial"/>
                <w:b/>
                <w:color w:val="000000"/>
              </w:rPr>
              <w:tab/>
              <w:t>126</w:t>
            </w:r>
          </w:hyperlink>
        </w:p>
        <w:p w14:paraId="00000022"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wn57vbat220g">
            <w:r w:rsidR="00130320" w:rsidRPr="007C60AF">
              <w:rPr>
                <w:rFonts w:eastAsia="Arial"/>
                <w:b/>
                <w:color w:val="000000"/>
              </w:rPr>
              <w:t>SECTION J: Declaration</w:t>
            </w:r>
            <w:r w:rsidR="00130320" w:rsidRPr="007C60AF">
              <w:rPr>
                <w:rFonts w:eastAsia="Arial"/>
                <w:b/>
                <w:color w:val="000000"/>
              </w:rPr>
              <w:tab/>
              <w:t>127</w:t>
            </w:r>
          </w:hyperlink>
        </w:p>
        <w:p w14:paraId="00000023"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m38nor22ztaz">
            <w:r w:rsidR="00130320" w:rsidRPr="007C60AF">
              <w:rPr>
                <w:rFonts w:eastAsia="Arial"/>
                <w:b/>
                <w:color w:val="000000"/>
              </w:rPr>
              <w:t>SECTION K: Checklist</w:t>
            </w:r>
            <w:r w:rsidR="00130320" w:rsidRPr="007C60AF">
              <w:rPr>
                <w:rFonts w:eastAsia="Arial"/>
                <w:b/>
                <w:color w:val="000000"/>
              </w:rPr>
              <w:tab/>
              <w:t>128</w:t>
            </w:r>
          </w:hyperlink>
        </w:p>
        <w:p w14:paraId="00000024" w14:textId="77777777" w:rsidR="00416D85" w:rsidRPr="007C60AF" w:rsidRDefault="00130320">
          <w:pPr>
            <w:jc w:val="both"/>
          </w:pPr>
          <w:r w:rsidRPr="007C60AF">
            <w:fldChar w:fldCharType="end"/>
          </w:r>
        </w:p>
      </w:sdtContent>
    </w:sdt>
    <w:p w14:paraId="00000025" w14:textId="77777777" w:rsidR="00416D85" w:rsidRPr="007C60AF" w:rsidRDefault="00416D85">
      <w:pPr>
        <w:spacing w:line="276" w:lineRule="auto"/>
        <w:jc w:val="both"/>
      </w:pPr>
    </w:p>
    <w:p w14:paraId="00000026" w14:textId="77777777" w:rsidR="00416D85" w:rsidRPr="007C60AF" w:rsidRDefault="00130320">
      <w:pPr>
        <w:jc w:val="both"/>
        <w:rPr>
          <w:b/>
          <w:color w:val="000000"/>
          <w:sz w:val="32"/>
          <w:szCs w:val="32"/>
        </w:rPr>
      </w:pPr>
      <w:r w:rsidRPr="007C60AF">
        <w:br w:type="page"/>
      </w:r>
    </w:p>
    <w:p w14:paraId="00000027" w14:textId="77777777" w:rsidR="00416D85" w:rsidRPr="007C60AF" w:rsidRDefault="00130320">
      <w:pPr>
        <w:pStyle w:val="Heading1"/>
        <w:spacing w:line="276" w:lineRule="auto"/>
        <w:jc w:val="both"/>
        <w:rPr>
          <w:sz w:val="36"/>
          <w:szCs w:val="36"/>
          <w:u w:val="none"/>
        </w:rPr>
      </w:pPr>
      <w:bookmarkStart w:id="1" w:name="_heading=h.9c9k8fljckid" w:colFirst="0" w:colLast="0"/>
      <w:bookmarkEnd w:id="1"/>
      <w:r w:rsidRPr="007C60AF">
        <w:rPr>
          <w:sz w:val="36"/>
          <w:szCs w:val="36"/>
          <w:u w:val="none"/>
        </w:rPr>
        <w:lastRenderedPageBreak/>
        <w:t>Instructions</w:t>
      </w:r>
    </w:p>
    <w:p w14:paraId="00000028" w14:textId="77777777" w:rsidR="00416D85" w:rsidRPr="007C60AF" w:rsidRDefault="00130320">
      <w:pPr>
        <w:pStyle w:val="Heading2"/>
        <w:jc w:val="both"/>
        <w:rPr>
          <w:sz w:val="32"/>
          <w:szCs w:val="32"/>
          <w:u w:val="none"/>
        </w:rPr>
      </w:pPr>
      <w:r w:rsidRPr="007C60AF">
        <w:rPr>
          <w:b/>
          <w:sz w:val="32"/>
          <w:szCs w:val="32"/>
          <w:u w:val="none"/>
        </w:rPr>
        <w:t>About us</w:t>
      </w:r>
    </w:p>
    <w:p w14:paraId="0000002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Trade Remedies Authority (TRA) is an arm length body of the UK’s Department for Business and Trade. It carries out trade remedies investigations to find out if a new trade measure may be needed to counter dumped or subsidised imports or a sudden surge in imports.</w:t>
      </w:r>
    </w:p>
    <w:p w14:paraId="0000002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 legislative framework that the TRA operates under is found in the </w:t>
      </w:r>
      <w:hyperlink r:id="rId9">
        <w:r w:rsidRPr="007C60AF">
          <w:rPr>
            <w:rFonts w:eastAsia="Arial"/>
            <w:color w:val="0563C1"/>
            <w:u w:val="single"/>
          </w:rPr>
          <w:t>Taxation (Cross-border Trade) Act 2018</w:t>
        </w:r>
      </w:hyperlink>
      <w:r w:rsidRPr="007C60AF">
        <w:rPr>
          <w:rFonts w:eastAsia="Arial"/>
          <w:color w:val="000000"/>
        </w:rPr>
        <w:t xml:space="preserve">) (‘the Act’) and the </w:t>
      </w:r>
      <w:hyperlink r:id="rId10">
        <w:r w:rsidRPr="007C60AF">
          <w:rPr>
            <w:rFonts w:eastAsia="Arial"/>
            <w:color w:val="0563C1"/>
            <w:u w:val="single"/>
          </w:rPr>
          <w:t>Trade Remedies (Dumping and Subsidisation) (EU Exit) Regulations 2019</w:t>
        </w:r>
      </w:hyperlink>
      <w:r w:rsidRPr="007C60AF">
        <w:rPr>
          <w:rFonts w:eastAsia="Arial"/>
          <w:color w:val="000000"/>
        </w:rPr>
        <w:t xml:space="preserve"> (‘the Regulations’). </w:t>
      </w:r>
    </w:p>
    <w:p w14:paraId="0000002B" w14:textId="77777777" w:rsidR="00416D85" w:rsidRPr="007C60AF" w:rsidRDefault="00130320">
      <w:pPr>
        <w:pStyle w:val="Heading2"/>
        <w:jc w:val="both"/>
      </w:pPr>
      <w:r w:rsidRPr="007C60AF">
        <w:rPr>
          <w:b/>
          <w:sz w:val="32"/>
          <w:szCs w:val="32"/>
          <w:u w:val="none"/>
        </w:rPr>
        <w:t>About you</w:t>
      </w:r>
    </w:p>
    <w:p w14:paraId="0000002C" w14:textId="77777777" w:rsidR="00416D85" w:rsidRPr="007C60AF" w:rsidRDefault="00130320">
      <w:pPr>
        <w:pBdr>
          <w:top w:val="nil"/>
          <w:left w:val="nil"/>
          <w:bottom w:val="nil"/>
          <w:right w:val="nil"/>
          <w:between w:val="nil"/>
        </w:pBdr>
        <w:spacing w:before="120" w:line="276" w:lineRule="auto"/>
        <w:jc w:val="both"/>
        <w:rPr>
          <w:rFonts w:eastAsia="Arial"/>
          <w:b/>
          <w:color w:val="000000"/>
        </w:rPr>
      </w:pPr>
      <w:r w:rsidRPr="007C60AF">
        <w:rPr>
          <w:rFonts w:eastAsia="Arial"/>
          <w:color w:val="000000"/>
        </w:rPr>
        <w:t xml:space="preserve">You can apply to us to open an investigation if you are a UK producer of </w:t>
      </w:r>
      <w:proofErr w:type="gramStart"/>
      <w:r w:rsidRPr="007C60AF">
        <w:rPr>
          <w:rFonts w:eastAsia="Arial"/>
          <w:color w:val="000000"/>
        </w:rPr>
        <w:t>goods</w:t>
      </w:r>
      <w:proofErr w:type="gramEnd"/>
      <w:r w:rsidRPr="007C60AF">
        <w:rPr>
          <w:rFonts w:eastAsia="Arial"/>
          <w:color w:val="000000"/>
        </w:rPr>
        <w:t xml:space="preserve"> or a representative of a UK producer and you have evidence of unfair trade practices relating to the dumping or subsidy of goods imported into the UK.</w:t>
      </w:r>
    </w:p>
    <w:p w14:paraId="0000002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You must provide sufficient evidence of dumped or subsidised goods being imported in the UK and that the dumped or subsidised imports have caused or are causing injury to the UK industry (in compliance with the Act)</w:t>
      </w:r>
    </w:p>
    <w:p w14:paraId="0000002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You can find out more about our remit and how we work by reading our guidance on </w:t>
      </w:r>
      <w:hyperlink r:id="rId11">
        <w:r w:rsidRPr="007C60AF">
          <w:rPr>
            <w:rFonts w:eastAsia="Arial"/>
            <w:color w:val="0563C1"/>
            <w:u w:val="single"/>
          </w:rPr>
          <w:t>trade remedies investigations.</w:t>
        </w:r>
      </w:hyperlink>
    </w:p>
    <w:p w14:paraId="0000002F" w14:textId="77777777" w:rsidR="00416D85" w:rsidRPr="007C60AF" w:rsidRDefault="00130320">
      <w:pPr>
        <w:pStyle w:val="Heading2"/>
        <w:jc w:val="both"/>
      </w:pPr>
      <w:r w:rsidRPr="007C60AF">
        <w:rPr>
          <w:b/>
          <w:sz w:val="32"/>
          <w:szCs w:val="32"/>
          <w:u w:val="none"/>
        </w:rPr>
        <w:t>About this form</w:t>
      </w:r>
    </w:p>
    <w:p w14:paraId="00000030"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Complete this form and the relevant annexes if you want to apply for a new anti-dumping or subsidy investigation. This form will give us the information we need to decide whether to initiate an investigation into your concerns. You can find more information on how we </w:t>
      </w:r>
      <w:hyperlink r:id="rId12" w:anchor="how-we-assess-your-application">
        <w:r w:rsidRPr="007C60AF">
          <w:rPr>
            <w:rFonts w:eastAsia="Arial"/>
            <w:color w:val="0563C1"/>
            <w:u w:val="single"/>
          </w:rPr>
          <w:t>assess applications</w:t>
        </w:r>
      </w:hyperlink>
      <w:r w:rsidRPr="007C60AF">
        <w:rPr>
          <w:rFonts w:eastAsia="Arial"/>
          <w:color w:val="000000"/>
        </w:rPr>
        <w:t xml:space="preserve"> in our guidance.</w:t>
      </w:r>
    </w:p>
    <w:p w14:paraId="00000031" w14:textId="77777777" w:rsidR="00416D85" w:rsidRPr="007C60AF" w:rsidRDefault="00130320">
      <w:pPr>
        <w:pBdr>
          <w:top w:val="nil"/>
          <w:left w:val="nil"/>
          <w:bottom w:val="nil"/>
          <w:right w:val="nil"/>
          <w:between w:val="nil"/>
        </w:pBdr>
        <w:spacing w:before="120" w:line="276" w:lineRule="auto"/>
        <w:jc w:val="both"/>
        <w:rPr>
          <w:rFonts w:eastAsia="Arial"/>
          <w:color w:val="000000"/>
        </w:rPr>
      </w:pPr>
      <w:bookmarkStart w:id="2" w:name="_heading=h.b14e5yc7tqlj" w:colFirst="0" w:colLast="0"/>
      <w:bookmarkEnd w:id="2"/>
      <w:r w:rsidRPr="007C60AF">
        <w:rPr>
          <w:rFonts w:eastAsia="Arial"/>
          <w:color w:val="000000"/>
        </w:rPr>
        <w:t>You must submit your application online through the Trade Remedies Service (</w:t>
      </w:r>
      <w:hyperlink r:id="rId13">
        <w:r w:rsidRPr="007C60AF">
          <w:rPr>
            <w:rFonts w:eastAsia="Arial"/>
            <w:color w:val="0563C1"/>
            <w:u w:val="single"/>
          </w:rPr>
          <w:t>https://www.trade-remedies.service.gov.uk</w:t>
        </w:r>
      </w:hyperlink>
      <w:r w:rsidRPr="007C60AF">
        <w:rPr>
          <w:rFonts w:eastAsia="Arial"/>
          <w:color w:val="000000"/>
        </w:rPr>
        <w:t xml:space="preserve">). When you submit your application, you must also submit a non-confidential version (including the annexes) which doesn’t contain any data you think is sensitive (for instance, commercial data about your company), as we are required to publish a copy of the application form. You can find out more about </w:t>
      </w:r>
      <w:hyperlink r:id="rId14" w:anchor="how-we-handle-confidential-information">
        <w:r w:rsidRPr="007C60AF">
          <w:rPr>
            <w:rFonts w:eastAsia="Arial"/>
            <w:color w:val="0563C1"/>
            <w:u w:val="single"/>
          </w:rPr>
          <w:t>what can be considered confidential and how to prepare a non-confidential version of your documents</w:t>
        </w:r>
      </w:hyperlink>
      <w:r w:rsidRPr="007C60AF">
        <w:rPr>
          <w:rFonts w:eastAsia="Arial"/>
          <w:color w:val="000000"/>
        </w:rPr>
        <w:t xml:space="preserve"> in our guidance.</w:t>
      </w:r>
    </w:p>
    <w:p w14:paraId="00000032"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you are considering </w:t>
      </w:r>
      <w:proofErr w:type="gramStart"/>
      <w:r w:rsidRPr="007C60AF">
        <w:rPr>
          <w:rFonts w:eastAsia="Arial"/>
          <w:color w:val="000000"/>
        </w:rPr>
        <w:t>submitting an application</w:t>
      </w:r>
      <w:proofErr w:type="gramEnd"/>
      <w:r w:rsidRPr="007C60AF">
        <w:rPr>
          <w:rFonts w:eastAsia="Arial"/>
          <w:color w:val="000000"/>
        </w:rPr>
        <w:t xml:space="preserve"> and would like to discuss it with someone first, please email </w:t>
      </w:r>
      <w:hyperlink r:id="rId15">
        <w:r w:rsidRPr="007C60AF">
          <w:rPr>
            <w:rFonts w:eastAsia="Arial"/>
            <w:color w:val="0563C1"/>
            <w:u w:val="single"/>
          </w:rPr>
          <w:t>contact@traderemedies.gov.uk</w:t>
        </w:r>
      </w:hyperlink>
      <w:r w:rsidRPr="007C60AF">
        <w:rPr>
          <w:rFonts w:eastAsia="Arial"/>
          <w:color w:val="000000"/>
        </w:rPr>
        <w:t xml:space="preserve">. You can find more on completing this application in our </w:t>
      </w:r>
      <w:hyperlink r:id="rId16">
        <w:r w:rsidRPr="007C60AF">
          <w:rPr>
            <w:rFonts w:eastAsia="Arial"/>
            <w:color w:val="0563C1"/>
            <w:u w:val="single"/>
          </w:rPr>
          <w:t>Pre-Application Office</w:t>
        </w:r>
      </w:hyperlink>
      <w:r w:rsidRPr="007C60AF">
        <w:rPr>
          <w:rFonts w:eastAsia="Arial"/>
          <w:color w:val="000000"/>
        </w:rPr>
        <w:t xml:space="preserve"> and </w:t>
      </w:r>
      <w:hyperlink r:id="rId17">
        <w:r w:rsidRPr="007C60AF">
          <w:rPr>
            <w:rFonts w:eastAsia="Arial"/>
            <w:color w:val="0563C1"/>
            <w:u w:val="single"/>
          </w:rPr>
          <w:t>application assessment</w:t>
        </w:r>
      </w:hyperlink>
      <w:r w:rsidRPr="007C60AF">
        <w:rPr>
          <w:rFonts w:eastAsia="Arial"/>
          <w:color w:val="000000"/>
        </w:rPr>
        <w:t xml:space="preserve"> guidance.</w:t>
      </w:r>
    </w:p>
    <w:p w14:paraId="00000033" w14:textId="77777777" w:rsidR="00416D85" w:rsidRPr="007C60AF" w:rsidRDefault="00130320">
      <w:pPr>
        <w:pStyle w:val="Heading3"/>
        <w:jc w:val="both"/>
        <w:rPr>
          <w:b/>
          <w:sz w:val="32"/>
          <w:szCs w:val="32"/>
        </w:rPr>
      </w:pPr>
      <w:r w:rsidRPr="007C60AF">
        <w:rPr>
          <w:b/>
          <w:sz w:val="32"/>
          <w:szCs w:val="32"/>
        </w:rPr>
        <w:lastRenderedPageBreak/>
        <w:t>What happens next</w:t>
      </w:r>
    </w:p>
    <w:p w14:paraId="00000034"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Once you have completed this application form you can share a confidential version with the Pre-Application Office to get feedback before you formally submit your application. When you formally submit your application, you will need to submit a confidential and a non-confidential version of this form. Please upload these through our Trade Remedies Service at </w:t>
      </w:r>
      <w:hyperlink r:id="rId18">
        <w:r w:rsidRPr="007C60AF">
          <w:rPr>
            <w:rFonts w:eastAsia="Arial"/>
            <w:color w:val="0563C1"/>
            <w:u w:val="single"/>
          </w:rPr>
          <w:t>www.trade-remedies.service.gov.uk</w:t>
        </w:r>
      </w:hyperlink>
      <w:r w:rsidRPr="007C60AF">
        <w:rPr>
          <w:rFonts w:eastAsia="Arial"/>
          <w:color w:val="000000"/>
        </w:rPr>
        <w:t xml:space="preserve">. </w:t>
      </w:r>
    </w:p>
    <w:p w14:paraId="00000035"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Once you have done this:</w:t>
      </w:r>
    </w:p>
    <w:p w14:paraId="00000036" w14:textId="77777777" w:rsidR="00416D85" w:rsidRPr="007C60AF" w:rsidRDefault="00130320">
      <w:pPr>
        <w:numPr>
          <w:ilvl w:val="0"/>
          <w:numId w:val="1"/>
        </w:numPr>
        <w:pBdr>
          <w:top w:val="nil"/>
          <w:left w:val="nil"/>
          <w:bottom w:val="nil"/>
          <w:right w:val="nil"/>
          <w:between w:val="nil"/>
        </w:pBdr>
        <w:spacing w:after="0" w:line="276" w:lineRule="auto"/>
        <w:jc w:val="both"/>
        <w:rPr>
          <w:rFonts w:eastAsia="Arial"/>
          <w:color w:val="000000"/>
        </w:rPr>
      </w:pPr>
      <w:r w:rsidRPr="007C60AF">
        <w:rPr>
          <w:rFonts w:eastAsia="Arial"/>
          <w:color w:val="000000"/>
        </w:rPr>
        <w:t xml:space="preserve">you will receive an email confirming the documents have been uploaded </w:t>
      </w:r>
      <w:proofErr w:type="gramStart"/>
      <w:r w:rsidRPr="007C60AF">
        <w:rPr>
          <w:rFonts w:eastAsia="Arial"/>
          <w:color w:val="000000"/>
        </w:rPr>
        <w:t>successfully;</w:t>
      </w:r>
      <w:proofErr w:type="gramEnd"/>
      <w:r w:rsidRPr="007C60AF">
        <w:rPr>
          <w:rFonts w:eastAsia="Arial"/>
          <w:color w:val="000000"/>
        </w:rPr>
        <w:t xml:space="preserve"> </w:t>
      </w:r>
    </w:p>
    <w:p w14:paraId="00000037" w14:textId="77777777" w:rsidR="00416D85" w:rsidRPr="007C60AF" w:rsidRDefault="00130320">
      <w:pPr>
        <w:numPr>
          <w:ilvl w:val="0"/>
          <w:numId w:val="1"/>
        </w:numPr>
        <w:pBdr>
          <w:top w:val="nil"/>
          <w:left w:val="nil"/>
          <w:bottom w:val="nil"/>
          <w:right w:val="nil"/>
          <w:between w:val="nil"/>
        </w:pBdr>
        <w:spacing w:after="0" w:line="276" w:lineRule="auto"/>
        <w:jc w:val="both"/>
        <w:rPr>
          <w:rFonts w:eastAsia="Arial"/>
          <w:color w:val="000000"/>
        </w:rPr>
      </w:pPr>
      <w:r w:rsidRPr="007C60AF">
        <w:rPr>
          <w:rFonts w:eastAsia="Arial"/>
          <w:color w:val="000000"/>
        </w:rPr>
        <w:t>the assessor(s) of your application will contact you if further information is required; and</w:t>
      </w:r>
    </w:p>
    <w:p w14:paraId="00000038" w14:textId="77777777" w:rsidR="00416D85" w:rsidRPr="007C60AF" w:rsidRDefault="00130320">
      <w:pPr>
        <w:numPr>
          <w:ilvl w:val="0"/>
          <w:numId w:val="1"/>
        </w:numPr>
        <w:pBdr>
          <w:top w:val="nil"/>
          <w:left w:val="nil"/>
          <w:bottom w:val="nil"/>
          <w:right w:val="nil"/>
          <w:between w:val="nil"/>
        </w:pBdr>
        <w:spacing w:after="0" w:line="276" w:lineRule="auto"/>
        <w:jc w:val="both"/>
        <w:rPr>
          <w:rFonts w:eastAsia="Arial"/>
          <w:color w:val="000000"/>
        </w:rPr>
      </w:pPr>
      <w:r w:rsidRPr="007C60AF">
        <w:rPr>
          <w:rFonts w:eastAsia="Arial"/>
          <w:color w:val="000000"/>
        </w:rPr>
        <w:t>the assessor(s) of your application may contact you to arrange a visit to verify the information contained in your responses.</w:t>
      </w:r>
    </w:p>
    <w:p w14:paraId="00000039" w14:textId="77777777" w:rsidR="00416D85" w:rsidRPr="007C60AF" w:rsidRDefault="00130320">
      <w:pPr>
        <w:pStyle w:val="Heading3"/>
        <w:jc w:val="both"/>
      </w:pPr>
      <w:r w:rsidRPr="007C60AF">
        <w:rPr>
          <w:b/>
          <w:sz w:val="32"/>
          <w:szCs w:val="32"/>
        </w:rPr>
        <w:t>How to complete this application form</w:t>
      </w:r>
    </w:p>
    <w:p w14:paraId="0000003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Please read and follow all the instructions carefully. You will need to provide evidence to support your concerns. You may need to attach supporting documents in appendices to supplement the answers you give. </w:t>
      </w:r>
    </w:p>
    <w:p w14:paraId="0000003B" w14:textId="77777777" w:rsidR="00416D85" w:rsidRPr="007C60AF" w:rsidRDefault="00130320">
      <w:pPr>
        <w:jc w:val="both"/>
      </w:pPr>
      <w:r w:rsidRPr="007C60AF">
        <w:t>Please also note the following points:</w:t>
      </w:r>
    </w:p>
    <w:p w14:paraId="0000003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Try to avoid leaving any questions blank. If the question isn’t relevant to you, please try to explain why.</w:t>
      </w:r>
    </w:p>
    <w:p w14:paraId="0000003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If the answer to a question is “zero”, “no”, “none” or "not applicable”, please write this rather than leaving the answer blank.</w:t>
      </w:r>
    </w:p>
    <w:p w14:paraId="0000003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If you feel you can’t present the information as requested, please contact the Pre-Application Office by emailing </w:t>
      </w:r>
      <w:hyperlink r:id="rId19">
        <w:r w:rsidRPr="007C60AF">
          <w:rPr>
            <w:rFonts w:eastAsia="Arial"/>
            <w:color w:val="0563C1"/>
            <w:u w:val="single"/>
          </w:rPr>
          <w:t>contact@traderemedies.gov.uk</w:t>
        </w:r>
      </w:hyperlink>
      <w:r w:rsidRPr="007C60AF">
        <w:rPr>
          <w:rFonts w:eastAsia="Arial"/>
          <w:color w:val="000000"/>
        </w:rPr>
        <w:t>.</w:t>
      </w:r>
    </w:p>
    <w:p w14:paraId="0000003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If there is not enough space in any part of the application form to provide a full answer, please attach appendices. Please ensure that any attachments are given a corresponding appendix reference in the title of the document and that these are referenced in the boxes provided. </w:t>
      </w:r>
    </w:p>
    <w:p w14:paraId="0000004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If you include any documents not in English, please provide an English translation.</w:t>
      </w:r>
    </w:p>
    <w:p w14:paraId="0000004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Provide all dates in the format DD/MM/YYYY (e.g. 23/05/2019).</w:t>
      </w:r>
    </w:p>
    <w:p w14:paraId="0000004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For all numerical figures, where appropriate please express every third number with a comma (e.g. ‘1,300’ for one-thousand three hundred, ‘1,300,000’ for one million and three-hundred thousand).</w:t>
      </w:r>
    </w:p>
    <w:p w14:paraId="0000004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Limit all sales/currency/income figures to two decimal places and use the appropriate currency symbol (e.g. £1,300.00).</w:t>
      </w:r>
    </w:p>
    <w:p w14:paraId="0000004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All figures should be reported net of tax unless otherwise stated. </w:t>
      </w:r>
    </w:p>
    <w:p w14:paraId="0000004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For definitions of the incoterms used throughout this document, please visit the </w:t>
      </w:r>
      <w:hyperlink r:id="rId20">
        <w:r w:rsidRPr="007C60AF">
          <w:rPr>
            <w:rFonts w:eastAsia="Arial"/>
            <w:color w:val="0563C1"/>
            <w:u w:val="single"/>
          </w:rPr>
          <w:t>International Chamber of Commerce</w:t>
        </w:r>
      </w:hyperlink>
      <w:r w:rsidRPr="007C60AF">
        <w:rPr>
          <w:rFonts w:eastAsia="Arial"/>
          <w:color w:val="000000"/>
        </w:rPr>
        <w:t>.</w:t>
      </w:r>
    </w:p>
    <w:p w14:paraId="00000046" w14:textId="77777777" w:rsidR="00416D85" w:rsidRPr="007C60AF" w:rsidRDefault="00130320">
      <w:pPr>
        <w:jc w:val="both"/>
      </w:pPr>
      <w:r w:rsidRPr="007C60AF">
        <w:br w:type="page"/>
      </w:r>
    </w:p>
    <w:p w14:paraId="00000047" w14:textId="77777777" w:rsidR="00416D85" w:rsidRPr="007C60AF" w:rsidRDefault="00130320">
      <w:pPr>
        <w:pBdr>
          <w:top w:val="nil"/>
          <w:left w:val="nil"/>
          <w:bottom w:val="nil"/>
          <w:right w:val="nil"/>
          <w:between w:val="nil"/>
        </w:pBdr>
        <w:spacing w:before="360" w:after="120" w:line="360" w:lineRule="auto"/>
        <w:jc w:val="center"/>
        <w:rPr>
          <w:rFonts w:eastAsia="Arial"/>
          <w:b/>
          <w:color w:val="4472C4"/>
          <w:sz w:val="36"/>
          <w:szCs w:val="36"/>
        </w:rPr>
      </w:pPr>
      <w:bookmarkStart w:id="3" w:name="_heading=h.dilb6bdmfre2" w:colFirst="0" w:colLast="0"/>
      <w:bookmarkEnd w:id="3"/>
      <w:r w:rsidRPr="007C60AF">
        <w:rPr>
          <w:rFonts w:eastAsia="Arial"/>
          <w:b/>
          <w:color w:val="4472C4"/>
          <w:sz w:val="36"/>
          <w:szCs w:val="36"/>
        </w:rPr>
        <w:lastRenderedPageBreak/>
        <w:t>List of Appendices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7706"/>
      </w:tblGrid>
      <w:tr w:rsidR="00416D85" w:rsidRPr="007C60AF" w14:paraId="2C3C5A04" w14:textId="77777777">
        <w:trPr>
          <w:trHeight w:val="454"/>
        </w:trPr>
        <w:tc>
          <w:tcPr>
            <w:tcW w:w="1310" w:type="dxa"/>
            <w:shd w:val="clear" w:color="auto" w:fill="D9E2F3"/>
            <w:vAlign w:val="center"/>
          </w:tcPr>
          <w:p w14:paraId="000000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Appendix Number</w:t>
            </w:r>
          </w:p>
        </w:tc>
        <w:tc>
          <w:tcPr>
            <w:tcW w:w="7706" w:type="dxa"/>
            <w:shd w:val="clear" w:color="auto" w:fill="D9E2F3"/>
            <w:vAlign w:val="center"/>
          </w:tcPr>
          <w:p w14:paraId="000000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Description</w:t>
            </w:r>
          </w:p>
        </w:tc>
      </w:tr>
      <w:tr w:rsidR="00416D85" w:rsidRPr="007C60AF" w14:paraId="225605D3" w14:textId="77777777">
        <w:tc>
          <w:tcPr>
            <w:tcW w:w="9016" w:type="dxa"/>
            <w:gridSpan w:val="2"/>
            <w:shd w:val="clear" w:color="auto" w:fill="D9D9D9"/>
          </w:tcPr>
          <w:p w14:paraId="000000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A –</w:t>
            </w:r>
            <w:r w:rsidRPr="007C60AF">
              <w:rPr>
                <w:rFonts w:eastAsia="Arial"/>
                <w:b/>
                <w:color w:val="000000"/>
                <w:shd w:val="clear" w:color="auto" w:fill="D9D9D9"/>
              </w:rPr>
              <w:t xml:space="preserve"> ABOUT THE GOODS</w:t>
            </w:r>
          </w:p>
        </w:tc>
      </w:tr>
      <w:tr w:rsidR="00416D85" w:rsidRPr="007C60AF" w14:paraId="592A363C" w14:textId="77777777">
        <w:tc>
          <w:tcPr>
            <w:tcW w:w="1310" w:type="dxa"/>
          </w:tcPr>
          <w:p w14:paraId="0000004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w:t>
            </w:r>
          </w:p>
        </w:tc>
        <w:tc>
          <w:tcPr>
            <w:tcW w:w="7706" w:type="dxa"/>
          </w:tcPr>
          <w:p w14:paraId="0000004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Neste Renewable Diesel Handbook - October 2020</w:t>
            </w:r>
          </w:p>
        </w:tc>
      </w:tr>
      <w:tr w:rsidR="00416D85" w:rsidRPr="007C60AF" w14:paraId="436F79AF" w14:textId="77777777">
        <w:tc>
          <w:tcPr>
            <w:tcW w:w="1310" w:type="dxa"/>
          </w:tcPr>
          <w:p w14:paraId="0000004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w:t>
            </w:r>
          </w:p>
        </w:tc>
        <w:tc>
          <w:tcPr>
            <w:tcW w:w="7706" w:type="dxa"/>
          </w:tcPr>
          <w:p w14:paraId="000000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Commodity Codes Table (CONFIDENTIAL)</w:t>
            </w:r>
          </w:p>
        </w:tc>
      </w:tr>
      <w:tr w:rsidR="00416D85" w:rsidRPr="007C60AF" w14:paraId="269BF8E8" w14:textId="77777777">
        <w:tc>
          <w:tcPr>
            <w:tcW w:w="1310" w:type="dxa"/>
          </w:tcPr>
          <w:p w14:paraId="0000005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A.3</w:t>
            </w:r>
          </w:p>
        </w:tc>
        <w:tc>
          <w:tcPr>
            <w:tcW w:w="7706" w:type="dxa"/>
          </w:tcPr>
          <w:p w14:paraId="0000005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Renewable Diesel Fuel from Processing of Vegetable Oil in Hydrotreatment Units: Theoretical Compliance with European Directive 2009/28/EC and Ongoing Projects in Spain - 2010</w:t>
            </w:r>
          </w:p>
        </w:tc>
      </w:tr>
      <w:tr w:rsidR="00416D85" w:rsidRPr="007C60AF" w14:paraId="48A896F3" w14:textId="77777777">
        <w:tc>
          <w:tcPr>
            <w:tcW w:w="1310" w:type="dxa"/>
          </w:tcPr>
          <w:p w14:paraId="0000005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A.4</w:t>
            </w:r>
          </w:p>
        </w:tc>
        <w:tc>
          <w:tcPr>
            <w:tcW w:w="7706" w:type="dxa"/>
          </w:tcPr>
          <w:p w14:paraId="0000005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European Technology and Innovation Platform Bioenergy Factsheet - HVO - February 2020</w:t>
            </w:r>
          </w:p>
        </w:tc>
      </w:tr>
      <w:tr w:rsidR="00416D85" w:rsidRPr="007C60AF" w14:paraId="06B3CABD" w14:textId="77777777">
        <w:tc>
          <w:tcPr>
            <w:tcW w:w="1310" w:type="dxa"/>
          </w:tcPr>
          <w:p w14:paraId="0000005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A.5</w:t>
            </w:r>
          </w:p>
        </w:tc>
        <w:tc>
          <w:tcPr>
            <w:tcW w:w="7706" w:type="dxa"/>
          </w:tcPr>
          <w:p w14:paraId="000000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Zemo Partnership - Renewable Fuels Guide - July 2023</w:t>
            </w:r>
          </w:p>
        </w:tc>
      </w:tr>
      <w:tr w:rsidR="00416D85" w:rsidRPr="007C60AF" w14:paraId="3A755BB3" w14:textId="77777777">
        <w:tc>
          <w:tcPr>
            <w:tcW w:w="1310" w:type="dxa"/>
          </w:tcPr>
          <w:p w14:paraId="0000005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A.6</w:t>
            </w:r>
          </w:p>
        </w:tc>
        <w:tc>
          <w:tcPr>
            <w:tcW w:w="7706" w:type="dxa"/>
          </w:tcPr>
          <w:p w14:paraId="000000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 xml:space="preserve">HVO as a Renewable Diesel Fuel: Trade-off between NOx, Particulate Emission, and Fuel Consumption of a </w:t>
            </w:r>
            <w:proofErr w:type="gramStart"/>
            <w:r w:rsidRPr="007C60AF">
              <w:rPr>
                <w:rFonts w:eastAsia="Arial"/>
                <w:color w:val="4472C4"/>
              </w:rPr>
              <w:t>Heavy Duty</w:t>
            </w:r>
            <w:proofErr w:type="gramEnd"/>
            <w:r w:rsidRPr="007C60AF">
              <w:rPr>
                <w:rFonts w:eastAsia="Arial"/>
                <w:color w:val="4472C4"/>
              </w:rPr>
              <w:t xml:space="preserve"> Engine - 2008</w:t>
            </w:r>
          </w:p>
        </w:tc>
      </w:tr>
      <w:tr w:rsidR="00416D85" w:rsidRPr="007C60AF" w14:paraId="434BADDB" w14:textId="77777777">
        <w:tc>
          <w:tcPr>
            <w:tcW w:w="1310" w:type="dxa"/>
          </w:tcPr>
          <w:p w14:paraId="000000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A.7</w:t>
            </w:r>
          </w:p>
        </w:tc>
        <w:tc>
          <w:tcPr>
            <w:tcW w:w="7706" w:type="dxa"/>
          </w:tcPr>
          <w:p w14:paraId="000000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Neste - What is the difference between renewable diesel and biodiesel?</w:t>
            </w:r>
          </w:p>
        </w:tc>
      </w:tr>
      <w:tr w:rsidR="00416D85" w:rsidRPr="007C60AF" w14:paraId="49597D81" w14:textId="77777777">
        <w:tc>
          <w:tcPr>
            <w:tcW w:w="1310" w:type="dxa"/>
          </w:tcPr>
          <w:p w14:paraId="000000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A.8</w:t>
            </w:r>
          </w:p>
        </w:tc>
        <w:tc>
          <w:tcPr>
            <w:tcW w:w="7706" w:type="dxa"/>
          </w:tcPr>
          <w:p w14:paraId="000000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European Biofuels Technology Platform Factsheet - FAME</w:t>
            </w:r>
          </w:p>
        </w:tc>
      </w:tr>
      <w:tr w:rsidR="00416D85" w:rsidRPr="007C60AF" w14:paraId="09309AA1" w14:textId="77777777">
        <w:tc>
          <w:tcPr>
            <w:tcW w:w="1310" w:type="dxa"/>
          </w:tcPr>
          <w:p w14:paraId="000000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A.9</w:t>
            </w:r>
          </w:p>
        </w:tc>
        <w:tc>
          <w:tcPr>
            <w:tcW w:w="7706" w:type="dxa"/>
          </w:tcPr>
          <w:p w14:paraId="0000005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National Renewable Energy Laboratory - Biodiesel Handling and Use Guide - 28 September 2023</w:t>
            </w:r>
          </w:p>
        </w:tc>
      </w:tr>
      <w:tr w:rsidR="00416D85" w:rsidRPr="007C60AF" w14:paraId="28A8C105" w14:textId="77777777">
        <w:tc>
          <w:tcPr>
            <w:tcW w:w="1310" w:type="dxa"/>
          </w:tcPr>
          <w:p w14:paraId="0000005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A.10</w:t>
            </w:r>
          </w:p>
        </w:tc>
        <w:tc>
          <w:tcPr>
            <w:tcW w:w="7706" w:type="dxa"/>
          </w:tcPr>
          <w:p w14:paraId="000000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European Technology and Innovation Platform Bioenergy - EVC2 Hydrotreatment to HVO</w:t>
            </w:r>
          </w:p>
        </w:tc>
      </w:tr>
      <w:tr w:rsidR="00416D85" w:rsidRPr="007C60AF" w14:paraId="6D01AEEF" w14:textId="77777777">
        <w:tc>
          <w:tcPr>
            <w:tcW w:w="1310" w:type="dxa"/>
          </w:tcPr>
          <w:p w14:paraId="0000006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A.11</w:t>
            </w:r>
          </w:p>
        </w:tc>
        <w:tc>
          <w:tcPr>
            <w:tcW w:w="7706" w:type="dxa"/>
          </w:tcPr>
          <w:p w14:paraId="000000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i/>
                <w:color w:val="4472C4"/>
              </w:rPr>
              <w:t>farmdoc</w:t>
            </w:r>
            <w:proofErr w:type="spellEnd"/>
            <w:r w:rsidRPr="007C60AF">
              <w:rPr>
                <w:rFonts w:eastAsia="Arial"/>
                <w:i/>
                <w:color w:val="4472C4"/>
              </w:rPr>
              <w:t xml:space="preserve"> daily</w:t>
            </w:r>
            <w:r w:rsidRPr="007C60AF">
              <w:rPr>
                <w:rFonts w:eastAsia="Arial"/>
                <w:color w:val="4472C4"/>
              </w:rPr>
              <w:t xml:space="preserve"> - Biodiesel and Renewable Diesel What’s the Difference - 8 February 2023</w:t>
            </w:r>
          </w:p>
        </w:tc>
      </w:tr>
      <w:tr w:rsidR="00416D85" w:rsidRPr="007C60AF" w14:paraId="74A10A05" w14:textId="77777777">
        <w:tc>
          <w:tcPr>
            <w:tcW w:w="1310" w:type="dxa"/>
          </w:tcPr>
          <w:p w14:paraId="000000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A.12</w:t>
            </w:r>
          </w:p>
        </w:tc>
        <w:tc>
          <w:tcPr>
            <w:tcW w:w="7706" w:type="dxa"/>
          </w:tcPr>
          <w:p w14:paraId="000000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Breakthrough - A Guide to Renewable Diesel and Biodiesel - 9 October 2023</w:t>
            </w:r>
          </w:p>
        </w:tc>
      </w:tr>
      <w:tr w:rsidR="00416D85" w:rsidRPr="007C60AF" w14:paraId="610A641D" w14:textId="77777777">
        <w:tc>
          <w:tcPr>
            <w:tcW w:w="1310" w:type="dxa"/>
          </w:tcPr>
          <w:p w14:paraId="000000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A.13</w:t>
            </w:r>
          </w:p>
        </w:tc>
        <w:tc>
          <w:tcPr>
            <w:tcW w:w="7706" w:type="dxa"/>
          </w:tcPr>
          <w:p w14:paraId="0000006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USDA - U.S. Renewable Diesel Production Growth Drastically Impacts Global Feedstock Trade - 11 June 2024</w:t>
            </w:r>
          </w:p>
        </w:tc>
      </w:tr>
      <w:tr w:rsidR="00416D85" w:rsidRPr="007C60AF" w14:paraId="66AFA7F1" w14:textId="77777777">
        <w:tc>
          <w:tcPr>
            <w:tcW w:w="1310" w:type="dxa"/>
          </w:tcPr>
          <w:p w14:paraId="0000006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A.14</w:t>
            </w:r>
          </w:p>
        </w:tc>
        <w:tc>
          <w:tcPr>
            <w:tcW w:w="7706" w:type="dxa"/>
          </w:tcPr>
          <w:p w14:paraId="0000006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- 2023 Fifth Provisional</w:t>
            </w:r>
          </w:p>
        </w:tc>
      </w:tr>
      <w:tr w:rsidR="00416D85" w:rsidRPr="007C60AF" w14:paraId="7BCAA89B" w14:textId="77777777">
        <w:tc>
          <w:tcPr>
            <w:tcW w:w="1310" w:type="dxa"/>
          </w:tcPr>
          <w:p w14:paraId="000000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A.15</w:t>
            </w:r>
          </w:p>
        </w:tc>
        <w:tc>
          <w:tcPr>
            <w:tcW w:w="7706" w:type="dxa"/>
          </w:tcPr>
          <w:p w14:paraId="000000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- 2024 First Provisional</w:t>
            </w:r>
          </w:p>
        </w:tc>
      </w:tr>
      <w:tr w:rsidR="00416D85" w:rsidRPr="007C60AF" w14:paraId="28B33D45" w14:textId="77777777">
        <w:tc>
          <w:tcPr>
            <w:tcW w:w="1310" w:type="dxa"/>
          </w:tcPr>
          <w:p w14:paraId="000000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A.16</w:t>
            </w:r>
          </w:p>
        </w:tc>
        <w:tc>
          <w:tcPr>
            <w:tcW w:w="7706" w:type="dxa"/>
          </w:tcPr>
          <w:p w14:paraId="000000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Zemo Partnership - Overview of higher blend biodiesel and HVO markets in the UK - September 2024 (CONFIDENTIAL)</w:t>
            </w:r>
          </w:p>
        </w:tc>
      </w:tr>
      <w:tr w:rsidR="00416D85" w:rsidRPr="007C60AF" w14:paraId="7F423663" w14:textId="77777777">
        <w:tc>
          <w:tcPr>
            <w:tcW w:w="1310" w:type="dxa"/>
          </w:tcPr>
          <w:p w14:paraId="000000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A.17</w:t>
            </w:r>
          </w:p>
        </w:tc>
        <w:tc>
          <w:tcPr>
            <w:tcW w:w="7706" w:type="dxa"/>
          </w:tcPr>
          <w:p w14:paraId="0000006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International Sustainability &amp; Carbon Certification - Recognitions</w:t>
            </w:r>
          </w:p>
        </w:tc>
      </w:tr>
      <w:tr w:rsidR="00416D85" w:rsidRPr="007C60AF" w14:paraId="2A2D6841" w14:textId="77777777">
        <w:tc>
          <w:tcPr>
            <w:tcW w:w="1310" w:type="dxa"/>
          </w:tcPr>
          <w:p w14:paraId="0000006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A.18</w:t>
            </w:r>
          </w:p>
        </w:tc>
        <w:tc>
          <w:tcPr>
            <w:tcW w:w="7706" w:type="dxa"/>
          </w:tcPr>
          <w:p w14:paraId="0000006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Zemo Partnership - Renewable Fuels Assurance Scheme</w:t>
            </w:r>
          </w:p>
        </w:tc>
      </w:tr>
      <w:tr w:rsidR="00416D85" w:rsidRPr="007C60AF" w14:paraId="2B055BDB" w14:textId="77777777">
        <w:tc>
          <w:tcPr>
            <w:tcW w:w="1310" w:type="dxa"/>
          </w:tcPr>
          <w:p w14:paraId="0000007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A.19</w:t>
            </w:r>
          </w:p>
        </w:tc>
        <w:tc>
          <w:tcPr>
            <w:tcW w:w="7706" w:type="dxa"/>
          </w:tcPr>
          <w:p w14:paraId="0000007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Greenergy</w:t>
            </w:r>
            <w:proofErr w:type="spellEnd"/>
            <w:r w:rsidRPr="007C60AF">
              <w:rPr>
                <w:rFonts w:eastAsia="Arial"/>
                <w:color w:val="4472C4"/>
              </w:rPr>
              <w:t xml:space="preserve"> - Biofuels</w:t>
            </w:r>
          </w:p>
        </w:tc>
      </w:tr>
      <w:tr w:rsidR="00416D85" w:rsidRPr="007C60AF" w14:paraId="07A1BD06" w14:textId="77777777">
        <w:tc>
          <w:tcPr>
            <w:tcW w:w="1310" w:type="dxa"/>
          </w:tcPr>
          <w:p w14:paraId="0000007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A.20</w:t>
            </w:r>
          </w:p>
        </w:tc>
        <w:tc>
          <w:tcPr>
            <w:tcW w:w="7706" w:type="dxa"/>
          </w:tcPr>
          <w:p w14:paraId="000000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Greenergy</w:t>
            </w:r>
            <w:proofErr w:type="spellEnd"/>
            <w:r w:rsidRPr="007C60AF">
              <w:rPr>
                <w:rFonts w:eastAsia="Arial"/>
                <w:color w:val="4472C4"/>
              </w:rPr>
              <w:t xml:space="preserve"> - UK</w:t>
            </w:r>
          </w:p>
        </w:tc>
      </w:tr>
      <w:tr w:rsidR="00416D85" w:rsidRPr="007C60AF" w14:paraId="62DD4833" w14:textId="77777777">
        <w:tc>
          <w:tcPr>
            <w:tcW w:w="1310" w:type="dxa"/>
          </w:tcPr>
          <w:p w14:paraId="000000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A.21</w:t>
            </w:r>
          </w:p>
        </w:tc>
        <w:tc>
          <w:tcPr>
            <w:tcW w:w="7706" w:type="dxa"/>
          </w:tcPr>
          <w:p w14:paraId="0000007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Argent Energy - What We Do</w:t>
            </w:r>
          </w:p>
        </w:tc>
      </w:tr>
      <w:tr w:rsidR="00416D85" w:rsidRPr="007C60AF" w14:paraId="5E27AF22" w14:textId="77777777">
        <w:tc>
          <w:tcPr>
            <w:tcW w:w="1310" w:type="dxa"/>
          </w:tcPr>
          <w:p w14:paraId="0000007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A.22</w:t>
            </w:r>
          </w:p>
        </w:tc>
        <w:tc>
          <w:tcPr>
            <w:tcW w:w="7706" w:type="dxa"/>
          </w:tcPr>
          <w:p w14:paraId="0000007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Argent Energy - Biodiesel</w:t>
            </w:r>
          </w:p>
        </w:tc>
      </w:tr>
      <w:tr w:rsidR="00416D85" w:rsidRPr="007C60AF" w14:paraId="337686B1" w14:textId="77777777">
        <w:tc>
          <w:tcPr>
            <w:tcW w:w="1310" w:type="dxa"/>
          </w:tcPr>
          <w:p w14:paraId="0000007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A.23</w:t>
            </w:r>
          </w:p>
        </w:tc>
        <w:tc>
          <w:tcPr>
            <w:tcW w:w="7706" w:type="dxa"/>
          </w:tcPr>
          <w:p w14:paraId="000000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Argent Energy - Delivery and Supply</w:t>
            </w:r>
          </w:p>
        </w:tc>
      </w:tr>
      <w:tr w:rsidR="00416D85" w:rsidRPr="007C60AF" w14:paraId="6519F7E2" w14:textId="77777777">
        <w:tc>
          <w:tcPr>
            <w:tcW w:w="1310" w:type="dxa"/>
          </w:tcPr>
          <w:p w14:paraId="0000007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A.24</w:t>
            </w:r>
          </w:p>
        </w:tc>
        <w:tc>
          <w:tcPr>
            <w:tcW w:w="7706" w:type="dxa"/>
          </w:tcPr>
          <w:p w14:paraId="0000007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Argent Energy - End Production in Scotland - 25 March 2024</w:t>
            </w:r>
          </w:p>
        </w:tc>
      </w:tr>
      <w:tr w:rsidR="00416D85" w:rsidRPr="007C60AF" w14:paraId="30479329" w14:textId="77777777">
        <w:tc>
          <w:tcPr>
            <w:tcW w:w="1310" w:type="dxa"/>
          </w:tcPr>
          <w:p w14:paraId="000000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A.25</w:t>
            </w:r>
          </w:p>
        </w:tc>
        <w:tc>
          <w:tcPr>
            <w:tcW w:w="7706" w:type="dxa"/>
          </w:tcPr>
          <w:p w14:paraId="000000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BBC - Union Pleads for Government Help to Save Biofuel Jobs - 30 April 2024</w:t>
            </w:r>
          </w:p>
        </w:tc>
      </w:tr>
      <w:tr w:rsidR="00416D85" w:rsidRPr="007C60AF" w14:paraId="44E5619D" w14:textId="77777777">
        <w:tc>
          <w:tcPr>
            <w:tcW w:w="1310" w:type="dxa"/>
          </w:tcPr>
          <w:p w14:paraId="000000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A.26</w:t>
            </w:r>
          </w:p>
        </w:tc>
        <w:tc>
          <w:tcPr>
            <w:tcW w:w="7706" w:type="dxa"/>
          </w:tcPr>
          <w:p w14:paraId="000000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Olleco</w:t>
            </w:r>
            <w:proofErr w:type="spellEnd"/>
            <w:r w:rsidRPr="007C60AF">
              <w:rPr>
                <w:rFonts w:eastAsia="Arial"/>
                <w:color w:val="4472C4"/>
              </w:rPr>
              <w:t xml:space="preserve"> - About</w:t>
            </w:r>
          </w:p>
        </w:tc>
      </w:tr>
      <w:tr w:rsidR="00416D85" w:rsidRPr="007C60AF" w14:paraId="2EDE9615" w14:textId="77777777">
        <w:tc>
          <w:tcPr>
            <w:tcW w:w="1310" w:type="dxa"/>
          </w:tcPr>
          <w:p w14:paraId="000000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A.27</w:t>
            </w:r>
          </w:p>
        </w:tc>
        <w:tc>
          <w:tcPr>
            <w:tcW w:w="7706" w:type="dxa"/>
          </w:tcPr>
          <w:p w14:paraId="000000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Olleco</w:t>
            </w:r>
            <w:proofErr w:type="spellEnd"/>
            <w:r w:rsidRPr="007C60AF">
              <w:rPr>
                <w:rFonts w:eastAsia="Arial"/>
                <w:color w:val="4472C4"/>
              </w:rPr>
              <w:t xml:space="preserve"> - Biodiesel</w:t>
            </w:r>
          </w:p>
        </w:tc>
      </w:tr>
      <w:tr w:rsidR="00416D85" w:rsidRPr="007C60AF" w14:paraId="2C307980" w14:textId="77777777">
        <w:tc>
          <w:tcPr>
            <w:tcW w:w="1310" w:type="dxa"/>
          </w:tcPr>
          <w:p w14:paraId="0000008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A.28</w:t>
            </w:r>
          </w:p>
        </w:tc>
        <w:tc>
          <w:tcPr>
            <w:tcW w:w="7706" w:type="dxa"/>
          </w:tcPr>
          <w:p w14:paraId="000000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DESNZ - Energy Trends: UK Renewables Consumption of Liquid Biofuels (ET 6.2 - Quarterly) - 8 August 2024</w:t>
            </w:r>
          </w:p>
        </w:tc>
      </w:tr>
      <w:tr w:rsidR="00416D85" w:rsidRPr="007C60AF" w14:paraId="5AB1DD1E" w14:textId="77777777">
        <w:tc>
          <w:tcPr>
            <w:tcW w:w="1310" w:type="dxa"/>
          </w:tcPr>
          <w:p w14:paraId="0000008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A.29</w:t>
            </w:r>
          </w:p>
        </w:tc>
        <w:tc>
          <w:tcPr>
            <w:tcW w:w="7706" w:type="dxa"/>
          </w:tcPr>
          <w:p w14:paraId="0000008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EIA - US Imports of Renewable Diesel Increased in the Early Months of 2024 - 6 August 2024</w:t>
            </w:r>
          </w:p>
        </w:tc>
      </w:tr>
      <w:tr w:rsidR="00416D85" w:rsidRPr="007C60AF" w14:paraId="747CBBE2" w14:textId="77777777">
        <w:tc>
          <w:tcPr>
            <w:tcW w:w="1310" w:type="dxa"/>
          </w:tcPr>
          <w:p w14:paraId="000000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A.30</w:t>
            </w:r>
          </w:p>
        </w:tc>
        <w:tc>
          <w:tcPr>
            <w:tcW w:w="7706" w:type="dxa"/>
          </w:tcPr>
          <w:p w14:paraId="0000008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UK Trade Info Data - Country of Origin US and Country of Consignment NL - Jan 2020 to May 2024</w:t>
            </w:r>
          </w:p>
        </w:tc>
      </w:tr>
      <w:tr w:rsidR="00416D85" w:rsidRPr="007C60AF" w14:paraId="7040D432" w14:textId="77777777">
        <w:tc>
          <w:tcPr>
            <w:tcW w:w="9016" w:type="dxa"/>
            <w:gridSpan w:val="2"/>
            <w:shd w:val="clear" w:color="auto" w:fill="D9D9D9"/>
          </w:tcPr>
          <w:p w14:paraId="0000008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B – ABOUT THE APPLICATION</w:t>
            </w:r>
          </w:p>
        </w:tc>
      </w:tr>
      <w:tr w:rsidR="00416D85" w:rsidRPr="007C60AF" w14:paraId="02196F30" w14:textId="77777777">
        <w:tc>
          <w:tcPr>
            <w:tcW w:w="1310" w:type="dxa"/>
          </w:tcPr>
          <w:p w14:paraId="0000008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B.1</w:t>
            </w:r>
          </w:p>
        </w:tc>
        <w:tc>
          <w:tcPr>
            <w:tcW w:w="7706" w:type="dxa"/>
          </w:tcPr>
          <w:p w14:paraId="0000008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 xml:space="preserve">Structure Chart - </w:t>
            </w:r>
            <w:proofErr w:type="spellStart"/>
            <w:r w:rsidRPr="007C60AF">
              <w:rPr>
                <w:rFonts w:eastAsia="Arial"/>
                <w:color w:val="4472C4"/>
              </w:rPr>
              <w:t>Greenergy</w:t>
            </w:r>
            <w:proofErr w:type="spellEnd"/>
            <w:r w:rsidRPr="007C60AF">
              <w:rPr>
                <w:rFonts w:eastAsia="Arial"/>
                <w:color w:val="4472C4"/>
              </w:rPr>
              <w:t xml:space="preserve"> - 1 August 2024 (CONFIDENTIAL)</w:t>
            </w:r>
          </w:p>
        </w:tc>
      </w:tr>
      <w:tr w:rsidR="00416D85" w:rsidRPr="007C60AF" w14:paraId="24CB4301" w14:textId="77777777">
        <w:tc>
          <w:tcPr>
            <w:tcW w:w="1310" w:type="dxa"/>
          </w:tcPr>
          <w:p w14:paraId="0000008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B.2</w:t>
            </w:r>
          </w:p>
        </w:tc>
        <w:tc>
          <w:tcPr>
            <w:tcW w:w="7706" w:type="dxa"/>
          </w:tcPr>
          <w:p w14:paraId="0000008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Structure Chart - Argent (CONFIDENTIAL)</w:t>
            </w:r>
          </w:p>
        </w:tc>
      </w:tr>
      <w:tr w:rsidR="00416D85" w:rsidRPr="007C60AF" w14:paraId="24D64A8B" w14:textId="77777777">
        <w:tc>
          <w:tcPr>
            <w:tcW w:w="1310" w:type="dxa"/>
          </w:tcPr>
          <w:p w14:paraId="0000008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B.3</w:t>
            </w:r>
          </w:p>
        </w:tc>
        <w:tc>
          <w:tcPr>
            <w:tcW w:w="7706" w:type="dxa"/>
          </w:tcPr>
          <w:p w14:paraId="0000008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 xml:space="preserve">Structure Chart - </w:t>
            </w:r>
            <w:proofErr w:type="spellStart"/>
            <w:r w:rsidRPr="007C60AF">
              <w:rPr>
                <w:rFonts w:eastAsia="Arial"/>
                <w:color w:val="4472C4"/>
              </w:rPr>
              <w:t>Olleco</w:t>
            </w:r>
            <w:proofErr w:type="spellEnd"/>
            <w:r w:rsidRPr="007C60AF">
              <w:rPr>
                <w:rFonts w:eastAsia="Arial"/>
                <w:color w:val="4472C4"/>
              </w:rPr>
              <w:t xml:space="preserve"> - April 2023 (CONFIDENTIAL)</w:t>
            </w:r>
          </w:p>
        </w:tc>
      </w:tr>
      <w:tr w:rsidR="00416D85" w:rsidRPr="007C60AF" w14:paraId="4BF6846C" w14:textId="77777777">
        <w:tc>
          <w:tcPr>
            <w:tcW w:w="9016" w:type="dxa"/>
            <w:gridSpan w:val="2"/>
            <w:shd w:val="clear" w:color="auto" w:fill="D9D9D9"/>
          </w:tcPr>
          <w:p w14:paraId="0000009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C – ABOUT OTHER INTERESTED PARTIES</w:t>
            </w:r>
          </w:p>
        </w:tc>
      </w:tr>
      <w:tr w:rsidR="00416D85" w:rsidRPr="007C60AF" w14:paraId="4B42F97A" w14:textId="77777777">
        <w:tc>
          <w:tcPr>
            <w:tcW w:w="1310" w:type="dxa"/>
          </w:tcPr>
          <w:p w14:paraId="0000009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C.1</w:t>
            </w:r>
          </w:p>
        </w:tc>
        <w:tc>
          <w:tcPr>
            <w:tcW w:w="7706" w:type="dxa"/>
          </w:tcPr>
          <w:p w14:paraId="000000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List of US HVO producers (CONFIDENTIAL)</w:t>
            </w:r>
          </w:p>
        </w:tc>
      </w:tr>
      <w:tr w:rsidR="00416D85" w:rsidRPr="007C60AF" w14:paraId="636999C8" w14:textId="77777777">
        <w:tc>
          <w:tcPr>
            <w:tcW w:w="1310" w:type="dxa"/>
          </w:tcPr>
          <w:p w14:paraId="0000009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C.2</w:t>
            </w:r>
          </w:p>
        </w:tc>
        <w:tc>
          <w:tcPr>
            <w:tcW w:w="7706" w:type="dxa"/>
          </w:tcPr>
          <w:p w14:paraId="000000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HVO Capacity Map - 21 May 2024 (CONFIDENTIAL)</w:t>
            </w:r>
          </w:p>
        </w:tc>
      </w:tr>
      <w:tr w:rsidR="00416D85" w:rsidRPr="007C60AF" w14:paraId="653D6D0A" w14:textId="77777777">
        <w:tc>
          <w:tcPr>
            <w:tcW w:w="1310" w:type="dxa"/>
          </w:tcPr>
          <w:p w14:paraId="000000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C.3</w:t>
            </w:r>
          </w:p>
        </w:tc>
        <w:tc>
          <w:tcPr>
            <w:tcW w:w="7706" w:type="dxa"/>
          </w:tcPr>
          <w:p w14:paraId="000000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List of HVO importers (CONFIDENTIAL)</w:t>
            </w:r>
          </w:p>
        </w:tc>
      </w:tr>
      <w:tr w:rsidR="00416D85" w:rsidRPr="007C60AF" w14:paraId="008CFB3E" w14:textId="77777777">
        <w:tc>
          <w:tcPr>
            <w:tcW w:w="1310" w:type="dxa"/>
          </w:tcPr>
          <w:p w14:paraId="000000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C.4</w:t>
            </w:r>
          </w:p>
        </w:tc>
        <w:tc>
          <w:tcPr>
            <w:tcW w:w="7706" w:type="dxa"/>
          </w:tcPr>
          <w:p w14:paraId="0000009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List of suppliers, users and consumers of HVO in the UK (CONFIDENTIAL)</w:t>
            </w:r>
          </w:p>
        </w:tc>
      </w:tr>
      <w:tr w:rsidR="00416D85" w:rsidRPr="007C60AF" w14:paraId="3B8F2E80" w14:textId="77777777">
        <w:tc>
          <w:tcPr>
            <w:tcW w:w="9016" w:type="dxa"/>
            <w:gridSpan w:val="2"/>
            <w:shd w:val="clear" w:color="auto" w:fill="D9D9D9"/>
          </w:tcPr>
          <w:p w14:paraId="0000009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 xml:space="preserve">SECTION D – REPRESENTATIVENESS </w:t>
            </w:r>
          </w:p>
        </w:tc>
      </w:tr>
      <w:tr w:rsidR="00416D85" w:rsidRPr="007C60AF" w14:paraId="7EF7A815" w14:textId="77777777">
        <w:tc>
          <w:tcPr>
            <w:tcW w:w="1310" w:type="dxa"/>
          </w:tcPr>
          <w:p w14:paraId="0000009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D.1</w:t>
            </w:r>
          </w:p>
        </w:tc>
        <w:tc>
          <w:tcPr>
            <w:tcW w:w="7706" w:type="dxa"/>
          </w:tcPr>
          <w:p w14:paraId="0000009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TRA Annexes 1-7 (CONFIDENTIAL)</w:t>
            </w:r>
          </w:p>
        </w:tc>
      </w:tr>
      <w:tr w:rsidR="00416D85" w:rsidRPr="007C60AF" w14:paraId="7DF83326" w14:textId="77777777">
        <w:tc>
          <w:tcPr>
            <w:tcW w:w="1310" w:type="dxa"/>
          </w:tcPr>
          <w:p w14:paraId="0000009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D.2</w:t>
            </w:r>
          </w:p>
        </w:tc>
        <w:tc>
          <w:tcPr>
            <w:tcW w:w="7706" w:type="dxa"/>
          </w:tcPr>
          <w:p w14:paraId="0000009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Phillips 66 - Renewable Fuels</w:t>
            </w:r>
          </w:p>
        </w:tc>
      </w:tr>
      <w:tr w:rsidR="00416D85" w:rsidRPr="007C60AF" w14:paraId="35CF2D05" w14:textId="77777777">
        <w:tc>
          <w:tcPr>
            <w:tcW w:w="1310" w:type="dxa"/>
          </w:tcPr>
          <w:p w14:paraId="000000A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D.3</w:t>
            </w:r>
          </w:p>
        </w:tc>
        <w:tc>
          <w:tcPr>
            <w:tcW w:w="7706" w:type="dxa"/>
          </w:tcPr>
          <w:p w14:paraId="000000A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Phillips 66</w:t>
            </w:r>
          </w:p>
        </w:tc>
      </w:tr>
      <w:tr w:rsidR="00416D85" w:rsidRPr="007C60AF" w14:paraId="67FEE82A" w14:textId="77777777">
        <w:tc>
          <w:tcPr>
            <w:tcW w:w="1310" w:type="dxa"/>
          </w:tcPr>
          <w:p w14:paraId="000000A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D.4</w:t>
            </w:r>
          </w:p>
        </w:tc>
        <w:tc>
          <w:tcPr>
            <w:tcW w:w="7706" w:type="dxa"/>
          </w:tcPr>
          <w:p w14:paraId="000000A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Phillips 66 - Renewable Diesel</w:t>
            </w:r>
          </w:p>
        </w:tc>
      </w:tr>
      <w:tr w:rsidR="00416D85" w:rsidRPr="007C60AF" w14:paraId="391D7ACF" w14:textId="77777777">
        <w:tc>
          <w:tcPr>
            <w:tcW w:w="1310" w:type="dxa"/>
          </w:tcPr>
          <w:p w14:paraId="000000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D.5</w:t>
            </w:r>
          </w:p>
        </w:tc>
        <w:tc>
          <w:tcPr>
            <w:tcW w:w="7706" w:type="dxa"/>
          </w:tcPr>
          <w:p w14:paraId="000000A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Phillips 66 - News Releases</w:t>
            </w:r>
          </w:p>
        </w:tc>
      </w:tr>
      <w:tr w:rsidR="00416D85" w:rsidRPr="007C60AF" w14:paraId="3AFD3216" w14:textId="77777777">
        <w:tc>
          <w:tcPr>
            <w:tcW w:w="9016" w:type="dxa"/>
            <w:gridSpan w:val="2"/>
            <w:shd w:val="clear" w:color="auto" w:fill="D9D9D9"/>
          </w:tcPr>
          <w:p w14:paraId="000000A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E – ABOUT THE ALLEGEDLY DUMPED IMPORTS YOU WANT US TO INVESTIGATE</w:t>
            </w:r>
          </w:p>
        </w:tc>
      </w:tr>
      <w:tr w:rsidR="00416D85" w:rsidRPr="007C60AF" w14:paraId="1E775C7F" w14:textId="77777777">
        <w:tc>
          <w:tcPr>
            <w:tcW w:w="1310" w:type="dxa"/>
          </w:tcPr>
          <w:p w14:paraId="000000A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E.1</w:t>
            </w:r>
          </w:p>
        </w:tc>
        <w:tc>
          <w:tcPr>
            <w:tcW w:w="7706" w:type="dxa"/>
          </w:tcPr>
          <w:p w14:paraId="000000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Import Data - 24 September 2024 (CONFIDENTIAL)</w:t>
            </w:r>
          </w:p>
        </w:tc>
      </w:tr>
      <w:tr w:rsidR="00416D85" w:rsidRPr="007C60AF" w14:paraId="64243A31" w14:textId="77777777">
        <w:tc>
          <w:tcPr>
            <w:tcW w:w="1310" w:type="dxa"/>
          </w:tcPr>
          <w:p w14:paraId="000000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E.2</w:t>
            </w:r>
          </w:p>
        </w:tc>
        <w:tc>
          <w:tcPr>
            <w:tcW w:w="7706" w:type="dxa"/>
          </w:tcPr>
          <w:p w14:paraId="000000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Dumping Calculations (CONFIDENTIAL)</w:t>
            </w:r>
          </w:p>
        </w:tc>
      </w:tr>
      <w:tr w:rsidR="00416D85" w:rsidRPr="007C60AF" w14:paraId="5CD963A2" w14:textId="77777777">
        <w:tc>
          <w:tcPr>
            <w:tcW w:w="1310" w:type="dxa"/>
          </w:tcPr>
          <w:p w14:paraId="000000A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E.3.1</w:t>
            </w:r>
          </w:p>
        </w:tc>
        <w:tc>
          <w:tcPr>
            <w:tcW w:w="7706" w:type="dxa"/>
          </w:tcPr>
          <w:p w14:paraId="000000A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HVO Bids/Offers (CONFIDENTIAL)</w:t>
            </w:r>
          </w:p>
        </w:tc>
      </w:tr>
      <w:tr w:rsidR="00416D85" w:rsidRPr="007C60AF" w14:paraId="1AD02508" w14:textId="77777777">
        <w:tc>
          <w:tcPr>
            <w:tcW w:w="1310" w:type="dxa"/>
          </w:tcPr>
          <w:p w14:paraId="000000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E.3.2</w:t>
            </w:r>
          </w:p>
        </w:tc>
        <w:tc>
          <w:tcPr>
            <w:tcW w:w="7706" w:type="dxa"/>
          </w:tcPr>
          <w:p w14:paraId="000000A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HVO Bids/Offers (CONFIDENTIAL)</w:t>
            </w:r>
          </w:p>
        </w:tc>
      </w:tr>
      <w:tr w:rsidR="00416D85" w:rsidRPr="007C60AF" w14:paraId="3E295BF4" w14:textId="77777777">
        <w:tc>
          <w:tcPr>
            <w:tcW w:w="1310" w:type="dxa"/>
          </w:tcPr>
          <w:p w14:paraId="000000B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E.4</w:t>
            </w:r>
          </w:p>
        </w:tc>
        <w:tc>
          <w:tcPr>
            <w:tcW w:w="7706" w:type="dxa"/>
          </w:tcPr>
          <w:p w14:paraId="000000B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HVO Bids/Offers (CONFIDENTIAL)</w:t>
            </w:r>
          </w:p>
        </w:tc>
      </w:tr>
      <w:tr w:rsidR="00416D85" w:rsidRPr="007C60AF" w14:paraId="53B97462" w14:textId="77777777">
        <w:tc>
          <w:tcPr>
            <w:tcW w:w="1310" w:type="dxa"/>
          </w:tcPr>
          <w:p w14:paraId="000000B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E.5</w:t>
            </w:r>
          </w:p>
        </w:tc>
        <w:tc>
          <w:tcPr>
            <w:tcW w:w="7706" w:type="dxa"/>
          </w:tcPr>
          <w:p w14:paraId="000000B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Freight USGC to ARA and ARA to UK (CONFIDENTIAL)</w:t>
            </w:r>
          </w:p>
        </w:tc>
      </w:tr>
      <w:tr w:rsidR="00416D85" w:rsidRPr="007C60AF" w14:paraId="0CB2BE27" w14:textId="77777777">
        <w:tc>
          <w:tcPr>
            <w:tcW w:w="1310" w:type="dxa"/>
          </w:tcPr>
          <w:p w14:paraId="000000B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E.6.1</w:t>
            </w:r>
          </w:p>
        </w:tc>
        <w:tc>
          <w:tcPr>
            <w:tcW w:w="7706" w:type="dxa"/>
          </w:tcPr>
          <w:p w14:paraId="000000B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Gasoil Prices (CONFIDENTIAL)</w:t>
            </w:r>
          </w:p>
        </w:tc>
      </w:tr>
      <w:tr w:rsidR="00416D85" w:rsidRPr="007C60AF" w14:paraId="40359CE2" w14:textId="77777777">
        <w:tc>
          <w:tcPr>
            <w:tcW w:w="1310" w:type="dxa"/>
          </w:tcPr>
          <w:p w14:paraId="000000B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E.6.2</w:t>
            </w:r>
          </w:p>
        </w:tc>
        <w:tc>
          <w:tcPr>
            <w:tcW w:w="7706" w:type="dxa"/>
          </w:tcPr>
          <w:p w14:paraId="000000B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Gasoil Prices (CONFIDENTIAL)</w:t>
            </w:r>
          </w:p>
        </w:tc>
      </w:tr>
      <w:tr w:rsidR="00416D85" w:rsidRPr="007C60AF" w14:paraId="63D06536" w14:textId="77777777">
        <w:tc>
          <w:tcPr>
            <w:tcW w:w="1310" w:type="dxa"/>
          </w:tcPr>
          <w:p w14:paraId="000000B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E.6.3</w:t>
            </w:r>
          </w:p>
        </w:tc>
        <w:tc>
          <w:tcPr>
            <w:tcW w:w="7706" w:type="dxa"/>
          </w:tcPr>
          <w:p w14:paraId="000000B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Argus Biofuels Methodology and Specifications Guide - February 2024</w:t>
            </w:r>
          </w:p>
        </w:tc>
      </w:tr>
      <w:tr w:rsidR="00416D85" w:rsidRPr="007C60AF" w14:paraId="4CC7C406" w14:textId="77777777">
        <w:tc>
          <w:tcPr>
            <w:tcW w:w="1310" w:type="dxa"/>
          </w:tcPr>
          <w:p w14:paraId="000000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E.7</w:t>
            </w:r>
          </w:p>
        </w:tc>
        <w:tc>
          <w:tcPr>
            <w:tcW w:w="7706" w:type="dxa"/>
          </w:tcPr>
          <w:p w14:paraId="000000B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EIA - PADD regions - 7 February 2012</w:t>
            </w:r>
          </w:p>
        </w:tc>
      </w:tr>
      <w:tr w:rsidR="00416D85" w:rsidRPr="007C60AF" w14:paraId="26B7FA3D" w14:textId="77777777">
        <w:tc>
          <w:tcPr>
            <w:tcW w:w="1310" w:type="dxa"/>
          </w:tcPr>
          <w:p w14:paraId="000000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E.8</w:t>
            </w:r>
          </w:p>
        </w:tc>
        <w:tc>
          <w:tcPr>
            <w:tcW w:w="7706" w:type="dxa"/>
          </w:tcPr>
          <w:p w14:paraId="000000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Shell Renewable Diesel</w:t>
            </w:r>
          </w:p>
        </w:tc>
      </w:tr>
      <w:tr w:rsidR="00416D85" w:rsidRPr="007C60AF" w14:paraId="7B07CAC0" w14:textId="77777777">
        <w:tc>
          <w:tcPr>
            <w:tcW w:w="1310" w:type="dxa"/>
          </w:tcPr>
          <w:p w14:paraId="000000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E.9</w:t>
            </w:r>
          </w:p>
        </w:tc>
        <w:tc>
          <w:tcPr>
            <w:tcW w:w="7706" w:type="dxa"/>
          </w:tcPr>
          <w:p w14:paraId="000000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Comptroller.Texas.Gov - Keeping Up with the Jones Act - January 2016</w:t>
            </w:r>
          </w:p>
        </w:tc>
      </w:tr>
      <w:tr w:rsidR="00416D85" w:rsidRPr="007C60AF" w14:paraId="74FA2AB9" w14:textId="77777777">
        <w:tc>
          <w:tcPr>
            <w:tcW w:w="1310" w:type="dxa"/>
          </w:tcPr>
          <w:p w14:paraId="000000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E.10</w:t>
            </w:r>
          </w:p>
        </w:tc>
        <w:tc>
          <w:tcPr>
            <w:tcW w:w="7706" w:type="dxa"/>
          </w:tcPr>
          <w:p w14:paraId="000000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InterlogUSA</w:t>
            </w:r>
            <w:proofErr w:type="spellEnd"/>
            <w:r w:rsidRPr="007C60AF">
              <w:rPr>
                <w:rFonts w:eastAsia="Arial"/>
                <w:color w:val="4472C4"/>
              </w:rPr>
              <w:t xml:space="preserve"> - How </w:t>
            </w:r>
            <w:proofErr w:type="gramStart"/>
            <w:r w:rsidRPr="007C60AF">
              <w:rPr>
                <w:rFonts w:eastAsia="Arial"/>
                <w:color w:val="4472C4"/>
              </w:rPr>
              <w:t>The</w:t>
            </w:r>
            <w:proofErr w:type="gramEnd"/>
            <w:r w:rsidRPr="007C60AF">
              <w:rPr>
                <w:rFonts w:eastAsia="Arial"/>
                <w:color w:val="4472C4"/>
              </w:rPr>
              <w:t xml:space="preserve"> Jones Act Affects Shipping Prices</w:t>
            </w:r>
          </w:p>
        </w:tc>
      </w:tr>
      <w:tr w:rsidR="00416D85" w:rsidRPr="007C60AF" w14:paraId="3C45E887" w14:textId="77777777">
        <w:tc>
          <w:tcPr>
            <w:tcW w:w="1310" w:type="dxa"/>
          </w:tcPr>
          <w:p w14:paraId="000000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E.11</w:t>
            </w:r>
          </w:p>
        </w:tc>
        <w:tc>
          <w:tcPr>
            <w:tcW w:w="7706" w:type="dxa"/>
          </w:tcPr>
          <w:p w14:paraId="000000C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HVO supplied to the UK in 2023 produced from Chinese UCO and market share of US HVO imports during the POI and injury period (CONFIDENTIAL)</w:t>
            </w:r>
          </w:p>
        </w:tc>
      </w:tr>
      <w:tr w:rsidR="00416D85" w:rsidRPr="007C60AF" w14:paraId="60F65D7B" w14:textId="77777777">
        <w:tc>
          <w:tcPr>
            <w:tcW w:w="9016" w:type="dxa"/>
            <w:gridSpan w:val="2"/>
            <w:shd w:val="clear" w:color="auto" w:fill="D9D9D9"/>
          </w:tcPr>
          <w:p w14:paraId="000000C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F – SUBSIDISED IMPORTS</w:t>
            </w:r>
          </w:p>
        </w:tc>
      </w:tr>
      <w:tr w:rsidR="00416D85" w:rsidRPr="007C60AF" w14:paraId="666D1ABD" w14:textId="77777777">
        <w:tc>
          <w:tcPr>
            <w:tcW w:w="1310" w:type="dxa"/>
          </w:tcPr>
          <w:p w14:paraId="000000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w:t>
            </w:r>
          </w:p>
        </w:tc>
        <w:tc>
          <w:tcPr>
            <w:tcW w:w="7706" w:type="dxa"/>
          </w:tcPr>
          <w:p w14:paraId="000000C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Countervailable Subsidies in the US</w:t>
            </w:r>
          </w:p>
        </w:tc>
      </w:tr>
      <w:tr w:rsidR="00416D85" w:rsidRPr="007C60AF" w14:paraId="02A7A373" w14:textId="77777777">
        <w:tc>
          <w:tcPr>
            <w:tcW w:w="1310" w:type="dxa"/>
          </w:tcPr>
          <w:p w14:paraId="000000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w:t>
            </w:r>
          </w:p>
        </w:tc>
        <w:tc>
          <w:tcPr>
            <w:tcW w:w="7706" w:type="dxa"/>
          </w:tcPr>
          <w:p w14:paraId="000000C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Value of Subsidies Received in POI (CONFIDENTIAL)</w:t>
            </w:r>
          </w:p>
        </w:tc>
      </w:tr>
      <w:tr w:rsidR="00416D85" w:rsidRPr="007C60AF" w14:paraId="74361DA2" w14:textId="77777777">
        <w:tc>
          <w:tcPr>
            <w:tcW w:w="1310" w:type="dxa"/>
          </w:tcPr>
          <w:p w14:paraId="000000C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w:t>
            </w:r>
          </w:p>
        </w:tc>
        <w:tc>
          <w:tcPr>
            <w:tcW w:w="7706" w:type="dxa"/>
          </w:tcPr>
          <w:p w14:paraId="000000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Grand View Research - U.S. Biofuels Market Size &amp; Trends</w:t>
            </w:r>
          </w:p>
        </w:tc>
      </w:tr>
      <w:tr w:rsidR="00416D85" w:rsidRPr="007C60AF" w14:paraId="5B1BCC29" w14:textId="77777777">
        <w:tc>
          <w:tcPr>
            <w:tcW w:w="1310" w:type="dxa"/>
          </w:tcPr>
          <w:p w14:paraId="000000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w:t>
            </w:r>
          </w:p>
        </w:tc>
        <w:tc>
          <w:tcPr>
            <w:tcW w:w="7706" w:type="dxa"/>
          </w:tcPr>
          <w:p w14:paraId="000000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AFDC - Renewable Identification Numbers</w:t>
            </w:r>
          </w:p>
        </w:tc>
      </w:tr>
      <w:tr w:rsidR="00416D85" w:rsidRPr="007C60AF" w14:paraId="5474187C" w14:textId="77777777">
        <w:tc>
          <w:tcPr>
            <w:tcW w:w="1310" w:type="dxa"/>
          </w:tcPr>
          <w:p w14:paraId="000000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w:t>
            </w:r>
          </w:p>
        </w:tc>
        <w:tc>
          <w:tcPr>
            <w:tcW w:w="7706" w:type="dxa"/>
          </w:tcPr>
          <w:p w14:paraId="000000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AFDC - Biodiesel Mixture Excise Tax Credit</w:t>
            </w:r>
          </w:p>
        </w:tc>
      </w:tr>
      <w:tr w:rsidR="00416D85" w:rsidRPr="007C60AF" w14:paraId="04DC33DA" w14:textId="77777777">
        <w:tc>
          <w:tcPr>
            <w:tcW w:w="1310" w:type="dxa"/>
          </w:tcPr>
          <w:p w14:paraId="000000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w:t>
            </w:r>
          </w:p>
        </w:tc>
        <w:tc>
          <w:tcPr>
            <w:tcW w:w="7706" w:type="dxa"/>
          </w:tcPr>
          <w:p w14:paraId="000000D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Valero Annual Report - 2023</w:t>
            </w:r>
          </w:p>
        </w:tc>
      </w:tr>
      <w:tr w:rsidR="00416D85" w:rsidRPr="007C60AF" w14:paraId="0EBDEDC4" w14:textId="77777777">
        <w:tc>
          <w:tcPr>
            <w:tcW w:w="1310" w:type="dxa"/>
          </w:tcPr>
          <w:p w14:paraId="000000D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w:t>
            </w:r>
          </w:p>
        </w:tc>
        <w:tc>
          <w:tcPr>
            <w:tcW w:w="7706" w:type="dxa"/>
          </w:tcPr>
          <w:p w14:paraId="000000D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Argus Media - Bipartisan Bill Would Extend Blenders Tax Credit - 23 July 2024</w:t>
            </w:r>
          </w:p>
        </w:tc>
      </w:tr>
      <w:tr w:rsidR="00416D85" w:rsidRPr="007C60AF" w14:paraId="27573B31" w14:textId="77777777">
        <w:tc>
          <w:tcPr>
            <w:tcW w:w="1310" w:type="dxa"/>
          </w:tcPr>
          <w:p w14:paraId="000000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F.8</w:t>
            </w:r>
          </w:p>
        </w:tc>
        <w:tc>
          <w:tcPr>
            <w:tcW w:w="7706" w:type="dxa"/>
          </w:tcPr>
          <w:p w14:paraId="000000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WTO Committee on Subsidies and Countervailing Measures - US - 14 July 2021</w:t>
            </w:r>
          </w:p>
        </w:tc>
      </w:tr>
      <w:tr w:rsidR="00416D85" w:rsidRPr="007C60AF" w14:paraId="5886891C" w14:textId="77777777">
        <w:tc>
          <w:tcPr>
            <w:tcW w:w="1310" w:type="dxa"/>
          </w:tcPr>
          <w:p w14:paraId="000000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F.9</w:t>
            </w:r>
          </w:p>
        </w:tc>
        <w:tc>
          <w:tcPr>
            <w:tcW w:w="7706" w:type="dxa"/>
          </w:tcPr>
          <w:p w14:paraId="000000D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Biodiesel Blending Tax Credit</w:t>
            </w:r>
          </w:p>
        </w:tc>
      </w:tr>
      <w:tr w:rsidR="00416D85" w:rsidRPr="007C60AF" w14:paraId="3C46EDDC" w14:textId="77777777">
        <w:tc>
          <w:tcPr>
            <w:tcW w:w="1310" w:type="dxa"/>
          </w:tcPr>
          <w:p w14:paraId="000000D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F.10</w:t>
            </w:r>
          </w:p>
        </w:tc>
        <w:tc>
          <w:tcPr>
            <w:tcW w:w="7706" w:type="dxa"/>
          </w:tcPr>
          <w:p w14:paraId="000000D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Rocky Mountain Institute - Understanding California’s Low Carbon Fuel Standards Regulation - 4 October 2023</w:t>
            </w:r>
          </w:p>
        </w:tc>
      </w:tr>
      <w:tr w:rsidR="00416D85" w:rsidRPr="007C60AF" w14:paraId="081FDFFA" w14:textId="77777777">
        <w:tc>
          <w:tcPr>
            <w:tcW w:w="1310" w:type="dxa"/>
          </w:tcPr>
          <w:p w14:paraId="000000D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F.11</w:t>
            </w:r>
          </w:p>
        </w:tc>
        <w:tc>
          <w:tcPr>
            <w:tcW w:w="7706" w:type="dxa"/>
          </w:tcPr>
          <w:p w14:paraId="000000D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Federal Register Notification regarding Valero - 3 September 2023</w:t>
            </w:r>
          </w:p>
        </w:tc>
      </w:tr>
      <w:tr w:rsidR="00416D85" w:rsidRPr="007C60AF" w14:paraId="49E01F22" w14:textId="77777777">
        <w:tc>
          <w:tcPr>
            <w:tcW w:w="1310" w:type="dxa"/>
          </w:tcPr>
          <w:p w14:paraId="000000D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F.12</w:t>
            </w:r>
          </w:p>
        </w:tc>
        <w:tc>
          <w:tcPr>
            <w:tcW w:w="7706" w:type="dxa"/>
          </w:tcPr>
          <w:p w14:paraId="000000D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26, Section 40A of the US Code</w:t>
            </w:r>
          </w:p>
        </w:tc>
      </w:tr>
      <w:tr w:rsidR="00416D85" w:rsidRPr="007C60AF" w14:paraId="361746BA" w14:textId="77777777">
        <w:tc>
          <w:tcPr>
            <w:tcW w:w="1310" w:type="dxa"/>
          </w:tcPr>
          <w:p w14:paraId="000000D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F.13</w:t>
            </w:r>
          </w:p>
        </w:tc>
        <w:tc>
          <w:tcPr>
            <w:tcW w:w="7706" w:type="dxa"/>
          </w:tcPr>
          <w:p w14:paraId="000000D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Treasury Inspector General for Tax Administration - 24 April 2024</w:t>
            </w:r>
          </w:p>
        </w:tc>
      </w:tr>
      <w:tr w:rsidR="00416D85" w:rsidRPr="007C60AF" w14:paraId="36010C36" w14:textId="77777777">
        <w:tc>
          <w:tcPr>
            <w:tcW w:w="1310" w:type="dxa"/>
          </w:tcPr>
          <w:p w14:paraId="000000E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F.14</w:t>
            </w:r>
          </w:p>
        </w:tc>
        <w:tc>
          <w:tcPr>
            <w:tcW w:w="7706" w:type="dxa"/>
          </w:tcPr>
          <w:p w14:paraId="000000E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Congressional Research Service - The Section 45Z Clean Fuel Production Credit - 27 September 2023</w:t>
            </w:r>
          </w:p>
        </w:tc>
      </w:tr>
      <w:tr w:rsidR="00416D85" w:rsidRPr="007C60AF" w14:paraId="613E47C3" w14:textId="77777777">
        <w:tc>
          <w:tcPr>
            <w:tcW w:w="1310" w:type="dxa"/>
          </w:tcPr>
          <w:p w14:paraId="000000E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F.15</w:t>
            </w:r>
          </w:p>
        </w:tc>
        <w:tc>
          <w:tcPr>
            <w:tcW w:w="7706" w:type="dxa"/>
          </w:tcPr>
          <w:p w14:paraId="000000E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The Tax Adviser - 1 June 2024</w:t>
            </w:r>
          </w:p>
        </w:tc>
      </w:tr>
      <w:tr w:rsidR="00416D85" w:rsidRPr="007C60AF" w14:paraId="2D53DD02" w14:textId="77777777">
        <w:tc>
          <w:tcPr>
            <w:tcW w:w="1310" w:type="dxa"/>
          </w:tcPr>
          <w:p w14:paraId="000000E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F.16</w:t>
            </w:r>
          </w:p>
        </w:tc>
        <w:tc>
          <w:tcPr>
            <w:tcW w:w="7706" w:type="dxa"/>
          </w:tcPr>
          <w:p w14:paraId="000000E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IRS Notice 2024-49</w:t>
            </w:r>
          </w:p>
        </w:tc>
      </w:tr>
      <w:tr w:rsidR="00416D85" w:rsidRPr="007C60AF" w14:paraId="05524F0D" w14:textId="77777777">
        <w:tc>
          <w:tcPr>
            <w:tcW w:w="1310" w:type="dxa"/>
          </w:tcPr>
          <w:p w14:paraId="000000E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F.17</w:t>
            </w:r>
          </w:p>
        </w:tc>
        <w:tc>
          <w:tcPr>
            <w:tcW w:w="7706" w:type="dxa"/>
          </w:tcPr>
          <w:p w14:paraId="000000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IEA, Inflation Reduction Act 2022</w:t>
            </w:r>
          </w:p>
        </w:tc>
      </w:tr>
      <w:tr w:rsidR="00416D85" w:rsidRPr="007C60AF" w14:paraId="41AF577A" w14:textId="77777777">
        <w:tc>
          <w:tcPr>
            <w:tcW w:w="1310" w:type="dxa"/>
          </w:tcPr>
          <w:p w14:paraId="000000E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F.18</w:t>
            </w:r>
          </w:p>
        </w:tc>
        <w:tc>
          <w:tcPr>
            <w:tcW w:w="7706" w:type="dxa"/>
          </w:tcPr>
          <w:p w14:paraId="000000E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Valero Q1 2024 Financial Report</w:t>
            </w:r>
          </w:p>
        </w:tc>
      </w:tr>
      <w:tr w:rsidR="00416D85" w:rsidRPr="007C60AF" w14:paraId="7EBBAE2C" w14:textId="77777777">
        <w:tc>
          <w:tcPr>
            <w:tcW w:w="1310" w:type="dxa"/>
          </w:tcPr>
          <w:p w14:paraId="000000E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F.19</w:t>
            </w:r>
          </w:p>
        </w:tc>
        <w:tc>
          <w:tcPr>
            <w:tcW w:w="7706" w:type="dxa"/>
          </w:tcPr>
          <w:p w14:paraId="000000E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Valero 2023 Annual Report</w:t>
            </w:r>
          </w:p>
        </w:tc>
      </w:tr>
      <w:tr w:rsidR="00416D85" w:rsidRPr="007C60AF" w14:paraId="0115B970" w14:textId="77777777">
        <w:tc>
          <w:tcPr>
            <w:tcW w:w="1310" w:type="dxa"/>
          </w:tcPr>
          <w:p w14:paraId="000000E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F.20</w:t>
            </w:r>
          </w:p>
        </w:tc>
        <w:tc>
          <w:tcPr>
            <w:tcW w:w="7706" w:type="dxa"/>
          </w:tcPr>
          <w:p w14:paraId="000000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Valero 2022 Annual Report</w:t>
            </w:r>
          </w:p>
        </w:tc>
      </w:tr>
      <w:tr w:rsidR="00416D85" w:rsidRPr="007C60AF" w14:paraId="39779D15" w14:textId="77777777">
        <w:tc>
          <w:tcPr>
            <w:tcW w:w="1310" w:type="dxa"/>
          </w:tcPr>
          <w:p w14:paraId="000000E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F.21</w:t>
            </w:r>
          </w:p>
        </w:tc>
        <w:tc>
          <w:tcPr>
            <w:tcW w:w="7706" w:type="dxa"/>
          </w:tcPr>
          <w:p w14:paraId="000000E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Darling 2023 Annual Report</w:t>
            </w:r>
          </w:p>
        </w:tc>
      </w:tr>
      <w:tr w:rsidR="00416D85" w:rsidRPr="007C60AF" w14:paraId="3CD20C97" w14:textId="77777777">
        <w:tc>
          <w:tcPr>
            <w:tcW w:w="1310" w:type="dxa"/>
          </w:tcPr>
          <w:p w14:paraId="000000F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F.22</w:t>
            </w:r>
          </w:p>
        </w:tc>
        <w:tc>
          <w:tcPr>
            <w:tcW w:w="7706" w:type="dxa"/>
          </w:tcPr>
          <w:p w14:paraId="000000F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26, Section 6426 of the US Code</w:t>
            </w:r>
          </w:p>
        </w:tc>
      </w:tr>
      <w:tr w:rsidR="00416D85" w:rsidRPr="007C60AF" w14:paraId="6139D99D" w14:textId="77777777">
        <w:tc>
          <w:tcPr>
            <w:tcW w:w="1310" w:type="dxa"/>
          </w:tcPr>
          <w:p w14:paraId="000000F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F.23</w:t>
            </w:r>
          </w:p>
        </w:tc>
        <w:tc>
          <w:tcPr>
            <w:tcW w:w="7706" w:type="dxa"/>
          </w:tcPr>
          <w:p w14:paraId="000000F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Biodiesel Mixture Excise Tax Credit</w:t>
            </w:r>
          </w:p>
        </w:tc>
      </w:tr>
      <w:tr w:rsidR="00416D85" w:rsidRPr="007C60AF" w14:paraId="035E574C" w14:textId="77777777">
        <w:tc>
          <w:tcPr>
            <w:tcW w:w="1310" w:type="dxa"/>
          </w:tcPr>
          <w:p w14:paraId="000000F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F.24</w:t>
            </w:r>
          </w:p>
        </w:tc>
        <w:tc>
          <w:tcPr>
            <w:tcW w:w="7706" w:type="dxa"/>
          </w:tcPr>
          <w:p w14:paraId="000000F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Section 13704 of the Inflation Reduction Act of 2022</w:t>
            </w:r>
          </w:p>
        </w:tc>
      </w:tr>
      <w:tr w:rsidR="00416D85" w:rsidRPr="007C60AF" w14:paraId="5547AA5E" w14:textId="77777777">
        <w:tc>
          <w:tcPr>
            <w:tcW w:w="1310" w:type="dxa"/>
          </w:tcPr>
          <w:p w14:paraId="000000F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F.25</w:t>
            </w:r>
          </w:p>
        </w:tc>
        <w:tc>
          <w:tcPr>
            <w:tcW w:w="7706" w:type="dxa"/>
          </w:tcPr>
          <w:p w14:paraId="000000F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26, Section 45Z of the US Code</w:t>
            </w:r>
          </w:p>
        </w:tc>
      </w:tr>
      <w:tr w:rsidR="00416D85" w:rsidRPr="007C60AF" w14:paraId="395FB4FC" w14:textId="77777777">
        <w:tc>
          <w:tcPr>
            <w:tcW w:w="1310" w:type="dxa"/>
          </w:tcPr>
          <w:p w14:paraId="000000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F.26</w:t>
            </w:r>
          </w:p>
        </w:tc>
        <w:tc>
          <w:tcPr>
            <w:tcW w:w="7706" w:type="dxa"/>
          </w:tcPr>
          <w:p w14:paraId="000000F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Clean Fuel Production Credit</w:t>
            </w:r>
          </w:p>
        </w:tc>
      </w:tr>
      <w:tr w:rsidR="00416D85" w:rsidRPr="007C60AF" w14:paraId="27AF0369" w14:textId="77777777">
        <w:tc>
          <w:tcPr>
            <w:tcW w:w="1310" w:type="dxa"/>
          </w:tcPr>
          <w:p w14:paraId="000000F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F.27</w:t>
            </w:r>
          </w:p>
        </w:tc>
        <w:tc>
          <w:tcPr>
            <w:tcW w:w="7706" w:type="dxa"/>
          </w:tcPr>
          <w:p w14:paraId="000000F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Vinson&amp;Elkins</w:t>
            </w:r>
            <w:proofErr w:type="spellEnd"/>
            <w:r w:rsidRPr="007C60AF">
              <w:rPr>
                <w:rFonts w:eastAsia="Arial"/>
                <w:color w:val="4472C4"/>
              </w:rPr>
              <w:t xml:space="preserve"> - Clean Fuel Production Credit succeeding fuel production credits that expire in 2024</w:t>
            </w:r>
          </w:p>
        </w:tc>
      </w:tr>
      <w:tr w:rsidR="00416D85" w:rsidRPr="007C60AF" w14:paraId="0022A126" w14:textId="77777777">
        <w:tc>
          <w:tcPr>
            <w:tcW w:w="1310" w:type="dxa"/>
          </w:tcPr>
          <w:p w14:paraId="000000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F.28</w:t>
            </w:r>
          </w:p>
        </w:tc>
        <w:tc>
          <w:tcPr>
            <w:tcW w:w="7706" w:type="dxa"/>
          </w:tcPr>
          <w:p w14:paraId="000000F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Biodiesel Credit</w:t>
            </w:r>
          </w:p>
        </w:tc>
      </w:tr>
      <w:tr w:rsidR="00416D85" w:rsidRPr="007C60AF" w14:paraId="4B8CE5A7" w14:textId="77777777">
        <w:tc>
          <w:tcPr>
            <w:tcW w:w="1310" w:type="dxa"/>
          </w:tcPr>
          <w:p w14:paraId="000000F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F.29</w:t>
            </w:r>
          </w:p>
        </w:tc>
        <w:tc>
          <w:tcPr>
            <w:tcW w:w="7706" w:type="dxa"/>
          </w:tcPr>
          <w:p w14:paraId="000000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26, Section 40 of the US Code</w:t>
            </w:r>
          </w:p>
        </w:tc>
      </w:tr>
      <w:tr w:rsidR="00416D85" w:rsidRPr="007C60AF" w14:paraId="77531002" w14:textId="77777777">
        <w:tc>
          <w:tcPr>
            <w:tcW w:w="1310" w:type="dxa"/>
          </w:tcPr>
          <w:p w14:paraId="000001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F.30</w:t>
            </w:r>
          </w:p>
        </w:tc>
        <w:tc>
          <w:tcPr>
            <w:tcW w:w="7706" w:type="dxa"/>
          </w:tcPr>
          <w:p w14:paraId="0000010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Second Generation Biofuel Producer Tax Credit</w:t>
            </w:r>
          </w:p>
        </w:tc>
      </w:tr>
      <w:tr w:rsidR="00416D85" w:rsidRPr="007C60AF" w14:paraId="489A0ADF" w14:textId="77777777">
        <w:tc>
          <w:tcPr>
            <w:tcW w:w="1310" w:type="dxa"/>
          </w:tcPr>
          <w:p w14:paraId="0000010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F.31</w:t>
            </w:r>
          </w:p>
        </w:tc>
        <w:tc>
          <w:tcPr>
            <w:tcW w:w="7706" w:type="dxa"/>
          </w:tcPr>
          <w:p w14:paraId="0000010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IX, Section 9005 of the Farm Security and Rural Investment Act of 2002</w:t>
            </w:r>
          </w:p>
        </w:tc>
      </w:tr>
      <w:tr w:rsidR="00416D85" w:rsidRPr="007C60AF" w14:paraId="589FE773" w14:textId="77777777">
        <w:tc>
          <w:tcPr>
            <w:tcW w:w="1310" w:type="dxa"/>
          </w:tcPr>
          <w:p w14:paraId="0000010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F.32</w:t>
            </w:r>
          </w:p>
        </w:tc>
        <w:tc>
          <w:tcPr>
            <w:tcW w:w="7706" w:type="dxa"/>
          </w:tcPr>
          <w:p w14:paraId="0000010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IX, Section 9005 of the Agriculture Improvement Act of 2018</w:t>
            </w:r>
          </w:p>
        </w:tc>
      </w:tr>
      <w:tr w:rsidR="00416D85" w:rsidRPr="007C60AF" w14:paraId="097F09D6" w14:textId="77777777">
        <w:tc>
          <w:tcPr>
            <w:tcW w:w="1310" w:type="dxa"/>
          </w:tcPr>
          <w:p w14:paraId="0000010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F.33</w:t>
            </w:r>
          </w:p>
        </w:tc>
        <w:tc>
          <w:tcPr>
            <w:tcW w:w="7706" w:type="dxa"/>
          </w:tcPr>
          <w:p w14:paraId="0000010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7, Section 8105 of the US Code</w:t>
            </w:r>
          </w:p>
        </w:tc>
      </w:tr>
      <w:tr w:rsidR="00416D85" w:rsidRPr="007C60AF" w14:paraId="69A90F29" w14:textId="77777777">
        <w:tc>
          <w:tcPr>
            <w:tcW w:w="1310" w:type="dxa"/>
          </w:tcPr>
          <w:p w14:paraId="0000010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F.34</w:t>
            </w:r>
          </w:p>
        </w:tc>
        <w:tc>
          <w:tcPr>
            <w:tcW w:w="7706" w:type="dxa"/>
          </w:tcPr>
          <w:p w14:paraId="0000010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I, Section 102(d)(6)(B) of the Further Continuing Appropriations and Other Extensions Act 2024</w:t>
            </w:r>
          </w:p>
        </w:tc>
      </w:tr>
      <w:tr w:rsidR="00416D85" w:rsidRPr="007C60AF" w14:paraId="15B78F7C" w14:textId="77777777">
        <w:tc>
          <w:tcPr>
            <w:tcW w:w="1310" w:type="dxa"/>
          </w:tcPr>
          <w:p w14:paraId="000001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F.35</w:t>
            </w:r>
          </w:p>
        </w:tc>
        <w:tc>
          <w:tcPr>
            <w:tcW w:w="7706" w:type="dxa"/>
          </w:tcPr>
          <w:p w14:paraId="0000010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Code of Federal Regulation, 7 CFR Part 4288, Subpart B</w:t>
            </w:r>
          </w:p>
        </w:tc>
      </w:tr>
      <w:tr w:rsidR="00416D85" w:rsidRPr="007C60AF" w14:paraId="3E0837A0" w14:textId="77777777">
        <w:tc>
          <w:tcPr>
            <w:tcW w:w="1310" w:type="dxa"/>
          </w:tcPr>
          <w:p w14:paraId="000001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F.36</w:t>
            </w:r>
          </w:p>
        </w:tc>
        <w:tc>
          <w:tcPr>
            <w:tcW w:w="7706" w:type="dxa"/>
          </w:tcPr>
          <w:p w14:paraId="0000010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Advanced Biofuel Production Payments</w:t>
            </w:r>
          </w:p>
        </w:tc>
      </w:tr>
      <w:tr w:rsidR="00416D85" w:rsidRPr="007C60AF" w14:paraId="5C4ADC13" w14:textId="77777777">
        <w:tc>
          <w:tcPr>
            <w:tcW w:w="1310" w:type="dxa"/>
          </w:tcPr>
          <w:p w14:paraId="000001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F.37</w:t>
            </w:r>
          </w:p>
        </w:tc>
        <w:tc>
          <w:tcPr>
            <w:tcW w:w="7706" w:type="dxa"/>
          </w:tcPr>
          <w:p w14:paraId="0000010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Section 22003 of the Inflation Reduction Act of 2022</w:t>
            </w:r>
          </w:p>
        </w:tc>
      </w:tr>
      <w:tr w:rsidR="00416D85" w:rsidRPr="007C60AF" w14:paraId="3EE9B4C5" w14:textId="77777777">
        <w:tc>
          <w:tcPr>
            <w:tcW w:w="1310" w:type="dxa"/>
          </w:tcPr>
          <w:p w14:paraId="0000011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F.38</w:t>
            </w:r>
          </w:p>
        </w:tc>
        <w:tc>
          <w:tcPr>
            <w:tcW w:w="7706" w:type="dxa"/>
          </w:tcPr>
          <w:p w14:paraId="0000011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Section 9003 of the Farm Security and Rural Investment Act of 2002</w:t>
            </w:r>
          </w:p>
        </w:tc>
      </w:tr>
      <w:tr w:rsidR="00416D85" w:rsidRPr="007C60AF" w14:paraId="26C8CAAD" w14:textId="77777777">
        <w:tc>
          <w:tcPr>
            <w:tcW w:w="1310" w:type="dxa"/>
          </w:tcPr>
          <w:p w14:paraId="0000011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F.39</w:t>
            </w:r>
          </w:p>
        </w:tc>
        <w:tc>
          <w:tcPr>
            <w:tcW w:w="7706" w:type="dxa"/>
          </w:tcPr>
          <w:p w14:paraId="0000011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7, Section 8103(i)(2)(A) of the US Code</w:t>
            </w:r>
          </w:p>
        </w:tc>
      </w:tr>
      <w:tr w:rsidR="00416D85" w:rsidRPr="007C60AF" w14:paraId="001411EA" w14:textId="77777777">
        <w:tc>
          <w:tcPr>
            <w:tcW w:w="1310" w:type="dxa"/>
          </w:tcPr>
          <w:p w14:paraId="0000011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F.40</w:t>
            </w:r>
          </w:p>
        </w:tc>
        <w:tc>
          <w:tcPr>
            <w:tcW w:w="7706" w:type="dxa"/>
          </w:tcPr>
          <w:p w14:paraId="0000011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USDA - HBIIP FAQS</w:t>
            </w:r>
          </w:p>
        </w:tc>
      </w:tr>
      <w:tr w:rsidR="00416D85" w:rsidRPr="007C60AF" w14:paraId="1CFFE0ED" w14:textId="77777777">
        <w:tc>
          <w:tcPr>
            <w:tcW w:w="1310" w:type="dxa"/>
          </w:tcPr>
          <w:p w14:paraId="0000011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F.41</w:t>
            </w:r>
          </w:p>
        </w:tc>
        <w:tc>
          <w:tcPr>
            <w:tcW w:w="7706" w:type="dxa"/>
          </w:tcPr>
          <w:p w14:paraId="0000011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Notice of Funds Opportunity for the Higher Blends Infrastructure Incentive Program (HBIIP) for Fiscal Years 2023 and 2024</w:t>
            </w:r>
          </w:p>
        </w:tc>
      </w:tr>
      <w:tr w:rsidR="00416D85" w:rsidRPr="007C60AF" w14:paraId="1F64B04E" w14:textId="77777777">
        <w:tc>
          <w:tcPr>
            <w:tcW w:w="1310" w:type="dxa"/>
          </w:tcPr>
          <w:p w14:paraId="000001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F.42</w:t>
            </w:r>
          </w:p>
        </w:tc>
        <w:tc>
          <w:tcPr>
            <w:tcW w:w="7706" w:type="dxa"/>
          </w:tcPr>
          <w:p w14:paraId="0000011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Federal Register Part III - Biomass Crop Assistance Program</w:t>
            </w:r>
          </w:p>
        </w:tc>
      </w:tr>
      <w:tr w:rsidR="00416D85" w:rsidRPr="007C60AF" w14:paraId="74CC5708" w14:textId="77777777">
        <w:tc>
          <w:tcPr>
            <w:tcW w:w="1310" w:type="dxa"/>
          </w:tcPr>
          <w:p w14:paraId="000001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F.43</w:t>
            </w:r>
          </w:p>
        </w:tc>
        <w:tc>
          <w:tcPr>
            <w:tcW w:w="7706" w:type="dxa"/>
          </w:tcPr>
          <w:p w14:paraId="0000011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Federal Register Vol.80, No.121 - Biorefinery, Renewable Chemical, and Biobased Product Manufacturing Assistance Program</w:t>
            </w:r>
          </w:p>
        </w:tc>
      </w:tr>
      <w:tr w:rsidR="00416D85" w:rsidRPr="007C60AF" w14:paraId="5E33BEAC" w14:textId="77777777">
        <w:tc>
          <w:tcPr>
            <w:tcW w:w="1310" w:type="dxa"/>
          </w:tcPr>
          <w:p w14:paraId="0000011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F.44</w:t>
            </w:r>
          </w:p>
        </w:tc>
        <w:tc>
          <w:tcPr>
            <w:tcW w:w="7706" w:type="dxa"/>
          </w:tcPr>
          <w:p w14:paraId="0000011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USDA - Biorefinery, Renewable Chemical, and Biobased Product Manufacturing Assistance Program - Application overview</w:t>
            </w:r>
          </w:p>
        </w:tc>
      </w:tr>
      <w:tr w:rsidR="00416D85" w:rsidRPr="007C60AF" w14:paraId="0226B490" w14:textId="77777777">
        <w:tc>
          <w:tcPr>
            <w:tcW w:w="1310" w:type="dxa"/>
          </w:tcPr>
          <w:p w14:paraId="0000011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F.45</w:t>
            </w:r>
          </w:p>
        </w:tc>
        <w:tc>
          <w:tcPr>
            <w:tcW w:w="7706" w:type="dxa"/>
          </w:tcPr>
          <w:p w14:paraId="000001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Advanced Biofuel Production Grants and Loan Guarantees</w:t>
            </w:r>
          </w:p>
        </w:tc>
      </w:tr>
      <w:tr w:rsidR="00416D85" w:rsidRPr="007C60AF" w14:paraId="21E9B741" w14:textId="77777777">
        <w:tc>
          <w:tcPr>
            <w:tcW w:w="1310" w:type="dxa"/>
          </w:tcPr>
          <w:p w14:paraId="000001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F.46</w:t>
            </w:r>
          </w:p>
        </w:tc>
        <w:tc>
          <w:tcPr>
            <w:tcW w:w="7706" w:type="dxa"/>
          </w:tcPr>
          <w:p w14:paraId="000001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Environmental Protection Agency - DOE announce $9.4M to spur development of advanced biofuels as part of President Biden’s Investing in America agenda</w:t>
            </w:r>
          </w:p>
        </w:tc>
      </w:tr>
      <w:tr w:rsidR="00416D85" w:rsidRPr="007C60AF" w14:paraId="1E280246" w14:textId="77777777">
        <w:tc>
          <w:tcPr>
            <w:tcW w:w="1310" w:type="dxa"/>
          </w:tcPr>
          <w:p w14:paraId="000001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F.47</w:t>
            </w:r>
          </w:p>
        </w:tc>
        <w:tc>
          <w:tcPr>
            <w:tcW w:w="7706" w:type="dxa"/>
          </w:tcPr>
          <w:p w14:paraId="0000012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Alternative Fuel Infrastructure Tax Credit</w:t>
            </w:r>
          </w:p>
        </w:tc>
      </w:tr>
      <w:tr w:rsidR="00416D85" w:rsidRPr="007C60AF" w14:paraId="7FEBF0BF" w14:textId="77777777">
        <w:tc>
          <w:tcPr>
            <w:tcW w:w="1310" w:type="dxa"/>
          </w:tcPr>
          <w:p w14:paraId="0000012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F.48</w:t>
            </w:r>
          </w:p>
        </w:tc>
        <w:tc>
          <w:tcPr>
            <w:tcW w:w="7706" w:type="dxa"/>
          </w:tcPr>
          <w:p w14:paraId="0000012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IRS Notice 2024-20 - Guidance on Satisfying the Geographical Requirements of the Section 30C</w:t>
            </w:r>
          </w:p>
        </w:tc>
      </w:tr>
      <w:tr w:rsidR="00416D85" w:rsidRPr="007C60AF" w14:paraId="197FCDDE" w14:textId="77777777">
        <w:tc>
          <w:tcPr>
            <w:tcW w:w="1310" w:type="dxa"/>
          </w:tcPr>
          <w:p w14:paraId="0000012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F.49</w:t>
            </w:r>
          </w:p>
        </w:tc>
        <w:tc>
          <w:tcPr>
            <w:tcW w:w="7706" w:type="dxa"/>
          </w:tcPr>
          <w:p w14:paraId="0000012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awards €118 million to accelerate domestic biofuel production</w:t>
            </w:r>
          </w:p>
        </w:tc>
      </w:tr>
      <w:tr w:rsidR="00416D85" w:rsidRPr="007C60AF" w14:paraId="57098880" w14:textId="77777777">
        <w:tc>
          <w:tcPr>
            <w:tcW w:w="1310" w:type="dxa"/>
          </w:tcPr>
          <w:p w14:paraId="0000012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F.50</w:t>
            </w:r>
          </w:p>
        </w:tc>
        <w:tc>
          <w:tcPr>
            <w:tcW w:w="7706" w:type="dxa"/>
          </w:tcPr>
          <w:p w14:paraId="0000012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Green Car Congress - DOE to award $118M to 17 projects to accelerate domestic biofuel production</w:t>
            </w:r>
          </w:p>
        </w:tc>
      </w:tr>
      <w:tr w:rsidR="00416D85" w:rsidRPr="007C60AF" w14:paraId="23C681F3" w14:textId="77777777">
        <w:tc>
          <w:tcPr>
            <w:tcW w:w="1310" w:type="dxa"/>
          </w:tcPr>
          <w:p w14:paraId="0000012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F.51</w:t>
            </w:r>
          </w:p>
        </w:tc>
        <w:tc>
          <w:tcPr>
            <w:tcW w:w="7706" w:type="dxa"/>
          </w:tcPr>
          <w:p w14:paraId="0000012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Chapter 142, Section 142.031 of Missouri Revised Statutes</w:t>
            </w:r>
          </w:p>
        </w:tc>
      </w:tr>
      <w:tr w:rsidR="00416D85" w:rsidRPr="007C60AF" w14:paraId="11740CE4" w14:textId="77777777">
        <w:tc>
          <w:tcPr>
            <w:tcW w:w="1310" w:type="dxa"/>
          </w:tcPr>
          <w:p w14:paraId="000001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F.52</w:t>
            </w:r>
          </w:p>
        </w:tc>
        <w:tc>
          <w:tcPr>
            <w:tcW w:w="7706" w:type="dxa"/>
          </w:tcPr>
          <w:p w14:paraId="0000012D" w14:textId="11591D56"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 xml:space="preserve">The Missouri Times - Missouri </w:t>
            </w:r>
            <w:r w:rsidR="002D42E1" w:rsidRPr="007C60AF">
              <w:rPr>
                <w:rFonts w:eastAsia="Arial"/>
                <w:color w:val="4472C4"/>
              </w:rPr>
              <w:t>fulfils</w:t>
            </w:r>
            <w:r w:rsidRPr="007C60AF">
              <w:rPr>
                <w:rFonts w:eastAsia="Arial"/>
                <w:color w:val="4472C4"/>
              </w:rPr>
              <w:t xml:space="preserve"> obligation to biodiesel plants</w:t>
            </w:r>
          </w:p>
        </w:tc>
      </w:tr>
      <w:tr w:rsidR="00416D85" w:rsidRPr="007C60AF" w14:paraId="2C1F307D" w14:textId="77777777">
        <w:tc>
          <w:tcPr>
            <w:tcW w:w="1310" w:type="dxa"/>
          </w:tcPr>
          <w:p w14:paraId="0000012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F.53</w:t>
            </w:r>
          </w:p>
        </w:tc>
        <w:tc>
          <w:tcPr>
            <w:tcW w:w="7706" w:type="dxa"/>
          </w:tcPr>
          <w:p w14:paraId="0000012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Revised Statutes of Missouri, Title X, Chapter 135</w:t>
            </w:r>
          </w:p>
        </w:tc>
      </w:tr>
      <w:tr w:rsidR="00416D85" w:rsidRPr="007C60AF" w14:paraId="439404F3" w14:textId="77777777">
        <w:tc>
          <w:tcPr>
            <w:tcW w:w="1310" w:type="dxa"/>
          </w:tcPr>
          <w:p w14:paraId="0000013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F.54</w:t>
            </w:r>
          </w:p>
        </w:tc>
        <w:tc>
          <w:tcPr>
            <w:tcW w:w="7706" w:type="dxa"/>
          </w:tcPr>
          <w:p w14:paraId="0000013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Missouri Department of Revenue - Biodiesel Producer Tax Credit</w:t>
            </w:r>
          </w:p>
        </w:tc>
      </w:tr>
      <w:tr w:rsidR="00416D85" w:rsidRPr="007C60AF" w14:paraId="208EBA71" w14:textId="77777777">
        <w:tc>
          <w:tcPr>
            <w:tcW w:w="1310" w:type="dxa"/>
          </w:tcPr>
          <w:p w14:paraId="0000013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F.55</w:t>
            </w:r>
          </w:p>
        </w:tc>
        <w:tc>
          <w:tcPr>
            <w:tcW w:w="7706" w:type="dxa"/>
          </w:tcPr>
          <w:p w14:paraId="0000013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Chapter 16 of the Texas Agriculture Code</w:t>
            </w:r>
          </w:p>
        </w:tc>
      </w:tr>
      <w:tr w:rsidR="00416D85" w:rsidRPr="007C60AF" w14:paraId="1E934490" w14:textId="77777777">
        <w:tc>
          <w:tcPr>
            <w:tcW w:w="1310" w:type="dxa"/>
          </w:tcPr>
          <w:p w14:paraId="0000013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F.56</w:t>
            </w:r>
          </w:p>
        </w:tc>
        <w:tc>
          <w:tcPr>
            <w:tcW w:w="7706" w:type="dxa"/>
          </w:tcPr>
          <w:p w14:paraId="000001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Texas Comptroller Manual of Accounts - Fiscal 2024 - Revenue Object 3411 – Fuel Ethanol, Renewable Methane and Biodiesel Production Fee</w:t>
            </w:r>
          </w:p>
        </w:tc>
      </w:tr>
      <w:tr w:rsidR="00416D85" w:rsidRPr="007C60AF" w14:paraId="12BA150B" w14:textId="77777777">
        <w:tc>
          <w:tcPr>
            <w:tcW w:w="1310" w:type="dxa"/>
          </w:tcPr>
          <w:p w14:paraId="000001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F.57</w:t>
            </w:r>
          </w:p>
        </w:tc>
        <w:tc>
          <w:tcPr>
            <w:tcW w:w="7706" w:type="dxa"/>
          </w:tcPr>
          <w:p w14:paraId="0000013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Texas Comptroller Manual of Accounts - Fiscal 2024 - GR Account 5112 – Fuel Ethanol, Renewable Methane and Biodiesel Production</w:t>
            </w:r>
          </w:p>
        </w:tc>
      </w:tr>
      <w:tr w:rsidR="00416D85" w:rsidRPr="007C60AF" w14:paraId="07C5FA7A" w14:textId="77777777">
        <w:tc>
          <w:tcPr>
            <w:tcW w:w="1310" w:type="dxa"/>
          </w:tcPr>
          <w:p w14:paraId="000001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F.58</w:t>
            </w:r>
          </w:p>
        </w:tc>
        <w:tc>
          <w:tcPr>
            <w:tcW w:w="7706" w:type="dxa"/>
          </w:tcPr>
          <w:p w14:paraId="000001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Texas Tax Code (Motor Fuel Taxes) - Section 162.204</w:t>
            </w:r>
          </w:p>
        </w:tc>
      </w:tr>
      <w:tr w:rsidR="00416D85" w:rsidRPr="007C60AF" w14:paraId="5126C5A1" w14:textId="77777777">
        <w:tc>
          <w:tcPr>
            <w:tcW w:w="1310" w:type="dxa"/>
          </w:tcPr>
          <w:p w14:paraId="0000013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F.59</w:t>
            </w:r>
          </w:p>
        </w:tc>
        <w:tc>
          <w:tcPr>
            <w:tcW w:w="7706" w:type="dxa"/>
          </w:tcPr>
          <w:p w14:paraId="000001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Revised Code of Washington, Chapter 82.04.260(1)(e)</w:t>
            </w:r>
          </w:p>
        </w:tc>
      </w:tr>
      <w:tr w:rsidR="00416D85" w:rsidRPr="007C60AF" w14:paraId="57788AE0" w14:textId="77777777">
        <w:tc>
          <w:tcPr>
            <w:tcW w:w="1310" w:type="dxa"/>
          </w:tcPr>
          <w:p w14:paraId="0000013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F.60</w:t>
            </w:r>
          </w:p>
        </w:tc>
        <w:tc>
          <w:tcPr>
            <w:tcW w:w="7706" w:type="dxa"/>
          </w:tcPr>
          <w:p w14:paraId="0000013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Commission Regulation (EC) No.194-2009, recitals 150-154</w:t>
            </w:r>
          </w:p>
        </w:tc>
      </w:tr>
      <w:tr w:rsidR="00416D85" w:rsidRPr="007C60AF" w14:paraId="4674A7F7" w14:textId="77777777">
        <w:tc>
          <w:tcPr>
            <w:tcW w:w="1310" w:type="dxa"/>
          </w:tcPr>
          <w:p w14:paraId="0000013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F.61</w:t>
            </w:r>
          </w:p>
        </w:tc>
        <w:tc>
          <w:tcPr>
            <w:tcW w:w="7706" w:type="dxa"/>
          </w:tcPr>
          <w:p w14:paraId="0000013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2016 Florida Statute, Title XIV, Chapter 220, Section 192</w:t>
            </w:r>
          </w:p>
        </w:tc>
      </w:tr>
      <w:tr w:rsidR="00416D85" w:rsidRPr="007C60AF" w14:paraId="045C7A7D" w14:textId="77777777">
        <w:tc>
          <w:tcPr>
            <w:tcW w:w="1310" w:type="dxa"/>
          </w:tcPr>
          <w:p w14:paraId="0000014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F.62</w:t>
            </w:r>
          </w:p>
        </w:tc>
        <w:tc>
          <w:tcPr>
            <w:tcW w:w="7706" w:type="dxa"/>
          </w:tcPr>
          <w:p w14:paraId="0000014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Commission Implementing Regulation (EU) 2015/1519, recitals 75-80</w:t>
            </w:r>
          </w:p>
        </w:tc>
      </w:tr>
      <w:tr w:rsidR="00416D85" w:rsidRPr="007C60AF" w14:paraId="6AD3B306" w14:textId="77777777">
        <w:tc>
          <w:tcPr>
            <w:tcW w:w="1310" w:type="dxa"/>
          </w:tcPr>
          <w:p w14:paraId="0000014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F.63</w:t>
            </w:r>
          </w:p>
        </w:tc>
        <w:tc>
          <w:tcPr>
            <w:tcW w:w="7706" w:type="dxa"/>
          </w:tcPr>
          <w:p w14:paraId="000001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Iowa Code, Section 423.4(9) Appendix X - Commission Implementing Regulation (EU) 2021/1267, recitals 96 - 104</w:t>
            </w:r>
          </w:p>
        </w:tc>
      </w:tr>
      <w:tr w:rsidR="00416D85" w:rsidRPr="007C60AF" w14:paraId="5687CE10" w14:textId="77777777">
        <w:tc>
          <w:tcPr>
            <w:tcW w:w="1310" w:type="dxa"/>
          </w:tcPr>
          <w:p w14:paraId="0000014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F.64</w:t>
            </w:r>
          </w:p>
        </w:tc>
        <w:tc>
          <w:tcPr>
            <w:tcW w:w="7706" w:type="dxa"/>
          </w:tcPr>
          <w:p w14:paraId="0000014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Commission Implementing Regulation (EU) 2021/1267, recitals 96 - 104</w:t>
            </w:r>
          </w:p>
        </w:tc>
      </w:tr>
      <w:tr w:rsidR="00416D85" w:rsidRPr="007C60AF" w14:paraId="32F91068" w14:textId="77777777">
        <w:tc>
          <w:tcPr>
            <w:tcW w:w="1310" w:type="dxa"/>
          </w:tcPr>
          <w:p w14:paraId="0000014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F.65</w:t>
            </w:r>
          </w:p>
        </w:tc>
        <w:tc>
          <w:tcPr>
            <w:tcW w:w="7706" w:type="dxa"/>
          </w:tcPr>
          <w:p w14:paraId="000001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2016 Kansas Statute, Article 34, Section 79-34,158</w:t>
            </w:r>
          </w:p>
        </w:tc>
      </w:tr>
      <w:tr w:rsidR="00416D85" w:rsidRPr="007C60AF" w14:paraId="17F74265" w14:textId="77777777">
        <w:tc>
          <w:tcPr>
            <w:tcW w:w="1310" w:type="dxa"/>
          </w:tcPr>
          <w:p w14:paraId="000001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F.66</w:t>
            </w:r>
          </w:p>
        </w:tc>
        <w:tc>
          <w:tcPr>
            <w:tcW w:w="7706" w:type="dxa"/>
          </w:tcPr>
          <w:p w14:paraId="000001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2016 Kansas Statute, Article 34, Section 79-34,155</w:t>
            </w:r>
          </w:p>
        </w:tc>
      </w:tr>
      <w:tr w:rsidR="00416D85" w:rsidRPr="007C60AF" w14:paraId="03BAE3A7" w14:textId="77777777">
        <w:tc>
          <w:tcPr>
            <w:tcW w:w="1310" w:type="dxa"/>
          </w:tcPr>
          <w:p w14:paraId="000001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F.67</w:t>
            </w:r>
          </w:p>
        </w:tc>
        <w:tc>
          <w:tcPr>
            <w:tcW w:w="7706" w:type="dxa"/>
          </w:tcPr>
          <w:p w14:paraId="0000014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Kentucky Department of Revenue - Biodiesel Tax Credit</w:t>
            </w:r>
          </w:p>
        </w:tc>
      </w:tr>
      <w:tr w:rsidR="00416D85" w:rsidRPr="007C60AF" w14:paraId="33BC31AB" w14:textId="77777777">
        <w:tc>
          <w:tcPr>
            <w:tcW w:w="1310" w:type="dxa"/>
          </w:tcPr>
          <w:p w14:paraId="0000014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F.68</w:t>
            </w:r>
          </w:p>
        </w:tc>
        <w:tc>
          <w:tcPr>
            <w:tcW w:w="7706" w:type="dxa"/>
          </w:tcPr>
          <w:p w14:paraId="0000014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Section 57-38-01.22</w:t>
            </w:r>
          </w:p>
        </w:tc>
      </w:tr>
      <w:tr w:rsidR="00416D85" w:rsidRPr="007C60AF" w14:paraId="55CA4935" w14:textId="77777777">
        <w:tc>
          <w:tcPr>
            <w:tcW w:w="1310" w:type="dxa"/>
          </w:tcPr>
          <w:p w14:paraId="0000014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F.69</w:t>
            </w:r>
          </w:p>
        </w:tc>
        <w:tc>
          <w:tcPr>
            <w:tcW w:w="7706" w:type="dxa"/>
          </w:tcPr>
          <w:p w14:paraId="000001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Biodiesel Laws and Incentives in North Dakota</w:t>
            </w:r>
          </w:p>
        </w:tc>
      </w:tr>
      <w:tr w:rsidR="00416D85" w:rsidRPr="007C60AF" w14:paraId="4C675929" w14:textId="77777777">
        <w:tc>
          <w:tcPr>
            <w:tcW w:w="1310" w:type="dxa"/>
          </w:tcPr>
          <w:p w14:paraId="0000015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F.70</w:t>
            </w:r>
          </w:p>
        </w:tc>
        <w:tc>
          <w:tcPr>
            <w:tcW w:w="7706" w:type="dxa"/>
          </w:tcPr>
          <w:p w14:paraId="0000015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- 57.38 - 01.23</w:t>
            </w:r>
          </w:p>
        </w:tc>
      </w:tr>
      <w:tr w:rsidR="00416D85" w:rsidRPr="007C60AF" w14:paraId="33D44ABE" w14:textId="77777777">
        <w:tc>
          <w:tcPr>
            <w:tcW w:w="1310" w:type="dxa"/>
          </w:tcPr>
          <w:p w14:paraId="0000015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F.71</w:t>
            </w:r>
          </w:p>
        </w:tc>
        <w:tc>
          <w:tcPr>
            <w:tcW w:w="7706" w:type="dxa"/>
          </w:tcPr>
          <w:p w14:paraId="0000015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- 57.38 - 30.6</w:t>
            </w:r>
          </w:p>
        </w:tc>
      </w:tr>
      <w:tr w:rsidR="00416D85" w:rsidRPr="007C60AF" w14:paraId="7244347C" w14:textId="77777777">
        <w:tc>
          <w:tcPr>
            <w:tcW w:w="1310" w:type="dxa"/>
          </w:tcPr>
          <w:p w14:paraId="0000015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F.72</w:t>
            </w:r>
          </w:p>
        </w:tc>
        <w:tc>
          <w:tcPr>
            <w:tcW w:w="7706" w:type="dxa"/>
          </w:tcPr>
          <w:p w14:paraId="000001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- 6-09.7</w:t>
            </w:r>
          </w:p>
        </w:tc>
      </w:tr>
      <w:tr w:rsidR="00416D85" w:rsidRPr="007C60AF" w14:paraId="3D9E749B" w14:textId="77777777">
        <w:tc>
          <w:tcPr>
            <w:tcW w:w="1310" w:type="dxa"/>
          </w:tcPr>
          <w:p w14:paraId="0000015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F.73</w:t>
            </w:r>
          </w:p>
        </w:tc>
        <w:tc>
          <w:tcPr>
            <w:tcW w:w="7706" w:type="dxa"/>
          </w:tcPr>
          <w:p w14:paraId="000001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Michigan House Bill No. 4847</w:t>
            </w:r>
          </w:p>
        </w:tc>
      </w:tr>
      <w:tr w:rsidR="00416D85" w:rsidRPr="007C60AF" w14:paraId="02EC2605" w14:textId="77777777">
        <w:tc>
          <w:tcPr>
            <w:tcW w:w="1310" w:type="dxa"/>
          </w:tcPr>
          <w:p w14:paraId="000001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F.74</w:t>
            </w:r>
          </w:p>
        </w:tc>
        <w:tc>
          <w:tcPr>
            <w:tcW w:w="7706" w:type="dxa"/>
          </w:tcPr>
          <w:p w14:paraId="000001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Michigan Advanced Biofuels Coalition - Michigan Biodiesel Producer and Retailer Tax Credits Introduced - 5 July 2023</w:t>
            </w:r>
          </w:p>
        </w:tc>
      </w:tr>
      <w:tr w:rsidR="00416D85" w:rsidRPr="007C60AF" w14:paraId="387B3AC6" w14:textId="77777777">
        <w:tc>
          <w:tcPr>
            <w:tcW w:w="1310" w:type="dxa"/>
          </w:tcPr>
          <w:p w14:paraId="000001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F.75</w:t>
            </w:r>
          </w:p>
        </w:tc>
        <w:tc>
          <w:tcPr>
            <w:tcW w:w="7706" w:type="dxa"/>
          </w:tcPr>
          <w:p w14:paraId="000001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- 17-03</w:t>
            </w:r>
          </w:p>
        </w:tc>
      </w:tr>
      <w:tr w:rsidR="00416D85" w:rsidRPr="007C60AF" w14:paraId="6A8A972B" w14:textId="77777777">
        <w:tc>
          <w:tcPr>
            <w:tcW w:w="1310" w:type="dxa"/>
          </w:tcPr>
          <w:p w14:paraId="000001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F.76</w:t>
            </w:r>
          </w:p>
        </w:tc>
        <w:tc>
          <w:tcPr>
            <w:tcW w:w="7706" w:type="dxa"/>
          </w:tcPr>
          <w:p w14:paraId="0000015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Bank of North Dakota - Biofuels PACE Program</w:t>
            </w:r>
          </w:p>
        </w:tc>
      </w:tr>
      <w:tr w:rsidR="00416D85" w:rsidRPr="007C60AF" w14:paraId="61D64A46" w14:textId="77777777">
        <w:tc>
          <w:tcPr>
            <w:tcW w:w="1310" w:type="dxa"/>
          </w:tcPr>
          <w:p w14:paraId="0000015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F.77</w:t>
            </w:r>
          </w:p>
        </w:tc>
        <w:tc>
          <w:tcPr>
            <w:tcW w:w="7706" w:type="dxa"/>
          </w:tcPr>
          <w:p w14:paraId="000001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California Assembly Bill No.126 - Chapter 319 - Clean Transportation Program - Extension</w:t>
            </w:r>
          </w:p>
        </w:tc>
      </w:tr>
      <w:tr w:rsidR="00416D85" w:rsidRPr="007C60AF" w14:paraId="74EC50B8" w14:textId="77777777">
        <w:tc>
          <w:tcPr>
            <w:tcW w:w="1310" w:type="dxa"/>
          </w:tcPr>
          <w:p w14:paraId="0000016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F.78</w:t>
            </w:r>
          </w:p>
        </w:tc>
        <w:tc>
          <w:tcPr>
            <w:tcW w:w="7706" w:type="dxa"/>
          </w:tcPr>
          <w:p w14:paraId="000001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California Energy Commission - Clean Transportation Program Overview</w:t>
            </w:r>
          </w:p>
        </w:tc>
      </w:tr>
      <w:tr w:rsidR="00416D85" w:rsidRPr="007C60AF" w14:paraId="28E19543" w14:textId="77777777">
        <w:tc>
          <w:tcPr>
            <w:tcW w:w="1310" w:type="dxa"/>
          </w:tcPr>
          <w:p w14:paraId="000001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F.79</w:t>
            </w:r>
          </w:p>
        </w:tc>
        <w:tc>
          <w:tcPr>
            <w:tcW w:w="7706" w:type="dxa"/>
          </w:tcPr>
          <w:p w14:paraId="000001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State of Oregon - Business Oregon - Rural Renewable Energy Development (RRED) Zone</w:t>
            </w:r>
          </w:p>
        </w:tc>
      </w:tr>
      <w:tr w:rsidR="00416D85" w:rsidRPr="007C60AF" w14:paraId="7127ECE6" w14:textId="77777777">
        <w:tc>
          <w:tcPr>
            <w:tcW w:w="9016" w:type="dxa"/>
            <w:gridSpan w:val="2"/>
            <w:shd w:val="clear" w:color="auto" w:fill="D9D9D9"/>
          </w:tcPr>
          <w:p w14:paraId="000001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 xml:space="preserve">SECTION G – INJURY </w:t>
            </w:r>
          </w:p>
        </w:tc>
      </w:tr>
      <w:tr w:rsidR="00416D85" w:rsidRPr="007C60AF" w14:paraId="23B83149" w14:textId="77777777">
        <w:tc>
          <w:tcPr>
            <w:tcW w:w="1310" w:type="dxa"/>
          </w:tcPr>
          <w:p w14:paraId="0000016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G.1</w:t>
            </w:r>
          </w:p>
        </w:tc>
        <w:tc>
          <w:tcPr>
            <w:tcW w:w="7706" w:type="dxa"/>
          </w:tcPr>
          <w:p w14:paraId="0000016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Consolidated Injury Questionnaire (CONFIDENTIAL)</w:t>
            </w:r>
          </w:p>
        </w:tc>
      </w:tr>
      <w:tr w:rsidR="00416D85" w:rsidRPr="007C60AF" w14:paraId="6C478F90" w14:textId="77777777">
        <w:tc>
          <w:tcPr>
            <w:tcW w:w="1310" w:type="dxa"/>
          </w:tcPr>
          <w:p w14:paraId="000001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G.2</w:t>
            </w:r>
          </w:p>
        </w:tc>
        <w:tc>
          <w:tcPr>
            <w:tcW w:w="7706" w:type="dxa"/>
          </w:tcPr>
          <w:p w14:paraId="000001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UK Industry Market Share Calculations (CONFIDENTIAL)</w:t>
            </w:r>
          </w:p>
        </w:tc>
      </w:tr>
      <w:tr w:rsidR="00416D85" w:rsidRPr="007C60AF" w14:paraId="105B838C" w14:textId="77777777">
        <w:tc>
          <w:tcPr>
            <w:tcW w:w="1310" w:type="dxa"/>
          </w:tcPr>
          <w:p w14:paraId="000001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G.3</w:t>
            </w:r>
          </w:p>
        </w:tc>
        <w:tc>
          <w:tcPr>
            <w:tcW w:w="7706" w:type="dxa"/>
          </w:tcPr>
          <w:p w14:paraId="000001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- 2020 Fifth Provisional</w:t>
            </w:r>
          </w:p>
        </w:tc>
      </w:tr>
      <w:tr w:rsidR="00416D85" w:rsidRPr="007C60AF" w14:paraId="21D24BA2" w14:textId="77777777">
        <w:tc>
          <w:tcPr>
            <w:tcW w:w="1310" w:type="dxa"/>
          </w:tcPr>
          <w:p w14:paraId="000001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G.4</w:t>
            </w:r>
          </w:p>
        </w:tc>
        <w:tc>
          <w:tcPr>
            <w:tcW w:w="7706" w:type="dxa"/>
          </w:tcPr>
          <w:p w14:paraId="0000016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- 2021 Fifth Provisional</w:t>
            </w:r>
          </w:p>
        </w:tc>
      </w:tr>
      <w:tr w:rsidR="00416D85" w:rsidRPr="007C60AF" w14:paraId="1BAC3B0E" w14:textId="77777777">
        <w:tc>
          <w:tcPr>
            <w:tcW w:w="1310" w:type="dxa"/>
          </w:tcPr>
          <w:p w14:paraId="0000016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G.5</w:t>
            </w:r>
          </w:p>
        </w:tc>
        <w:tc>
          <w:tcPr>
            <w:tcW w:w="7706" w:type="dxa"/>
          </w:tcPr>
          <w:p w14:paraId="0000016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- 2022 Fifth Provisional</w:t>
            </w:r>
          </w:p>
        </w:tc>
      </w:tr>
      <w:tr w:rsidR="00416D85" w:rsidRPr="007C60AF" w14:paraId="39623A37" w14:textId="77777777">
        <w:tc>
          <w:tcPr>
            <w:tcW w:w="1310" w:type="dxa"/>
          </w:tcPr>
          <w:p w14:paraId="0000017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G.6</w:t>
            </w:r>
          </w:p>
        </w:tc>
        <w:tc>
          <w:tcPr>
            <w:tcW w:w="7706" w:type="dxa"/>
          </w:tcPr>
          <w:p w14:paraId="0000017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Undercutting and Underselling Calculations (CONFIDENTIAL)</w:t>
            </w:r>
          </w:p>
        </w:tc>
      </w:tr>
      <w:tr w:rsidR="00416D85" w:rsidRPr="007C60AF" w14:paraId="08601751" w14:textId="77777777">
        <w:tc>
          <w:tcPr>
            <w:tcW w:w="9016" w:type="dxa"/>
            <w:gridSpan w:val="2"/>
            <w:shd w:val="clear" w:color="auto" w:fill="D9D9D9"/>
          </w:tcPr>
          <w:p w14:paraId="0000017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H – CAUSAL LINK BETWEEN THE IMPORTED GOODS AND INJURY TO YOUR INDUSTRY</w:t>
            </w:r>
          </w:p>
        </w:tc>
      </w:tr>
      <w:tr w:rsidR="00416D85" w:rsidRPr="007C60AF" w14:paraId="696B2EE7" w14:textId="77777777">
        <w:tc>
          <w:tcPr>
            <w:tcW w:w="1310" w:type="dxa"/>
          </w:tcPr>
          <w:p w14:paraId="000001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H.1</w:t>
            </w:r>
          </w:p>
        </w:tc>
        <w:tc>
          <w:tcPr>
            <w:tcW w:w="7706" w:type="dxa"/>
          </w:tcPr>
          <w:p w14:paraId="0000017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Agriculture - Renewable diesel production surpasses biodiesel - 28 May 2024</w:t>
            </w:r>
          </w:p>
        </w:tc>
      </w:tr>
      <w:tr w:rsidR="00416D85" w:rsidRPr="007C60AF" w14:paraId="4FF341C3" w14:textId="77777777">
        <w:tc>
          <w:tcPr>
            <w:tcW w:w="1310" w:type="dxa"/>
          </w:tcPr>
          <w:p w14:paraId="0000017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H.2</w:t>
            </w:r>
          </w:p>
        </w:tc>
        <w:tc>
          <w:tcPr>
            <w:tcW w:w="7706" w:type="dxa"/>
          </w:tcPr>
          <w:p w14:paraId="0000017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IEA Bioenergy - Biofuels production and development in the United States - July 2024</w:t>
            </w:r>
          </w:p>
        </w:tc>
      </w:tr>
      <w:tr w:rsidR="00416D85" w:rsidRPr="007C60AF" w14:paraId="422EBA9E" w14:textId="77777777">
        <w:tc>
          <w:tcPr>
            <w:tcW w:w="1310" w:type="dxa"/>
          </w:tcPr>
          <w:p w14:paraId="0000017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H.3</w:t>
            </w:r>
          </w:p>
        </w:tc>
        <w:tc>
          <w:tcPr>
            <w:tcW w:w="7706" w:type="dxa"/>
          </w:tcPr>
          <w:p w14:paraId="000001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Energy Information Administration - Table 10.4b Renewable Diesel Fuel Overview - 27 August 2024</w:t>
            </w:r>
          </w:p>
        </w:tc>
      </w:tr>
      <w:tr w:rsidR="00416D85" w:rsidRPr="007C60AF" w14:paraId="15BA2501" w14:textId="77777777">
        <w:tc>
          <w:tcPr>
            <w:tcW w:w="1310" w:type="dxa"/>
          </w:tcPr>
          <w:p w14:paraId="0000017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H.4</w:t>
            </w:r>
          </w:p>
        </w:tc>
        <w:tc>
          <w:tcPr>
            <w:tcW w:w="7706" w:type="dxa"/>
          </w:tcPr>
          <w:p w14:paraId="0000017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Biodiesel Magazine - EIA: US imports of renewable diesel increased in the early months of 2024 - 8 August 2024</w:t>
            </w:r>
          </w:p>
        </w:tc>
      </w:tr>
      <w:tr w:rsidR="00416D85" w:rsidRPr="007C60AF" w14:paraId="212A5688" w14:textId="77777777">
        <w:tc>
          <w:tcPr>
            <w:tcW w:w="1310" w:type="dxa"/>
          </w:tcPr>
          <w:p w14:paraId="000001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H.5</w:t>
            </w:r>
          </w:p>
        </w:tc>
        <w:tc>
          <w:tcPr>
            <w:tcW w:w="7706" w:type="dxa"/>
          </w:tcPr>
          <w:p w14:paraId="000001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Energy Information Administration - STEO - February 2024</w:t>
            </w:r>
          </w:p>
        </w:tc>
      </w:tr>
      <w:tr w:rsidR="00416D85" w:rsidRPr="007C60AF" w14:paraId="7046579A" w14:textId="77777777">
        <w:tc>
          <w:tcPr>
            <w:tcW w:w="1310" w:type="dxa"/>
          </w:tcPr>
          <w:p w14:paraId="000001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H.6</w:t>
            </w:r>
          </w:p>
        </w:tc>
        <w:tc>
          <w:tcPr>
            <w:tcW w:w="7706" w:type="dxa"/>
          </w:tcPr>
          <w:p w14:paraId="000001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S&amp;P Global - US EPA ‘lowers ambitions’ to chagrin of biofuel producers in final RFS rule for 2023-2025 - 21 June 2023</w:t>
            </w:r>
          </w:p>
        </w:tc>
      </w:tr>
      <w:tr w:rsidR="00416D85" w:rsidRPr="007C60AF" w14:paraId="559B91A0" w14:textId="77777777">
        <w:tc>
          <w:tcPr>
            <w:tcW w:w="1310" w:type="dxa"/>
          </w:tcPr>
          <w:p w14:paraId="000001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H.7</w:t>
            </w:r>
          </w:p>
        </w:tc>
        <w:tc>
          <w:tcPr>
            <w:tcW w:w="7706" w:type="dxa"/>
          </w:tcPr>
          <w:p w14:paraId="000001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S&amp;P Global - UK to instate biofuel import duties after halting exemptions - 3 April 2024</w:t>
            </w:r>
          </w:p>
        </w:tc>
      </w:tr>
      <w:tr w:rsidR="00416D85" w:rsidRPr="007C60AF" w14:paraId="4C2E8981" w14:textId="77777777">
        <w:tc>
          <w:tcPr>
            <w:tcW w:w="1310" w:type="dxa"/>
          </w:tcPr>
          <w:p w14:paraId="0000018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H.8</w:t>
            </w:r>
          </w:p>
        </w:tc>
        <w:tc>
          <w:tcPr>
            <w:tcW w:w="7706" w:type="dxa"/>
          </w:tcPr>
          <w:p w14:paraId="000001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Diamond Green Diesel – About Diamond Green Diesel</w:t>
            </w:r>
          </w:p>
        </w:tc>
      </w:tr>
      <w:tr w:rsidR="00416D85" w:rsidRPr="007C60AF" w14:paraId="305E06A9" w14:textId="77777777">
        <w:tc>
          <w:tcPr>
            <w:tcW w:w="1310" w:type="dxa"/>
          </w:tcPr>
          <w:p w14:paraId="0000018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H.9</w:t>
            </w:r>
          </w:p>
        </w:tc>
        <w:tc>
          <w:tcPr>
            <w:tcW w:w="7706" w:type="dxa"/>
          </w:tcPr>
          <w:p w14:paraId="0000018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NXT Clean Fuels - Port Westward</w:t>
            </w:r>
          </w:p>
        </w:tc>
      </w:tr>
    </w:tbl>
    <w:p w14:paraId="00000186" w14:textId="77777777" w:rsidR="00416D85" w:rsidRPr="007C60AF" w:rsidRDefault="00416D85">
      <w:pPr>
        <w:pBdr>
          <w:top w:val="nil"/>
          <w:left w:val="nil"/>
          <w:bottom w:val="nil"/>
          <w:right w:val="nil"/>
          <w:between w:val="nil"/>
        </w:pBdr>
        <w:spacing w:before="160" w:line="360" w:lineRule="auto"/>
        <w:rPr>
          <w:rFonts w:eastAsia="Arial"/>
          <w:b/>
          <w:color w:val="000000"/>
          <w:sz w:val="28"/>
          <w:szCs w:val="28"/>
        </w:rPr>
      </w:pPr>
    </w:p>
    <w:p w14:paraId="00000187" w14:textId="77777777" w:rsidR="00416D85" w:rsidRPr="007C60AF" w:rsidRDefault="00130320">
      <w:pPr>
        <w:pBdr>
          <w:top w:val="nil"/>
          <w:left w:val="nil"/>
          <w:bottom w:val="nil"/>
          <w:right w:val="nil"/>
          <w:between w:val="nil"/>
        </w:pBdr>
        <w:spacing w:before="360" w:after="120" w:line="360" w:lineRule="auto"/>
        <w:jc w:val="center"/>
        <w:rPr>
          <w:rFonts w:eastAsia="Arial"/>
          <w:b/>
          <w:color w:val="4472C4"/>
          <w:sz w:val="36"/>
          <w:szCs w:val="36"/>
        </w:rPr>
      </w:pPr>
      <w:r w:rsidRPr="007C60AF">
        <w:br w:type="page"/>
      </w:r>
    </w:p>
    <w:p w14:paraId="00000188"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r w:rsidRPr="007C60AF">
        <w:rPr>
          <w:rFonts w:eastAsia="Arial"/>
          <w:b/>
          <w:color w:val="4472C4"/>
          <w:sz w:val="36"/>
          <w:szCs w:val="36"/>
        </w:rPr>
        <w:lastRenderedPageBreak/>
        <w:t xml:space="preserve">SECTION A: </w:t>
      </w:r>
      <w:r w:rsidRPr="007C60AF">
        <w:rPr>
          <w:rFonts w:eastAsia="Arial"/>
          <w:b/>
          <w:color w:val="000000"/>
          <w:sz w:val="36"/>
          <w:szCs w:val="36"/>
        </w:rPr>
        <w:t>About The Goods</w:t>
      </w:r>
    </w:p>
    <w:p w14:paraId="0000018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section of the application form is about the imported goods you want us to investigate. These imported goods will be referred simply to as ‘the </w:t>
      </w:r>
      <w:proofErr w:type="gramStart"/>
      <w:r w:rsidRPr="007C60AF">
        <w:rPr>
          <w:rFonts w:eastAsia="Arial"/>
          <w:color w:val="000000"/>
        </w:rPr>
        <w:t>goods’</w:t>
      </w:r>
      <w:proofErr w:type="gramEnd"/>
      <w:r w:rsidRPr="007C60AF">
        <w:rPr>
          <w:rFonts w:eastAsia="Arial"/>
          <w:color w:val="000000"/>
        </w:rPr>
        <w:t xml:space="preserve">. </w:t>
      </w:r>
    </w:p>
    <w:p w14:paraId="0000018A" w14:textId="77777777" w:rsidR="00416D85" w:rsidRPr="007C60AF" w:rsidRDefault="00130320">
      <w:pPr>
        <w:pBdr>
          <w:top w:val="nil"/>
          <w:left w:val="nil"/>
          <w:bottom w:val="nil"/>
          <w:right w:val="nil"/>
          <w:between w:val="nil"/>
        </w:pBdr>
        <w:spacing w:before="120" w:line="276" w:lineRule="auto"/>
        <w:jc w:val="both"/>
        <w:rPr>
          <w:rFonts w:eastAsia="Arial"/>
          <w:color w:val="0B0C0C"/>
        </w:rPr>
      </w:pPr>
      <w:r w:rsidRPr="007C60AF">
        <w:rPr>
          <w:rFonts w:eastAsia="Arial"/>
          <w:color w:val="000000"/>
        </w:rPr>
        <w:t xml:space="preserve">You can only ask us to investigate imported goods if you (or the industry you represent) produce ‘like </w:t>
      </w:r>
      <w:proofErr w:type="gramStart"/>
      <w:r w:rsidRPr="007C60AF">
        <w:rPr>
          <w:rFonts w:eastAsia="Arial"/>
          <w:color w:val="000000"/>
        </w:rPr>
        <w:t>goods’</w:t>
      </w:r>
      <w:proofErr w:type="gramEnd"/>
      <w:r w:rsidRPr="007C60AF">
        <w:rPr>
          <w:rFonts w:eastAsia="Arial"/>
          <w:color w:val="000000"/>
        </w:rPr>
        <w:t xml:space="preserve">. </w:t>
      </w:r>
      <w:r w:rsidRPr="007C60AF">
        <w:rPr>
          <w:rFonts w:eastAsia="Arial"/>
          <w:color w:val="0B0C0C"/>
        </w:rPr>
        <w:t xml:space="preserve">Like goods are defined as goods which are </w:t>
      </w:r>
      <w:proofErr w:type="gramStart"/>
      <w:r w:rsidRPr="007C60AF">
        <w:rPr>
          <w:rFonts w:eastAsia="Arial"/>
          <w:color w:val="0B0C0C"/>
        </w:rPr>
        <w:t>similar to</w:t>
      </w:r>
      <w:proofErr w:type="gramEnd"/>
      <w:r w:rsidRPr="007C60AF">
        <w:rPr>
          <w:rFonts w:eastAsia="Arial"/>
          <w:color w:val="0B0C0C"/>
        </w:rPr>
        <w:t xml:space="preserve"> the goods under investigation in all respects or have characteristics which closely resemble them. When we decide what are like goods, we will consider the following non-exhaustive list of criteria:</w:t>
      </w:r>
    </w:p>
    <w:p w14:paraId="0000018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physical likeness, such as physical characteristics</w:t>
      </w:r>
    </w:p>
    <w:p w14:paraId="0000018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commercial likeness, including competition and distribution channels</w:t>
      </w:r>
    </w:p>
    <w:p w14:paraId="0000018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functional likeness, such as end-use or if the goods can be substituted for each other</w:t>
      </w:r>
    </w:p>
    <w:p w14:paraId="0000018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similarities in production, such as method and inputs</w:t>
      </w:r>
    </w:p>
    <w:p w14:paraId="0000018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other relevant characteristics</w:t>
      </w:r>
    </w:p>
    <w:p w14:paraId="00000190" w14:textId="77777777" w:rsidR="00416D85" w:rsidRPr="007C60AF" w:rsidRDefault="00416D85">
      <w:pPr>
        <w:pBdr>
          <w:top w:val="nil"/>
          <w:left w:val="nil"/>
          <w:bottom w:val="nil"/>
          <w:right w:val="nil"/>
          <w:between w:val="nil"/>
        </w:pBdr>
        <w:shd w:val="clear" w:color="auto" w:fill="FFFFFF"/>
        <w:spacing w:after="0" w:line="240" w:lineRule="auto"/>
        <w:ind w:left="840"/>
        <w:jc w:val="both"/>
        <w:rPr>
          <w:rFonts w:ascii="Calibri" w:eastAsia="Calibri" w:hAnsi="Calibri" w:cs="Calibri"/>
          <w:color w:val="0B0C0C"/>
        </w:rPr>
      </w:pPr>
    </w:p>
    <w:p w14:paraId="00000191"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t xml:space="preserve">A.1. </w:t>
      </w:r>
      <w:r w:rsidRPr="007C60AF">
        <w:rPr>
          <w:rFonts w:eastAsia="Arial"/>
          <w:b/>
          <w:color w:val="000000"/>
          <w:sz w:val="28"/>
          <w:szCs w:val="28"/>
        </w:rPr>
        <w:t>The Imported Goods</w:t>
      </w:r>
    </w:p>
    <w:p w14:paraId="00000192" w14:textId="77777777" w:rsidR="00416D85" w:rsidRPr="007C60AF" w:rsidRDefault="00130320">
      <w:pPr>
        <w:numPr>
          <w:ilvl w:val="3"/>
          <w:numId w:val="63"/>
        </w:numPr>
        <w:pBdr>
          <w:top w:val="nil"/>
          <w:left w:val="nil"/>
          <w:bottom w:val="nil"/>
          <w:right w:val="nil"/>
          <w:between w:val="nil"/>
        </w:pBdr>
        <w:spacing w:before="120" w:line="276" w:lineRule="auto"/>
        <w:jc w:val="both"/>
      </w:pPr>
      <w:r w:rsidRPr="007C60AF">
        <w:rPr>
          <w:rFonts w:eastAsia="Arial"/>
          <w:color w:val="000000"/>
        </w:rPr>
        <w:t>Describe the imported goods you are concerned about (if possible, please attach digital versions of images, brochures, catalogues, etc which show the goods in question).</w:t>
      </w:r>
    </w:p>
    <w:tbl>
      <w:tblPr>
        <w:tblStyle w:val="a0"/>
        <w:tblW w:w="9016" w:type="dxa"/>
        <w:tblLayout w:type="fixed"/>
        <w:tblLook w:val="0400" w:firstRow="0" w:lastRow="0" w:firstColumn="0" w:lastColumn="0" w:noHBand="0" w:noVBand="1"/>
      </w:tblPr>
      <w:tblGrid>
        <w:gridCol w:w="9016"/>
      </w:tblGrid>
      <w:tr w:rsidR="00416D85" w:rsidRPr="007C60AF" w14:paraId="2232515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93" w14:textId="77777777" w:rsidR="00416D85" w:rsidRPr="007C60AF" w:rsidRDefault="00130320">
            <w:pPr>
              <w:numPr>
                <w:ilvl w:val="6"/>
                <w:numId w:val="4"/>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imported goods concerned targeted by this Application is biodiesel (or paraffinic diesel fuel / gasoil) obtained from synthesis or hydrotreatment of oils and fats of non-fossil origin, in pure form or as included in a blend, originating in the United States of America ("</w:t>
            </w:r>
            <w:r w:rsidRPr="007C60AF">
              <w:rPr>
                <w:rFonts w:eastAsia="Arial"/>
                <w:b/>
                <w:color w:val="4472C4"/>
              </w:rPr>
              <w:t>US</w:t>
            </w:r>
            <w:r w:rsidRPr="007C60AF">
              <w:rPr>
                <w:rFonts w:eastAsia="Arial"/>
                <w:color w:val="4472C4"/>
              </w:rPr>
              <w:t>"). This biodiesel is commonly known as hydrotreated (hydrogenated) vegetable oil diesel ("</w:t>
            </w:r>
            <w:r w:rsidRPr="007C60AF">
              <w:rPr>
                <w:rFonts w:eastAsia="Arial"/>
                <w:b/>
                <w:color w:val="4472C4"/>
              </w:rPr>
              <w:t>HVO</w:t>
            </w:r>
            <w:r w:rsidRPr="007C60AF">
              <w:rPr>
                <w:rFonts w:eastAsia="Arial"/>
                <w:color w:val="4472C4"/>
              </w:rPr>
              <w:t>"), renewable diesel or green diesel. Synthetic paraffinic kerosene (also known as sustainable aviation fuel ("</w:t>
            </w:r>
            <w:r w:rsidRPr="007C60AF">
              <w:rPr>
                <w:rFonts w:eastAsia="Arial"/>
                <w:b/>
                <w:color w:val="4472C4"/>
              </w:rPr>
              <w:t>SAF</w:t>
            </w:r>
            <w:r w:rsidRPr="007C60AF">
              <w:rPr>
                <w:rFonts w:eastAsia="Arial"/>
                <w:color w:val="4472C4"/>
              </w:rPr>
              <w:t xml:space="preserve">")) is excluded from this description of biodiesel. </w:t>
            </w:r>
          </w:p>
          <w:p w14:paraId="0000019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HVO is a non-fossil fuel alternative to conventional diesel for the purposes of decarbonisation. </w:t>
            </w:r>
          </w:p>
          <w:p w14:paraId="0000019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note that wherever the Application refers to the term "gasoil", this is being used as an equivalent term to fossil diesel. </w:t>
            </w:r>
          </w:p>
          <w:p w14:paraId="0000019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99" w14:textId="77777777" w:rsidR="00416D85" w:rsidRPr="007C60AF" w:rsidRDefault="00130320">
            <w:pPr>
              <w:numPr>
                <w:ilvl w:val="6"/>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Please see Appendix A.1. While this booklet discusses Neste Renewable Diesel (or Neste HVO) in particular, it also includes helpful generic information for instance in terms of fuel specifications and fuel properties.</w:t>
            </w:r>
          </w:p>
          <w:p w14:paraId="0000019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9B" w14:textId="77777777" w:rsidR="00416D85" w:rsidRPr="007C60AF" w:rsidRDefault="00130320">
            <w:pPr>
              <w:numPr>
                <w:ilvl w:val="6"/>
                <w:numId w:val="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Please also see our responses to question A.3.1. (regarding physical, technical, chemical and other characteristics of HVO) and to question A.4.1 (regarding production processes of HVO) below.</w:t>
            </w:r>
          </w:p>
        </w:tc>
      </w:tr>
    </w:tbl>
    <w:p w14:paraId="0000019C"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7F676F89" w14:textId="77777777">
        <w:tc>
          <w:tcPr>
            <w:tcW w:w="4508" w:type="dxa"/>
            <w:tcBorders>
              <w:top w:val="single" w:sz="4" w:space="0" w:color="FFFFFF"/>
              <w:left w:val="nil"/>
              <w:bottom w:val="nil"/>
              <w:right w:val="single" w:sz="4" w:space="0" w:color="000000"/>
            </w:tcBorders>
          </w:tcPr>
          <w:p w14:paraId="0000019D" w14:textId="77777777" w:rsidR="00416D85" w:rsidRPr="007C60AF" w:rsidRDefault="00416D85">
            <w:pPr>
              <w:jc w:val="both"/>
            </w:pPr>
          </w:p>
        </w:tc>
        <w:tc>
          <w:tcPr>
            <w:tcW w:w="4508" w:type="dxa"/>
            <w:tcBorders>
              <w:left w:val="single" w:sz="4" w:space="0" w:color="000000"/>
            </w:tcBorders>
          </w:tcPr>
          <w:p w14:paraId="0000019E" w14:textId="77777777" w:rsidR="00416D85" w:rsidRPr="007C60AF" w:rsidRDefault="00130320">
            <w:pPr>
              <w:jc w:val="both"/>
              <w:rPr>
                <w:color w:val="FF0000"/>
              </w:rPr>
            </w:pPr>
            <w:r w:rsidRPr="007C60AF">
              <w:t xml:space="preserve">Appendix reference: </w:t>
            </w:r>
            <w:r w:rsidRPr="007C60AF">
              <w:rPr>
                <w:color w:val="4472C4"/>
              </w:rPr>
              <w:t>A.1</w:t>
            </w:r>
          </w:p>
          <w:p w14:paraId="0000019F" w14:textId="77777777" w:rsidR="00416D85" w:rsidRPr="007C60AF" w:rsidRDefault="00416D85">
            <w:pPr>
              <w:jc w:val="both"/>
              <w:rPr>
                <w:color w:val="FF0000"/>
              </w:rPr>
            </w:pPr>
          </w:p>
        </w:tc>
      </w:tr>
    </w:tbl>
    <w:p w14:paraId="000001A0" w14:textId="77777777" w:rsidR="00416D85" w:rsidRPr="007C60AF" w:rsidRDefault="00416D85">
      <w:pPr>
        <w:jc w:val="both"/>
      </w:pPr>
    </w:p>
    <w:p w14:paraId="000001A1" w14:textId="77777777" w:rsidR="00416D85" w:rsidRPr="007C60AF" w:rsidRDefault="00130320">
      <w:pPr>
        <w:numPr>
          <w:ilvl w:val="3"/>
          <w:numId w:val="63"/>
        </w:numPr>
        <w:pBdr>
          <w:top w:val="nil"/>
          <w:left w:val="nil"/>
          <w:bottom w:val="nil"/>
          <w:right w:val="nil"/>
          <w:between w:val="nil"/>
        </w:pBdr>
        <w:spacing w:before="120" w:line="276" w:lineRule="auto"/>
        <w:jc w:val="both"/>
      </w:pPr>
      <w:r w:rsidRPr="007C60AF">
        <w:rPr>
          <w:rFonts w:eastAsia="Arial"/>
          <w:color w:val="000000"/>
        </w:rPr>
        <w:t>Explain where the imported goods you are concerned about are being exported from.</w:t>
      </w:r>
    </w:p>
    <w:tbl>
      <w:tblPr>
        <w:tblStyle w:val="a2"/>
        <w:tblW w:w="9016" w:type="dxa"/>
        <w:tblLayout w:type="fixed"/>
        <w:tblLook w:val="0400" w:firstRow="0" w:lastRow="0" w:firstColumn="0" w:lastColumn="0" w:noHBand="0" w:noVBand="1"/>
      </w:tblPr>
      <w:tblGrid>
        <w:gridCol w:w="9016"/>
      </w:tblGrid>
      <w:tr w:rsidR="00416D85" w:rsidRPr="007C60AF" w14:paraId="594E65C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A2"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imported goods are being exported from the US.</w:t>
            </w:r>
          </w:p>
          <w:p w14:paraId="000001A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Consignment from Canada</w:t>
            </w:r>
          </w:p>
          <w:p w14:paraId="000001A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1A6"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In </w:t>
            </w:r>
            <w:r w:rsidRPr="007C60AF">
              <w:rPr>
                <w:rFonts w:eastAsia="Arial"/>
                <w:i/>
                <w:color w:val="4472C4"/>
              </w:rPr>
              <w:t>TD0004 - Biodiesel from United States and Canada</w:t>
            </w:r>
            <w:r w:rsidRPr="007C60AF">
              <w:rPr>
                <w:rFonts w:eastAsia="Arial"/>
                <w:color w:val="4472C4"/>
              </w:rPr>
              <w:t xml:space="preserve"> and </w:t>
            </w:r>
            <w:r w:rsidRPr="007C60AF">
              <w:rPr>
                <w:rFonts w:eastAsia="Arial"/>
                <w:i/>
                <w:color w:val="4472C4"/>
              </w:rPr>
              <w:t>TS0005 - Biodiesel from United States and Canada</w:t>
            </w:r>
            <w:r w:rsidRPr="007C60AF">
              <w:rPr>
                <w:rFonts w:eastAsia="Arial"/>
                <w:color w:val="4472C4"/>
              </w:rPr>
              <w:t xml:space="preserve"> (the "</w:t>
            </w:r>
            <w:r w:rsidRPr="007C60AF">
              <w:rPr>
                <w:rFonts w:eastAsia="Arial"/>
                <w:b/>
                <w:color w:val="4472C4"/>
              </w:rPr>
              <w:t>UK Transition Reviews</w:t>
            </w:r>
            <w:r w:rsidRPr="007C60AF">
              <w:rPr>
                <w:rFonts w:eastAsia="Arial"/>
                <w:color w:val="4472C4"/>
              </w:rPr>
              <w:t>"), the Trade Remedies Authority (the "</w:t>
            </w:r>
            <w:r w:rsidRPr="007C60AF">
              <w:rPr>
                <w:rFonts w:eastAsia="Arial"/>
                <w:b/>
                <w:color w:val="4472C4"/>
              </w:rPr>
              <w:t>TRA</w:t>
            </w:r>
            <w:r w:rsidRPr="007C60AF">
              <w:rPr>
                <w:rFonts w:eastAsia="Arial"/>
                <w:color w:val="4472C4"/>
              </w:rPr>
              <w:t>") noted that:</w:t>
            </w:r>
            <w:r w:rsidRPr="007C60AF">
              <w:rPr>
                <w:rFonts w:eastAsia="Arial"/>
                <w:color w:val="4472C4"/>
                <w:vertAlign w:val="superscript"/>
              </w:rPr>
              <w:footnoteReference w:id="2"/>
            </w:r>
          </w:p>
          <w:p w14:paraId="000001A7" w14:textId="77777777" w:rsidR="00416D85" w:rsidRPr="007C60AF" w:rsidRDefault="00130320">
            <w:pPr>
              <w:ind w:left="720"/>
              <w:jc w:val="both"/>
              <w:rPr>
                <w:i/>
                <w:color w:val="4472C4"/>
                <w:sz w:val="20"/>
                <w:szCs w:val="20"/>
              </w:rPr>
            </w:pPr>
            <w:r w:rsidRPr="007C60AF">
              <w:rPr>
                <w:i/>
                <w:color w:val="4472C4"/>
                <w:sz w:val="20"/>
                <w:szCs w:val="20"/>
              </w:rPr>
              <w:t>Following the imposition of trade remedy measures in 2009 by the EU on biodiesel imports from the USA in B100 form or blends containing by weight more than 20% of biodiesel, it was observed that US exporters were circumventing these measures via transhipment through Canada and imports of biodiesel below 20% blend level.</w:t>
            </w:r>
          </w:p>
          <w:p w14:paraId="000001A8" w14:textId="77777777" w:rsidR="00416D85" w:rsidRPr="007C60AF" w:rsidRDefault="00130320">
            <w:pPr>
              <w:ind w:left="720"/>
              <w:jc w:val="both"/>
              <w:rPr>
                <w:i/>
                <w:color w:val="4472C4"/>
                <w:sz w:val="20"/>
                <w:szCs w:val="20"/>
              </w:rPr>
            </w:pPr>
            <w:r w:rsidRPr="007C60AF">
              <w:rPr>
                <w:i/>
                <w:color w:val="4472C4"/>
                <w:sz w:val="20"/>
                <w:szCs w:val="20"/>
              </w:rPr>
              <w:t>The EU undertook a circumvention review which led to measures being extended to imports of biodiesel consigned from Canada - whether declared as originating in Canada or not, and to imports of biodiesel in a blend containing by weight 20% or less of biodiesel originating in the US.</w:t>
            </w:r>
            <w:r w:rsidRPr="007C60AF">
              <w:rPr>
                <w:i/>
                <w:color w:val="4472C4"/>
                <w:sz w:val="20"/>
                <w:szCs w:val="20"/>
                <w:vertAlign w:val="superscript"/>
              </w:rPr>
              <w:footnoteReference w:id="3"/>
            </w:r>
          </w:p>
          <w:p w14:paraId="000001A9"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00B0F0"/>
              </w:rPr>
            </w:pPr>
            <w:r w:rsidRPr="007C60AF">
              <w:rPr>
                <w:rFonts w:eastAsia="Arial"/>
                <w:color w:val="4472C4"/>
              </w:rPr>
              <w:lastRenderedPageBreak/>
              <w:t>Given that the TRA previously decided to extend measures on biodiesel to imports consigned from Canada, the Applicants request that the TRA includes imports of the goods concerned consigned from Canada in this investigation.</w:t>
            </w:r>
          </w:p>
          <w:p w14:paraId="000001A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Consignment from the Netherlands</w:t>
            </w:r>
          </w:p>
          <w:p w14:paraId="000001A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B0F0"/>
              </w:rPr>
            </w:pPr>
          </w:p>
          <w:p w14:paraId="000001AD"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B0F0"/>
              </w:rPr>
            </w:pPr>
            <w:r w:rsidRPr="007C60AF">
              <w:rPr>
                <w:rFonts w:eastAsia="Arial"/>
                <w:color w:val="4472C4"/>
              </w:rPr>
              <w:t xml:space="preserve">The Applicants also request that the TRA includes imports of the goods concerned consigned from the Netherlands in its investigation. The Applicants understand that for </w:t>
            </w:r>
            <w:proofErr w:type="gramStart"/>
            <w:r w:rsidRPr="007C60AF">
              <w:rPr>
                <w:rFonts w:eastAsia="Arial"/>
                <w:color w:val="4472C4"/>
              </w:rPr>
              <w:t>the majority of</w:t>
            </w:r>
            <w:proofErr w:type="gramEnd"/>
            <w:r w:rsidRPr="007C60AF">
              <w:rPr>
                <w:rFonts w:eastAsia="Arial"/>
                <w:color w:val="4472C4"/>
              </w:rPr>
              <w:t xml:space="preserve"> US originating HVO imports to the United Kingdom ("</w:t>
            </w:r>
            <w:r w:rsidRPr="007C60AF">
              <w:rPr>
                <w:rFonts w:eastAsia="Arial"/>
                <w:b/>
                <w:color w:val="4472C4"/>
              </w:rPr>
              <w:t>UK</w:t>
            </w:r>
            <w:r w:rsidRPr="007C60AF">
              <w:rPr>
                <w:rFonts w:eastAsia="Arial"/>
                <w:color w:val="4472C4"/>
              </w:rPr>
              <w:t xml:space="preserve">"), the goods are not customs cleared in the Netherlands, and that the Netherlands is merely used as a place to divide big shipments of HVO into smaller shipments destined for smaller vessels. </w:t>
            </w:r>
          </w:p>
          <w:p w14:paraId="000001A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B0F0"/>
              </w:rPr>
            </w:pPr>
          </w:p>
          <w:p w14:paraId="000001AF"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00B0F0"/>
              </w:rPr>
            </w:pPr>
            <w:r w:rsidRPr="007C60AF">
              <w:rPr>
                <w:rFonts w:eastAsia="Arial"/>
                <w:color w:val="4472C4"/>
              </w:rPr>
              <w:t>According to UK Trade Info data, US origin diesel and HVO imports consigned from the Netherlands totalled 340,812 MT between January 2020 and May 2024 (</w:t>
            </w:r>
            <w:r w:rsidRPr="007C60AF">
              <w:rPr>
                <w:rFonts w:eastAsia="Arial"/>
                <w:i/>
                <w:color w:val="4472C4"/>
              </w:rPr>
              <w:t>see</w:t>
            </w:r>
            <w:r w:rsidRPr="007C60AF">
              <w:rPr>
                <w:rFonts w:eastAsia="Arial"/>
                <w:color w:val="4472C4"/>
              </w:rPr>
              <w:t xml:space="preserve"> Appendix A.30). The data was filtered using the main commodity code under which HVO imports are classified </w:t>
            </w:r>
            <w:proofErr w:type="gramStart"/>
            <w:r w:rsidRPr="007C60AF">
              <w:rPr>
                <w:rFonts w:eastAsia="Arial"/>
                <w:color w:val="4472C4"/>
              </w:rPr>
              <w:t>under:</w:t>
            </w:r>
            <w:proofErr w:type="gramEnd"/>
            <w:r w:rsidRPr="007C60AF">
              <w:rPr>
                <w:rFonts w:eastAsia="Arial"/>
                <w:color w:val="4472C4"/>
              </w:rPr>
              <w:t xml:space="preserve"> 2710 1943. Given that it is not possible to identify specific HVO consignments due to them sharing commodity codes with fossil diesel, the Applicants have assumed that some of this 340,812 MT was HVO. </w:t>
            </w:r>
          </w:p>
        </w:tc>
      </w:tr>
    </w:tbl>
    <w:p w14:paraId="000001B0" w14:textId="77777777" w:rsidR="00416D85" w:rsidRPr="007C60AF" w:rsidRDefault="00416D85">
      <w:pPr>
        <w:widowControl w:val="0"/>
        <w:pBdr>
          <w:top w:val="nil"/>
          <w:left w:val="nil"/>
          <w:bottom w:val="nil"/>
          <w:right w:val="nil"/>
          <w:between w:val="nil"/>
        </w:pBdr>
        <w:spacing w:after="0" w:line="276" w:lineRule="auto"/>
        <w:rPr>
          <w:rFonts w:eastAsia="Arial"/>
          <w:color w:val="00B0F0"/>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2FA3ECEC" w14:textId="77777777">
        <w:tc>
          <w:tcPr>
            <w:tcW w:w="4508" w:type="dxa"/>
            <w:tcBorders>
              <w:top w:val="single" w:sz="4" w:space="0" w:color="FFFFFF"/>
              <w:left w:val="nil"/>
              <w:bottom w:val="nil"/>
              <w:right w:val="single" w:sz="4" w:space="0" w:color="000000"/>
            </w:tcBorders>
          </w:tcPr>
          <w:p w14:paraId="000001B1" w14:textId="77777777" w:rsidR="00416D85" w:rsidRPr="007C60AF" w:rsidRDefault="00416D85">
            <w:pPr>
              <w:jc w:val="both"/>
            </w:pPr>
          </w:p>
        </w:tc>
        <w:tc>
          <w:tcPr>
            <w:tcW w:w="4508" w:type="dxa"/>
            <w:tcBorders>
              <w:left w:val="single" w:sz="4" w:space="0" w:color="000000"/>
            </w:tcBorders>
          </w:tcPr>
          <w:p w14:paraId="000001B2" w14:textId="77777777" w:rsidR="00416D85" w:rsidRPr="007C60AF" w:rsidRDefault="00130320">
            <w:pPr>
              <w:jc w:val="both"/>
              <w:rPr>
                <w:color w:val="4472C4"/>
              </w:rPr>
            </w:pPr>
            <w:r w:rsidRPr="007C60AF">
              <w:t xml:space="preserve">Appendix reference: </w:t>
            </w:r>
            <w:r w:rsidRPr="007C60AF">
              <w:rPr>
                <w:color w:val="4472C4"/>
              </w:rPr>
              <w:t>A.30</w:t>
            </w:r>
          </w:p>
        </w:tc>
      </w:tr>
    </w:tbl>
    <w:p w14:paraId="000001B3" w14:textId="77777777" w:rsidR="00416D85" w:rsidRPr="007C60AF" w:rsidRDefault="00416D85">
      <w:pPr>
        <w:pBdr>
          <w:top w:val="nil"/>
          <w:left w:val="nil"/>
          <w:bottom w:val="nil"/>
          <w:right w:val="nil"/>
          <w:between w:val="nil"/>
        </w:pBdr>
        <w:spacing w:after="0" w:line="276" w:lineRule="auto"/>
        <w:ind w:left="284" w:hanging="284"/>
        <w:jc w:val="both"/>
      </w:pPr>
    </w:p>
    <w:p w14:paraId="000001B4" w14:textId="77777777" w:rsidR="00416D85" w:rsidRPr="007C60AF" w:rsidRDefault="00130320">
      <w:pPr>
        <w:numPr>
          <w:ilvl w:val="3"/>
          <w:numId w:val="63"/>
        </w:numPr>
        <w:pBdr>
          <w:top w:val="nil"/>
          <w:left w:val="nil"/>
          <w:bottom w:val="nil"/>
          <w:right w:val="nil"/>
          <w:between w:val="nil"/>
        </w:pBdr>
        <w:spacing w:before="120" w:line="276" w:lineRule="auto"/>
        <w:jc w:val="both"/>
      </w:pPr>
      <w:r w:rsidRPr="007C60AF">
        <w:rPr>
          <w:rFonts w:eastAsia="Arial"/>
          <w:color w:val="000000"/>
        </w:rPr>
        <w:t>Provide the tariff classification(s) for the imported goods.</w:t>
      </w:r>
    </w:p>
    <w:tbl>
      <w:tblPr>
        <w:tblStyle w:val="a4"/>
        <w:tblW w:w="9016" w:type="dxa"/>
        <w:tblLayout w:type="fixed"/>
        <w:tblLook w:val="0400" w:firstRow="0" w:lastRow="0" w:firstColumn="0" w:lastColumn="0" w:noHBand="0" w:noVBand="1"/>
      </w:tblPr>
      <w:tblGrid>
        <w:gridCol w:w="9016"/>
      </w:tblGrid>
      <w:tr w:rsidR="00416D85" w:rsidRPr="007C60AF" w14:paraId="3622626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B5"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color w:val="4472C4"/>
              </w:rPr>
            </w:pPr>
            <w:r w:rsidRPr="007C60AF">
              <w:rPr>
                <w:rFonts w:eastAsia="Arial"/>
                <w:color w:val="4472C4"/>
              </w:rPr>
              <w:t>The imported goods are commonly classified under the following commodity codes:</w:t>
            </w:r>
          </w:p>
          <w:p w14:paraId="000001B6" w14:textId="77777777" w:rsidR="00416D85" w:rsidRPr="007C60AF" w:rsidRDefault="00130320">
            <w:pPr>
              <w:jc w:val="both"/>
              <w:rPr>
                <w:color w:val="4472C4"/>
              </w:rPr>
            </w:pPr>
            <w:r w:rsidRPr="007C60AF">
              <w:rPr>
                <w:color w:val="4472C4"/>
              </w:rPr>
              <w:t>1516 2098 21, 1516 2098 22, 1516 2098 23, 1516 2098 29, 1516 2098 31, 1516 2098 32, 1516 2098 39, 1518 0091 21, 1518 0091 22, 1518 0091 23, 1518 0091 29, 1518 0091 31, 1518 0091 32, 1518 0091 39, 1518 0095 10, 1518 0095 11, 1518 0095 19, 1518 0099 21, 1518 0099 22, 1518 0099 23, 1518 0099 29, 1518 0099 31, 1518 0099 32, 1518 0099 39, 2710 1943 21, 2710 1943 22,</w:t>
            </w:r>
            <w:r w:rsidRPr="007C60AF">
              <w:t xml:space="preserve">  </w:t>
            </w:r>
            <w:r w:rsidRPr="007C60AF">
              <w:rPr>
                <w:color w:val="4472C4"/>
              </w:rPr>
              <w:t xml:space="preserve">2710 1943 23, 2710 1943 29, 2710 1943 31, 2710 1943 32, 2710 1943 39, 2710 1943 90, 2710 1946 21, </w:t>
            </w:r>
            <w:r w:rsidRPr="007C60AF">
              <w:rPr>
                <w:color w:val="4472C4"/>
              </w:rPr>
              <w:lastRenderedPageBreak/>
              <w:t>2710 1946 22, 2710 1946 23, 2710 1946 29, 2710 1946 31, 2710 1946 32, 2710 1946 39, 2710 1947 21, 2710 1947 22, 2710 1947 23, 2710 1947 29, 2710 1947 31, 2710 1947 32, 2710 1947 39,</w:t>
            </w:r>
            <w:r w:rsidRPr="007C60AF">
              <w:t xml:space="preserve"> </w:t>
            </w:r>
            <w:r w:rsidRPr="007C60AF">
              <w:rPr>
                <w:color w:val="4472C4"/>
              </w:rPr>
              <w:t>2710 1948 10, 2710 1948 90, 2710 2011 21, 2710 2011 22, 2710 2011 23, 2710 2011 29, 2710 2011 31, 2710 2011 32, 2710 2011 39, 2710 2016 21, 2710 2016 22, 2710 2016 23, 2710 2016 29, 2710 2016 31, 2710 2016 32, 2710 2016 39, 2710 2016 91, 2710 2016 92, 2710 2016 99, 3824 9992 10, 3824 9992 11, 3824 9992 13, 3824 9992 14, 3824 9992 15, 3824 9992 16, 3824 9992 19, 3826 0090 11, 3826 0090 12, 3826 0090 13, 3826 0090 19, 3826 0090 31, 3826 0090 32, 3826 0090 39.</w:t>
            </w:r>
          </w:p>
          <w:p w14:paraId="000001B7"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Please see Appendix A.2 for a detailed analysis of biodiesel commodity codes, including those which have been expired and replaced. </w:t>
            </w:r>
          </w:p>
          <w:p w14:paraId="000001B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B9"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 When commodity codes were created the biofuel market was less mature than it is today. As such, it is possible that there are inconsistencies with commodity codes used within the industry. It is therefore not possible to say with 100% certainty under which exact commodity code imports of HVO originating in the US ("</w:t>
            </w:r>
            <w:r w:rsidRPr="007C60AF">
              <w:rPr>
                <w:rFonts w:eastAsia="Arial"/>
                <w:b/>
                <w:color w:val="4472C4"/>
              </w:rPr>
              <w:t>US HVO</w:t>
            </w:r>
            <w:r w:rsidRPr="007C60AF">
              <w:rPr>
                <w:rFonts w:eastAsia="Arial"/>
                <w:color w:val="4472C4"/>
              </w:rPr>
              <w:t>") would have been recorded, as it depends on specific product properties and the proportion of the blend.</w:t>
            </w:r>
          </w:p>
          <w:p w14:paraId="000001BA"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1BB"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understand that HVO is mostly classified under commodity code </w:t>
            </w:r>
            <w:r w:rsidRPr="007C60AF">
              <w:rPr>
                <w:rFonts w:eastAsia="Arial"/>
                <w:b/>
                <w:color w:val="4472C4"/>
              </w:rPr>
              <w:t>[</w:t>
            </w:r>
            <w:sdt>
              <w:sdtPr>
                <w:tag w:val="goog_rdk_1"/>
                <w:id w:val="2106147352"/>
              </w:sdtPr>
              <w:sdtContent/>
            </w:sdt>
            <w:sdt>
              <w:sdtPr>
                <w:tag w:val="goog_rdk_2"/>
                <w:id w:val="-228153292"/>
              </w:sdtPr>
              <w:sdtContent/>
            </w:sdt>
            <w:r w:rsidRPr="007C60AF">
              <w:rPr>
                <w:rFonts w:eastAsia="Arial"/>
                <w:b/>
                <w:color w:val="4472C4"/>
              </w:rPr>
              <w:t>2710 19]</w:t>
            </w:r>
            <w:r w:rsidRPr="007C60AF">
              <w:rPr>
                <w:rFonts w:eastAsia="Arial"/>
                <w:color w:val="4472C4"/>
              </w:rPr>
              <w:t>.</w:t>
            </w:r>
          </w:p>
          <w:p w14:paraId="000001B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BD"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bookmarkStart w:id="4" w:name="_heading=h.30n9jrbihcc3" w:colFirst="0" w:colLast="0"/>
            <w:bookmarkEnd w:id="4"/>
            <w:r w:rsidRPr="007C60AF">
              <w:rPr>
                <w:rFonts w:eastAsia="Arial"/>
                <w:color w:val="4472C4"/>
              </w:rPr>
              <w:t>There are several commodity codes that would typically have been included in the list above but given those codes relate to FAME (Fatty Acid Methyl Ester) only, and that there are already measures on FAME imported from the US, those codes have been specifically excluded from the product scope.</w:t>
            </w:r>
          </w:p>
        </w:tc>
      </w:tr>
    </w:tbl>
    <w:p w14:paraId="000001BE"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60263D3F" w14:textId="77777777">
        <w:tc>
          <w:tcPr>
            <w:tcW w:w="4508" w:type="dxa"/>
            <w:tcBorders>
              <w:top w:val="single" w:sz="4" w:space="0" w:color="FFFFFF"/>
              <w:left w:val="nil"/>
              <w:bottom w:val="nil"/>
              <w:right w:val="single" w:sz="4" w:space="0" w:color="000000"/>
            </w:tcBorders>
          </w:tcPr>
          <w:p w14:paraId="000001BF" w14:textId="77777777" w:rsidR="00416D85" w:rsidRPr="007C60AF" w:rsidRDefault="00416D85">
            <w:pPr>
              <w:jc w:val="both"/>
            </w:pPr>
          </w:p>
        </w:tc>
        <w:tc>
          <w:tcPr>
            <w:tcW w:w="4508" w:type="dxa"/>
            <w:tcBorders>
              <w:left w:val="single" w:sz="4" w:space="0" w:color="000000"/>
            </w:tcBorders>
          </w:tcPr>
          <w:p w14:paraId="000001C0" w14:textId="77777777" w:rsidR="00416D85" w:rsidRPr="007C60AF" w:rsidRDefault="00130320">
            <w:pPr>
              <w:jc w:val="both"/>
              <w:rPr>
                <w:color w:val="4472C4"/>
              </w:rPr>
            </w:pPr>
            <w:r w:rsidRPr="007C60AF">
              <w:t xml:space="preserve">Appendix reference: </w:t>
            </w:r>
            <w:r w:rsidRPr="007C60AF">
              <w:rPr>
                <w:color w:val="4472C4"/>
              </w:rPr>
              <w:t>A.2</w:t>
            </w:r>
          </w:p>
        </w:tc>
      </w:tr>
    </w:tbl>
    <w:p w14:paraId="000001C1" w14:textId="77777777" w:rsidR="00416D85" w:rsidRPr="007C60AF" w:rsidRDefault="00416D85">
      <w:pPr>
        <w:jc w:val="both"/>
      </w:pPr>
    </w:p>
    <w:p w14:paraId="000001C2" w14:textId="77777777" w:rsidR="00416D85" w:rsidRPr="007C60AF" w:rsidRDefault="00130320">
      <w:pPr>
        <w:numPr>
          <w:ilvl w:val="3"/>
          <w:numId w:val="63"/>
        </w:numPr>
        <w:pBdr>
          <w:top w:val="nil"/>
          <w:left w:val="nil"/>
          <w:bottom w:val="nil"/>
          <w:right w:val="nil"/>
          <w:between w:val="nil"/>
        </w:pBdr>
        <w:spacing w:before="120" w:line="276" w:lineRule="auto"/>
        <w:jc w:val="both"/>
      </w:pPr>
      <w:r w:rsidRPr="007C60AF">
        <w:rPr>
          <w:rFonts w:eastAsia="Arial"/>
          <w:color w:val="000000"/>
        </w:rPr>
        <w:t xml:space="preserve">Give details regarding whether the imported goods are currently subject to any anti-dumping/countervailing/safeguard measures or ongoing investigations in other countries. </w:t>
      </w:r>
    </w:p>
    <w:tbl>
      <w:tblPr>
        <w:tblStyle w:val="a6"/>
        <w:tblW w:w="9016" w:type="dxa"/>
        <w:tblLayout w:type="fixed"/>
        <w:tblLook w:val="0400" w:firstRow="0" w:lastRow="0" w:firstColumn="0" w:lastColumn="0" w:noHBand="0" w:noVBand="1"/>
      </w:tblPr>
      <w:tblGrid>
        <w:gridCol w:w="9016"/>
      </w:tblGrid>
      <w:tr w:rsidR="00416D85" w:rsidRPr="007C60AF" w14:paraId="466AE89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C3" w14:textId="77777777" w:rsidR="00416D85" w:rsidRPr="007C60AF" w:rsidRDefault="00130320">
            <w:pPr>
              <w:numPr>
                <w:ilvl w:val="0"/>
                <w:numId w:val="2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Biodiesel originating in the US</w:t>
            </w:r>
          </w:p>
          <w:p w14:paraId="000001C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1C5"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Both FAME and HVO originating in the US are subject to anti-dumping measures and countervailing duties in the European Union ("</w:t>
            </w:r>
            <w:r w:rsidRPr="007C60AF">
              <w:rPr>
                <w:rFonts w:eastAsia="Arial"/>
                <w:b/>
                <w:color w:val="4472C4"/>
              </w:rPr>
              <w:t>EU</w:t>
            </w:r>
            <w:r w:rsidRPr="007C60AF">
              <w:rPr>
                <w:rFonts w:eastAsia="Arial"/>
                <w:color w:val="4472C4"/>
              </w:rPr>
              <w:t>").</w:t>
            </w:r>
            <w:r w:rsidRPr="007C60AF">
              <w:rPr>
                <w:rFonts w:eastAsia="Arial"/>
                <w:color w:val="4472C4"/>
                <w:vertAlign w:val="superscript"/>
              </w:rPr>
              <w:footnoteReference w:id="4"/>
            </w:r>
            <w:r w:rsidRPr="007C60AF">
              <w:rPr>
                <w:rFonts w:eastAsia="Arial"/>
                <w:color w:val="4472C4"/>
              </w:rPr>
              <w:t xml:space="preserve"> These measures have been extended to 3 August 2026.</w:t>
            </w:r>
            <w:r w:rsidRPr="007C60AF">
              <w:rPr>
                <w:rFonts w:eastAsia="Arial"/>
                <w:color w:val="4472C4"/>
                <w:vertAlign w:val="superscript"/>
              </w:rPr>
              <w:footnoteReference w:id="5"/>
            </w:r>
            <w:r w:rsidRPr="007C60AF">
              <w:rPr>
                <w:rFonts w:eastAsia="Arial"/>
                <w:color w:val="4472C4"/>
              </w:rPr>
              <w:t xml:space="preserve"> </w:t>
            </w:r>
          </w:p>
          <w:p w14:paraId="000001C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C7"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Both FAME and HVO originating in the US were subject to anti-dumping measures and countervailing duties in the UK. The TRA initiated transition reviews of these measures in 2020 and whilst it concluded that FAME and HVO are like goods, measures were revoked in relation to US HVO following the transition reviews. The TRA's reasoning for this was that the importation of US HVO would not cause injury to the UK industry, because of the higher indicative price of US HVO at that time.</w:t>
            </w:r>
            <w:r w:rsidRPr="007C60AF">
              <w:rPr>
                <w:rFonts w:eastAsia="Arial"/>
                <w:color w:val="4472C4"/>
                <w:vertAlign w:val="superscript"/>
              </w:rPr>
              <w:footnoteReference w:id="6"/>
            </w:r>
          </w:p>
          <w:p w14:paraId="000001C8"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1C9"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Previously, biodiesel originating in the US was subject to anti-dumping measures (pure biodiesel (B100) and mixtures containing more than 50% biodiesel (B50)) and countervailing duties in Peru.</w:t>
            </w:r>
            <w:r w:rsidRPr="007C60AF">
              <w:rPr>
                <w:rFonts w:eastAsia="Arial"/>
                <w:color w:val="4472C4"/>
                <w:vertAlign w:val="superscript"/>
              </w:rPr>
              <w:footnoteReference w:id="7"/>
            </w:r>
            <w:r w:rsidRPr="007C60AF">
              <w:rPr>
                <w:rFonts w:eastAsia="Arial"/>
                <w:color w:val="4472C4"/>
              </w:rPr>
              <w:t xml:space="preserve"> It is unclear based on publicly available information whether these measures are still in place.</w:t>
            </w:r>
          </w:p>
          <w:p w14:paraId="000001C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CB" w14:textId="77777777" w:rsidR="00416D85" w:rsidRPr="007C60AF" w:rsidRDefault="0013032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Biodiesel originating in other countries</w:t>
            </w:r>
          </w:p>
          <w:p w14:paraId="000001C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1CD"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Unfair trade practices are present across the biodiesel industry in different countries.</w:t>
            </w:r>
          </w:p>
          <w:p w14:paraId="000001C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CF"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On 19 December 2023, the European Commission initiated an anti-dumping investigation concerning imports of biodiesel (including both HVO and FAME) </w:t>
            </w:r>
            <w:r w:rsidRPr="007C60AF">
              <w:rPr>
                <w:rFonts w:eastAsia="Arial"/>
                <w:color w:val="4472C4"/>
              </w:rPr>
              <w:lastRenderedPageBreak/>
              <w:t>originating in the People's Republic of China (the "</w:t>
            </w:r>
            <w:r w:rsidRPr="007C60AF">
              <w:rPr>
                <w:rFonts w:eastAsia="Arial"/>
                <w:b/>
                <w:color w:val="4472C4"/>
              </w:rPr>
              <w:t>PRC</w:t>
            </w:r>
            <w:r w:rsidRPr="007C60AF">
              <w:rPr>
                <w:rFonts w:eastAsia="Arial"/>
                <w:color w:val="4472C4"/>
              </w:rPr>
              <w:t>").</w:t>
            </w:r>
            <w:r w:rsidRPr="007C60AF">
              <w:rPr>
                <w:rFonts w:eastAsia="Arial"/>
                <w:color w:val="4472C4"/>
                <w:vertAlign w:val="superscript"/>
              </w:rPr>
              <w:footnoteReference w:id="8"/>
            </w:r>
            <w:r w:rsidRPr="007C60AF">
              <w:rPr>
                <w:rFonts w:eastAsia="Arial"/>
                <w:color w:val="4472C4"/>
              </w:rPr>
              <w:t xml:space="preserve"> On 5 June 2024, the TRA initiated an anti-dumping investigation concerning imports of biodiesel (including both HVO and FAME) originating in the PRC.</w:t>
            </w:r>
            <w:r w:rsidRPr="007C60AF">
              <w:rPr>
                <w:rFonts w:eastAsia="Arial"/>
                <w:color w:val="4472C4"/>
                <w:vertAlign w:val="superscript"/>
              </w:rPr>
              <w:footnoteReference w:id="9"/>
            </w:r>
            <w:r w:rsidRPr="007C60AF">
              <w:rPr>
                <w:rFonts w:eastAsia="Arial"/>
                <w:color w:val="4472C4"/>
              </w:rPr>
              <w:t xml:space="preserve"> </w:t>
            </w:r>
          </w:p>
          <w:p w14:paraId="000001D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D1"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7" w:name="_heading=h.alenjqk3i7pt" w:colFirst="0" w:colLast="0"/>
            <w:bookmarkEnd w:id="7"/>
            <w:r w:rsidRPr="007C60AF">
              <w:rPr>
                <w:rFonts w:eastAsia="Arial"/>
                <w:color w:val="4472C4"/>
              </w:rPr>
              <w:t>Biodiesel originating in Argentina is subject to anti-dumping measures in the US (FAME) and Peru (B100),</w:t>
            </w:r>
            <w:r w:rsidRPr="007C60AF">
              <w:rPr>
                <w:rFonts w:eastAsia="Arial"/>
                <w:color w:val="4472C4"/>
                <w:vertAlign w:val="superscript"/>
              </w:rPr>
              <w:footnoteReference w:id="10"/>
            </w:r>
            <w:r w:rsidRPr="007C60AF">
              <w:rPr>
                <w:rFonts w:eastAsia="Arial"/>
                <w:color w:val="4472C4"/>
              </w:rPr>
              <w:t xml:space="preserve"> and countervailing duties in the UK (HVO and FAME),</w:t>
            </w:r>
            <w:r w:rsidRPr="007C60AF">
              <w:rPr>
                <w:rFonts w:eastAsia="Arial"/>
                <w:color w:val="4472C4"/>
                <w:vertAlign w:val="superscript"/>
              </w:rPr>
              <w:footnoteReference w:id="11"/>
            </w:r>
            <w:r w:rsidRPr="007C60AF">
              <w:rPr>
                <w:rFonts w:eastAsia="Arial"/>
                <w:color w:val="4472C4"/>
              </w:rPr>
              <w:t xml:space="preserve"> the EU (HVO and FAME),</w:t>
            </w:r>
            <w:r w:rsidRPr="007C60AF">
              <w:rPr>
                <w:rFonts w:eastAsia="Arial"/>
                <w:color w:val="4472C4"/>
                <w:vertAlign w:val="superscript"/>
              </w:rPr>
              <w:footnoteReference w:id="12"/>
            </w:r>
            <w:r w:rsidRPr="007C60AF">
              <w:rPr>
                <w:rFonts w:eastAsia="Arial"/>
                <w:color w:val="4472C4"/>
              </w:rPr>
              <w:t xml:space="preserve"> the US (FAME)</w:t>
            </w:r>
            <w:r w:rsidRPr="007C60AF">
              <w:rPr>
                <w:rFonts w:eastAsia="Arial"/>
                <w:color w:val="4472C4"/>
                <w:vertAlign w:val="superscript"/>
              </w:rPr>
              <w:footnoteReference w:id="13"/>
            </w:r>
            <w:r w:rsidRPr="007C60AF">
              <w:rPr>
                <w:rFonts w:eastAsia="Arial"/>
                <w:color w:val="4472C4"/>
              </w:rPr>
              <w:t xml:space="preserve"> and Peru (B100).</w:t>
            </w:r>
            <w:r w:rsidRPr="007C60AF">
              <w:rPr>
                <w:rFonts w:eastAsia="Arial"/>
                <w:color w:val="4472C4"/>
                <w:vertAlign w:val="superscript"/>
              </w:rPr>
              <w:footnoteReference w:id="14"/>
            </w:r>
          </w:p>
          <w:p w14:paraId="000001D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D3"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Biodiesel originating in Indonesia is subject to anti-dumping measures in the US (FAME), and countervailing duties in the UK (HVO and FAME),</w:t>
            </w:r>
            <w:r w:rsidRPr="007C60AF">
              <w:rPr>
                <w:rFonts w:eastAsia="Arial"/>
                <w:color w:val="4472C4"/>
                <w:vertAlign w:val="superscript"/>
              </w:rPr>
              <w:footnoteReference w:id="15"/>
            </w:r>
            <w:r w:rsidRPr="007C60AF">
              <w:rPr>
                <w:rFonts w:eastAsia="Arial"/>
                <w:color w:val="4472C4"/>
              </w:rPr>
              <w:t xml:space="preserve"> the EU (HVO and FAME)</w:t>
            </w:r>
            <w:r w:rsidRPr="007C60AF">
              <w:rPr>
                <w:rFonts w:eastAsia="Arial"/>
                <w:color w:val="4472C4"/>
                <w:vertAlign w:val="superscript"/>
              </w:rPr>
              <w:footnoteReference w:id="16"/>
            </w:r>
            <w:r w:rsidRPr="007C60AF">
              <w:rPr>
                <w:rFonts w:eastAsia="Arial"/>
                <w:color w:val="4472C4"/>
              </w:rPr>
              <w:t xml:space="preserve"> and the US (FAME).</w:t>
            </w:r>
            <w:r w:rsidRPr="007C60AF">
              <w:rPr>
                <w:rFonts w:eastAsia="Arial"/>
                <w:color w:val="4472C4"/>
                <w:vertAlign w:val="superscript"/>
              </w:rPr>
              <w:footnoteReference w:id="17"/>
            </w:r>
          </w:p>
        </w:tc>
      </w:tr>
    </w:tbl>
    <w:p w14:paraId="000001D4"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0E69D4D5" w14:textId="77777777">
        <w:tc>
          <w:tcPr>
            <w:tcW w:w="4508" w:type="dxa"/>
            <w:tcBorders>
              <w:top w:val="single" w:sz="4" w:space="0" w:color="FFFFFF"/>
              <w:left w:val="nil"/>
              <w:bottom w:val="nil"/>
              <w:right w:val="single" w:sz="4" w:space="0" w:color="000000"/>
            </w:tcBorders>
          </w:tcPr>
          <w:p w14:paraId="000001D5" w14:textId="77777777" w:rsidR="00416D85" w:rsidRPr="007C60AF" w:rsidRDefault="00416D85">
            <w:pPr>
              <w:jc w:val="both"/>
            </w:pPr>
          </w:p>
        </w:tc>
        <w:tc>
          <w:tcPr>
            <w:tcW w:w="4508" w:type="dxa"/>
            <w:tcBorders>
              <w:left w:val="single" w:sz="4" w:space="0" w:color="000000"/>
            </w:tcBorders>
          </w:tcPr>
          <w:p w14:paraId="000001D6" w14:textId="77777777" w:rsidR="00416D85" w:rsidRPr="007C60AF" w:rsidRDefault="00130320">
            <w:pPr>
              <w:jc w:val="both"/>
              <w:rPr>
                <w:color w:val="4472C4"/>
              </w:rPr>
            </w:pPr>
            <w:r w:rsidRPr="007C60AF">
              <w:t xml:space="preserve">Appendix reference: </w:t>
            </w:r>
            <w:r w:rsidRPr="007C60AF">
              <w:rPr>
                <w:color w:val="4472C4"/>
              </w:rPr>
              <w:t>N/A</w:t>
            </w:r>
          </w:p>
        </w:tc>
      </w:tr>
    </w:tbl>
    <w:p w14:paraId="000001D7"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p>
    <w:p w14:paraId="000001D8"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A.2. </w:t>
      </w:r>
      <w:r w:rsidRPr="007C60AF">
        <w:rPr>
          <w:rFonts w:eastAsia="Arial"/>
          <w:b/>
          <w:color w:val="000000"/>
          <w:sz w:val="28"/>
          <w:szCs w:val="28"/>
        </w:rPr>
        <w:t>The Like Goods</w:t>
      </w:r>
    </w:p>
    <w:p w14:paraId="000001D9" w14:textId="77777777" w:rsidR="00416D85" w:rsidRPr="007C60AF" w:rsidRDefault="00130320">
      <w:pPr>
        <w:numPr>
          <w:ilvl w:val="3"/>
          <w:numId w:val="3"/>
        </w:numPr>
        <w:pBdr>
          <w:top w:val="nil"/>
          <w:left w:val="nil"/>
          <w:bottom w:val="nil"/>
          <w:right w:val="nil"/>
          <w:between w:val="nil"/>
        </w:pBdr>
        <w:spacing w:before="120" w:line="276" w:lineRule="auto"/>
        <w:jc w:val="both"/>
      </w:pPr>
      <w:r w:rsidRPr="007C60AF">
        <w:rPr>
          <w:rFonts w:eastAsia="Arial"/>
          <w:color w:val="000000"/>
        </w:rPr>
        <w:t xml:space="preserve">Describe the like goods produced by the UK industry (if possible, attach digital versions of images, brochures, catalogues, etc). </w:t>
      </w:r>
    </w:p>
    <w:tbl>
      <w:tblPr>
        <w:tblStyle w:val="a8"/>
        <w:tblW w:w="9016" w:type="dxa"/>
        <w:tblLayout w:type="fixed"/>
        <w:tblLook w:val="0400" w:firstRow="0" w:lastRow="0" w:firstColumn="0" w:lastColumn="0" w:noHBand="0" w:noVBand="1"/>
      </w:tblPr>
      <w:tblGrid>
        <w:gridCol w:w="9016"/>
      </w:tblGrid>
      <w:tr w:rsidR="00416D85" w:rsidRPr="007C60AF" w14:paraId="36F9EE2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D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Biodiesel (which is a term that encompasses both HVO and FAME) is a non-fossil fuel alternative to conventional diesel for the purposes of decarbonisation. </w:t>
            </w:r>
            <w:r w:rsidRPr="007C60AF">
              <w:rPr>
                <w:rFonts w:eastAsia="Arial"/>
                <w:color w:val="4472C4"/>
              </w:rPr>
              <w:lastRenderedPageBreak/>
              <w:t>Because there is currently no HVO production in the UK, and because HVO and FAME are directly substitutable and interchangeable goods, the like good produced by the UK industry is FAME.</w:t>
            </w:r>
            <w:r w:rsidRPr="007C60AF">
              <w:rPr>
                <w:rFonts w:eastAsia="Arial"/>
                <w:color w:val="4472C4"/>
                <w:vertAlign w:val="superscript"/>
              </w:rPr>
              <w:footnoteReference w:id="18"/>
            </w:r>
            <w:r w:rsidRPr="007C60AF">
              <w:rPr>
                <w:rFonts w:eastAsia="Arial"/>
                <w:color w:val="4472C4"/>
              </w:rPr>
              <w:t xml:space="preserve"> </w:t>
            </w:r>
          </w:p>
          <w:p w14:paraId="000001D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D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Please see our responses to question A.3.1. (regarding physical, technical, chemical and other characteristics of FAME) and question A.4.1. (regarding production processes of FAME) below.</w:t>
            </w:r>
          </w:p>
        </w:tc>
      </w:tr>
    </w:tbl>
    <w:p w14:paraId="000001DD"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2D32EA26" w14:textId="77777777">
        <w:tc>
          <w:tcPr>
            <w:tcW w:w="4508" w:type="dxa"/>
            <w:tcBorders>
              <w:top w:val="single" w:sz="4" w:space="0" w:color="FFFFFF"/>
              <w:left w:val="nil"/>
              <w:bottom w:val="nil"/>
              <w:right w:val="single" w:sz="4" w:space="0" w:color="000000"/>
            </w:tcBorders>
          </w:tcPr>
          <w:p w14:paraId="000001DE" w14:textId="77777777" w:rsidR="00416D85" w:rsidRPr="007C60AF" w:rsidRDefault="00416D85">
            <w:pPr>
              <w:jc w:val="both"/>
            </w:pPr>
          </w:p>
        </w:tc>
        <w:tc>
          <w:tcPr>
            <w:tcW w:w="4508" w:type="dxa"/>
            <w:tcBorders>
              <w:left w:val="single" w:sz="4" w:space="0" w:color="000000"/>
            </w:tcBorders>
          </w:tcPr>
          <w:p w14:paraId="000001DF" w14:textId="77777777" w:rsidR="00416D85" w:rsidRPr="007C60AF" w:rsidRDefault="00130320">
            <w:pPr>
              <w:jc w:val="both"/>
              <w:rPr>
                <w:color w:val="4472C4"/>
              </w:rPr>
            </w:pPr>
            <w:r w:rsidRPr="007C60AF">
              <w:t xml:space="preserve">Appendix reference: </w:t>
            </w:r>
            <w:r w:rsidRPr="007C60AF">
              <w:rPr>
                <w:color w:val="4472C4"/>
              </w:rPr>
              <w:t>N/A</w:t>
            </w:r>
          </w:p>
        </w:tc>
      </w:tr>
    </w:tbl>
    <w:p w14:paraId="000001E0" w14:textId="77777777" w:rsidR="00416D85" w:rsidRPr="007C60AF" w:rsidRDefault="00416D85">
      <w:pPr>
        <w:jc w:val="both"/>
      </w:pPr>
    </w:p>
    <w:p w14:paraId="000001E1"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t xml:space="preserve">A.3. </w:t>
      </w:r>
      <w:r w:rsidRPr="007C60AF">
        <w:rPr>
          <w:rFonts w:eastAsia="Arial"/>
          <w:b/>
          <w:color w:val="000000"/>
          <w:sz w:val="28"/>
          <w:szCs w:val="28"/>
        </w:rPr>
        <w:t>Comparability between the Goods</w:t>
      </w:r>
    </w:p>
    <w:p w14:paraId="000001E2"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Explain how the like goods produced by the UK industry are like the imported goods. Please cover the following aspects of the goods.</w:t>
      </w:r>
    </w:p>
    <w:p w14:paraId="000001E3" w14:textId="77777777" w:rsidR="00416D85" w:rsidRPr="007C60AF" w:rsidRDefault="00130320">
      <w:pPr>
        <w:pBdr>
          <w:top w:val="nil"/>
          <w:left w:val="nil"/>
          <w:bottom w:val="nil"/>
          <w:right w:val="nil"/>
          <w:between w:val="nil"/>
        </w:pBdr>
        <w:spacing w:before="120" w:line="276" w:lineRule="auto"/>
        <w:ind w:left="567"/>
        <w:jc w:val="both"/>
        <w:rPr>
          <w:rFonts w:eastAsia="Arial"/>
          <w:color w:val="000000"/>
        </w:rPr>
      </w:pPr>
      <w:r w:rsidRPr="007C60AF">
        <w:rPr>
          <w:rFonts w:eastAsia="Arial"/>
          <w:color w:val="000000"/>
        </w:rPr>
        <w:t>The physical, technical, chemical and any other characteristics that describe the goods – explain any differences:</w:t>
      </w:r>
    </w:p>
    <w:tbl>
      <w:tblPr>
        <w:tblStyle w:val="aa"/>
        <w:tblW w:w="9016" w:type="dxa"/>
        <w:tblLayout w:type="fixed"/>
        <w:tblLook w:val="0400" w:firstRow="0" w:lastRow="0" w:firstColumn="0" w:lastColumn="0" w:noHBand="0" w:noVBand="1"/>
      </w:tblPr>
      <w:tblGrid>
        <w:gridCol w:w="9016"/>
      </w:tblGrid>
      <w:tr w:rsidR="00416D85" w:rsidRPr="007C60AF" w14:paraId="21991F5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E4" w14:textId="77777777" w:rsidR="00416D85" w:rsidRPr="007C60AF" w:rsidRDefault="00130320">
            <w:pPr>
              <w:numPr>
                <w:ilvl w:val="6"/>
                <w:numId w:val="37"/>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As confirmed by the TRA in the UK Transition Reviews, HVO and FAME are like goods. However, for the avoidance of doubt, the Applicants have prepared this like goods analysis for the purposes of this Application.</w:t>
            </w:r>
          </w:p>
          <w:p w14:paraId="000001E5"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1E6" w14:textId="77777777" w:rsidR="00416D85" w:rsidRPr="007C60AF" w:rsidRDefault="00130320">
            <w:pPr>
              <w:numPr>
                <w:ilvl w:val="6"/>
                <w:numId w:val="37"/>
              </w:numPr>
              <w:pBdr>
                <w:top w:val="nil"/>
                <w:left w:val="nil"/>
                <w:bottom w:val="nil"/>
                <w:right w:val="nil"/>
                <w:between w:val="nil"/>
              </w:pBdr>
              <w:spacing w:line="276" w:lineRule="auto"/>
              <w:jc w:val="both"/>
              <w:rPr>
                <w:rFonts w:eastAsia="Arial"/>
                <w:color w:val="4472C4"/>
              </w:rPr>
            </w:pPr>
            <w:r w:rsidRPr="007C60AF">
              <w:rPr>
                <w:rFonts w:eastAsia="Arial"/>
                <w:color w:val="4472C4"/>
              </w:rPr>
              <w:t>This response is structured as follows:</w:t>
            </w:r>
          </w:p>
          <w:p w14:paraId="000001E7" w14:textId="77777777" w:rsidR="00416D85" w:rsidRPr="007C60AF" w:rsidRDefault="00130320">
            <w:pPr>
              <w:numPr>
                <w:ilvl w:val="0"/>
                <w:numId w:val="16"/>
              </w:numPr>
              <w:pBdr>
                <w:top w:val="nil"/>
                <w:left w:val="nil"/>
                <w:bottom w:val="nil"/>
                <w:right w:val="nil"/>
                <w:between w:val="nil"/>
              </w:pBdr>
              <w:spacing w:before="240" w:after="0"/>
              <w:jc w:val="both"/>
              <w:rPr>
                <w:rFonts w:eastAsia="Arial"/>
                <w:color w:val="4472C4"/>
                <w:sz w:val="20"/>
                <w:szCs w:val="20"/>
              </w:rPr>
            </w:pPr>
            <w:r w:rsidRPr="007C60AF">
              <w:rPr>
                <w:rFonts w:eastAsia="Arial"/>
                <w:b/>
                <w:color w:val="4472C4"/>
              </w:rPr>
              <w:t>Part I</w:t>
            </w:r>
            <w:r w:rsidRPr="007C60AF">
              <w:rPr>
                <w:rFonts w:eastAsia="Arial"/>
                <w:color w:val="4472C4"/>
              </w:rPr>
              <w:t xml:space="preserve"> sets out the approach taken by the TRA in previous investigations.</w:t>
            </w:r>
          </w:p>
          <w:p w14:paraId="000001E8" w14:textId="77777777" w:rsidR="00416D85" w:rsidRPr="007C60AF" w:rsidRDefault="00130320">
            <w:pPr>
              <w:numPr>
                <w:ilvl w:val="0"/>
                <w:numId w:val="16"/>
              </w:numPr>
              <w:pBdr>
                <w:top w:val="nil"/>
                <w:left w:val="nil"/>
                <w:bottom w:val="nil"/>
                <w:right w:val="nil"/>
                <w:between w:val="nil"/>
              </w:pBdr>
              <w:spacing w:before="240" w:after="0"/>
              <w:jc w:val="both"/>
              <w:rPr>
                <w:rFonts w:eastAsia="Arial"/>
                <w:color w:val="4472C4"/>
              </w:rPr>
            </w:pPr>
            <w:r w:rsidRPr="007C60AF">
              <w:rPr>
                <w:rFonts w:eastAsia="Arial"/>
                <w:b/>
                <w:color w:val="4472C4"/>
              </w:rPr>
              <w:t>Part II</w:t>
            </w:r>
            <w:r w:rsidRPr="007C60AF">
              <w:rPr>
                <w:rFonts w:eastAsia="Arial"/>
                <w:color w:val="4472C4"/>
              </w:rPr>
              <w:t xml:space="preserve"> demonstrates how HVO and FAME are like goods and discusses the characteristics that describe the goods.</w:t>
            </w:r>
          </w:p>
          <w:p w14:paraId="000001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1EA" w14:textId="77777777" w:rsidR="00416D85" w:rsidRPr="007C60AF" w:rsidRDefault="00130320">
            <w:pPr>
              <w:numPr>
                <w:ilvl w:val="0"/>
                <w:numId w:val="31"/>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The TRA's approach</w:t>
            </w:r>
          </w:p>
          <w:p w14:paraId="000001EB" w14:textId="77777777" w:rsidR="00416D85" w:rsidRPr="007C60AF" w:rsidRDefault="00416D85">
            <w:pPr>
              <w:pBdr>
                <w:top w:val="nil"/>
                <w:left w:val="nil"/>
                <w:bottom w:val="nil"/>
                <w:right w:val="nil"/>
                <w:between w:val="nil"/>
              </w:pBdr>
              <w:spacing w:after="0" w:line="276" w:lineRule="auto"/>
              <w:ind w:left="720"/>
              <w:jc w:val="both"/>
              <w:rPr>
                <w:rFonts w:eastAsia="Arial"/>
                <w:color w:val="4472C4"/>
                <w:u w:val="single"/>
              </w:rPr>
            </w:pPr>
          </w:p>
          <w:p w14:paraId="000001EC"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In previous investigations, the TRA has applied a holistic approach when assessing whether goods are like.</w:t>
            </w:r>
            <w:r w:rsidRPr="007C60AF">
              <w:rPr>
                <w:rFonts w:eastAsia="Arial"/>
                <w:color w:val="4472C4"/>
                <w:vertAlign w:val="superscript"/>
              </w:rPr>
              <w:footnoteReference w:id="19"/>
            </w:r>
            <w:r w:rsidRPr="007C60AF">
              <w:rPr>
                <w:rFonts w:eastAsia="Arial"/>
                <w:color w:val="4472C4"/>
              </w:rPr>
              <w:t xml:space="preserve"> In </w:t>
            </w:r>
            <w:r w:rsidRPr="007C60AF">
              <w:rPr>
                <w:rFonts w:eastAsia="Arial"/>
                <w:i/>
                <w:color w:val="4472C4"/>
              </w:rPr>
              <w:t>TD0010 – HFP Rebar from China</w:t>
            </w:r>
            <w:r w:rsidRPr="007C60AF">
              <w:rPr>
                <w:rFonts w:eastAsia="Arial"/>
                <w:color w:val="4472C4"/>
              </w:rPr>
              <w:t>, the TRA concluded that “the Like Goods may be of a higher quality than the Goods Subject to Review but remain entirely interchangeable and directly comparable”.</w:t>
            </w:r>
            <w:r w:rsidRPr="007C60AF">
              <w:rPr>
                <w:rFonts w:eastAsia="Arial"/>
                <w:color w:val="4472C4"/>
                <w:vertAlign w:val="superscript"/>
              </w:rPr>
              <w:footnoteReference w:id="20"/>
            </w:r>
          </w:p>
          <w:p w14:paraId="000001E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1EE"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In </w:t>
            </w:r>
            <w:r w:rsidRPr="007C60AF">
              <w:rPr>
                <w:rFonts w:eastAsia="Arial"/>
                <w:i/>
                <w:color w:val="4472C4"/>
              </w:rPr>
              <w:t xml:space="preserve">TD0008 – Continuous Glass fibre from China </w:t>
            </w:r>
            <w:r w:rsidRPr="007C60AF">
              <w:rPr>
                <w:rFonts w:eastAsia="Arial"/>
                <w:color w:val="4472C4"/>
              </w:rPr>
              <w:t xml:space="preserve">and </w:t>
            </w:r>
            <w:r w:rsidRPr="007C60AF">
              <w:rPr>
                <w:rFonts w:eastAsia="Arial"/>
                <w:i/>
                <w:color w:val="4472C4"/>
              </w:rPr>
              <w:t>TS0009 - Continuous Glass fibre from China</w:t>
            </w:r>
            <w:r w:rsidRPr="007C60AF">
              <w:rPr>
                <w:rFonts w:eastAsia="Arial"/>
                <w:color w:val="4472C4"/>
              </w:rPr>
              <w:t xml:space="preserve">, the TRA excluded mats from measures as there was no UK production or planned production, and mats were not substitutable for goods that were within scope and for which there was UK production of. The TRA concluded that excluding mats would therefore not cause injury. That conclusion differs from this Application since HVO and FAME are substitutable, as demonstrated below. At the same time, the TRA kept dry chopped strands and multi-end </w:t>
            </w:r>
            <w:proofErr w:type="spellStart"/>
            <w:r w:rsidRPr="007C60AF">
              <w:rPr>
                <w:rFonts w:eastAsia="Arial"/>
                <w:color w:val="4472C4"/>
              </w:rPr>
              <w:t>rovings</w:t>
            </w:r>
            <w:proofErr w:type="spellEnd"/>
            <w:r w:rsidRPr="007C60AF">
              <w:rPr>
                <w:rFonts w:eastAsia="Arial"/>
                <w:color w:val="4472C4"/>
              </w:rPr>
              <w:t xml:space="preserve"> within scope despite no UK production, on the basis that they were like the goods subject to review, and production could restart with minimal investment.</w:t>
            </w:r>
            <w:r w:rsidRPr="007C60AF">
              <w:rPr>
                <w:rFonts w:eastAsia="Arial"/>
                <w:color w:val="4472C4"/>
                <w:vertAlign w:val="superscript"/>
              </w:rPr>
              <w:footnoteReference w:id="21"/>
            </w:r>
            <w:r w:rsidRPr="007C60AF">
              <w:rPr>
                <w:rFonts w:eastAsia="Arial"/>
                <w:color w:val="4472C4"/>
                <w:vertAlign w:val="superscript"/>
              </w:rPr>
              <w:t xml:space="preserve"> </w:t>
            </w:r>
          </w:p>
          <w:p w14:paraId="000001E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1F0"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As regards the goods concerned and the like goods, in the UK Transition Reviews the TRA considered production processes, quality, technical and chemical characteristics, commodity codes and commercial likeness (including end use and interchangeability and direct competition),</w:t>
            </w:r>
            <w:r w:rsidRPr="007C60AF">
              <w:rPr>
                <w:rFonts w:eastAsia="Arial"/>
                <w:color w:val="4472C4"/>
                <w:vertAlign w:val="superscript"/>
              </w:rPr>
              <w:footnoteReference w:id="22"/>
            </w:r>
            <w:r w:rsidRPr="007C60AF">
              <w:rPr>
                <w:rFonts w:eastAsia="Arial"/>
                <w:color w:val="4472C4"/>
              </w:rPr>
              <w:t xml:space="preserve"> before ultimately concluding that HVO and FAME are like goods.</w:t>
            </w:r>
            <w:r w:rsidRPr="007C60AF">
              <w:rPr>
                <w:rFonts w:eastAsia="Arial"/>
                <w:color w:val="4472C4"/>
                <w:vertAlign w:val="superscript"/>
              </w:rPr>
              <w:footnoteReference w:id="23"/>
            </w:r>
          </w:p>
          <w:p w14:paraId="000001F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1F2"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rPr>
              <w:t xml:space="preserve">For consistency, the Applicants have considered the same criteria in their analysis below to reiterate that HVO and FAME are like goods. </w:t>
            </w:r>
          </w:p>
          <w:p w14:paraId="000001F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F4" w14:textId="77777777" w:rsidR="00416D85" w:rsidRPr="007C60AF" w:rsidRDefault="00130320">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HVO and FAME are like goods</w:t>
            </w:r>
          </w:p>
          <w:p w14:paraId="000001F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1F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Despite differences in production processes, quality, and technical and chemical characteristics - including because HVO is a drop-in </w:t>
            </w:r>
            <w:proofErr w:type="gramStart"/>
            <w:r w:rsidRPr="007C60AF">
              <w:rPr>
                <w:rFonts w:eastAsia="Arial"/>
                <w:color w:val="4472C4"/>
              </w:rPr>
              <w:t>fuel</w:t>
            </w:r>
            <w:proofErr w:type="gramEnd"/>
            <w:r w:rsidRPr="007C60AF">
              <w:rPr>
                <w:rFonts w:eastAsia="Arial"/>
                <w:color w:val="4472C4"/>
              </w:rPr>
              <w:t xml:space="preserve"> and FAME is not - </w:t>
            </w:r>
            <w:r w:rsidRPr="007C60AF">
              <w:rPr>
                <w:rFonts w:eastAsia="Arial"/>
                <w:color w:val="4472C4"/>
              </w:rPr>
              <w:lastRenderedPageBreak/>
              <w:t>the commercial and functional likeness of the goods are the same. In short, HVO and FAME are like goods because:</w:t>
            </w:r>
          </w:p>
          <w:p w14:paraId="000001F7"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The TRA, the World Trade Organization ("</w:t>
            </w:r>
            <w:r w:rsidRPr="007C60AF">
              <w:rPr>
                <w:rFonts w:eastAsia="Arial"/>
                <w:b/>
                <w:color w:val="4472C4"/>
              </w:rPr>
              <w:t>WTO</w:t>
            </w:r>
            <w:r w:rsidRPr="007C60AF">
              <w:rPr>
                <w:rFonts w:eastAsia="Arial"/>
                <w:color w:val="4472C4"/>
              </w:rPr>
              <w:t xml:space="preserve">") Dispute Settlement Body, and the European Commission have each established that HVO and FAME are like goods. </w:t>
            </w:r>
          </w:p>
          <w:p w14:paraId="000001F8"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inputs (feedstocks) used to produce HVO and FAME are the same. </w:t>
            </w:r>
          </w:p>
          <w:p w14:paraId="000001F9"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Biodiesel can be produced from many different feedstocks and from different production processes. </w:t>
            </w:r>
            <w:proofErr w:type="gramStart"/>
            <w:r w:rsidRPr="007C60AF">
              <w:rPr>
                <w:rFonts w:eastAsia="Arial"/>
                <w:color w:val="4472C4"/>
              </w:rPr>
              <w:t>In light of</w:t>
            </w:r>
            <w:proofErr w:type="gramEnd"/>
            <w:r w:rsidRPr="007C60AF">
              <w:rPr>
                <w:rFonts w:eastAsia="Arial"/>
                <w:color w:val="4472C4"/>
              </w:rPr>
              <w:t xml:space="preserve"> this, depending on the feedstock used and on the production process, each type of biodiesel may have different technical and chemical characteristics. This was confirmed by the TRA in the UK Transition Reviews.</w:t>
            </w:r>
            <w:r w:rsidRPr="007C60AF">
              <w:rPr>
                <w:rFonts w:eastAsia="Arial"/>
                <w:color w:val="4472C4"/>
                <w:vertAlign w:val="superscript"/>
              </w:rPr>
              <w:footnoteReference w:id="24"/>
            </w:r>
          </w:p>
          <w:p w14:paraId="000001FA"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proofErr w:type="gramStart"/>
            <w:r w:rsidRPr="007C60AF">
              <w:rPr>
                <w:rFonts w:eastAsia="Arial"/>
                <w:color w:val="4472C4"/>
              </w:rPr>
              <w:t>The majority of</w:t>
            </w:r>
            <w:proofErr w:type="gramEnd"/>
            <w:r w:rsidRPr="007C60AF">
              <w:rPr>
                <w:rFonts w:eastAsia="Arial"/>
                <w:color w:val="4472C4"/>
              </w:rPr>
              <w:t xml:space="preserve"> commodity codes used to import HVO can also be used to import FAME (see our response to question A.1.3. above), as it is not possible in certain instances to fully distinguish them, precisely because of their interchangeability. WTO law states that "[a]n analysis of tariff classification principles may be useful because it provides guidance as to which physical distinctions between products were considered significant by Customs experts".</w:t>
            </w:r>
            <w:r w:rsidRPr="007C60AF">
              <w:rPr>
                <w:rFonts w:eastAsia="Arial"/>
                <w:color w:val="4472C4"/>
                <w:vertAlign w:val="superscript"/>
              </w:rPr>
              <w:footnoteReference w:id="25"/>
            </w:r>
          </w:p>
          <w:p w14:paraId="000001FB"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HVO imported from the US and FAME produced in the UK are sold to the same customers via similar or identical distribution channels. </w:t>
            </w:r>
          </w:p>
          <w:p w14:paraId="000001FC"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HVO and FAME have the same end use – the goods compete in the biofuels market to replace (either in part or whole) mineral diesel as a road transport fuel with environmental benefits,</w:t>
            </w:r>
            <w:r w:rsidRPr="007C60AF">
              <w:rPr>
                <w:rFonts w:eastAsia="Arial"/>
                <w:color w:val="4472C4"/>
                <w:vertAlign w:val="superscript"/>
              </w:rPr>
              <w:footnoteReference w:id="26"/>
            </w:r>
            <w:r w:rsidRPr="007C60AF">
              <w:rPr>
                <w:rFonts w:eastAsia="Arial"/>
                <w:color w:val="4472C4"/>
              </w:rPr>
              <w:t xml:space="preserve"> and are interchangeable to meet the Renewable Transport Fuel Obligation ("</w:t>
            </w:r>
            <w:r w:rsidRPr="007C60AF">
              <w:rPr>
                <w:rFonts w:eastAsia="Arial"/>
                <w:b/>
                <w:color w:val="4472C4"/>
              </w:rPr>
              <w:t>RTFO</w:t>
            </w:r>
            <w:r w:rsidRPr="007C60AF">
              <w:rPr>
                <w:rFonts w:eastAsia="Arial"/>
                <w:color w:val="4472C4"/>
              </w:rPr>
              <w:t>") blending mandate (please refer to the response to question A.3.5. below for an explanation of the RTFO). If the feedstock used to produce the biodiesel is waste based it is double counted, meaning that a litre of waste-based biodiesel will count twice towards meeting biofuel obligation targets. This is regardless of whether the biodiesel is HVO or FAME.</w:t>
            </w:r>
            <w:r w:rsidRPr="007C60AF">
              <w:rPr>
                <w:rFonts w:eastAsia="Arial"/>
                <w:color w:val="4472C4"/>
                <w:vertAlign w:val="superscript"/>
              </w:rPr>
              <w:footnoteReference w:id="27"/>
            </w:r>
            <w:r w:rsidRPr="007C60AF">
              <w:rPr>
                <w:rFonts w:eastAsia="Arial"/>
                <w:color w:val="4472C4"/>
                <w:vertAlign w:val="superscript"/>
              </w:rPr>
              <w:t xml:space="preserve">  </w:t>
            </w:r>
            <w:r w:rsidRPr="007C60AF">
              <w:rPr>
                <w:rFonts w:eastAsia="Arial"/>
                <w:color w:val="4472C4"/>
              </w:rPr>
              <w:t xml:space="preserve"> </w:t>
            </w:r>
          </w:p>
          <w:p w14:paraId="000001FD"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lastRenderedPageBreak/>
              <w:t>End consumers that buy biodiesel at fuel forecourts for personal use are not aware of the differences between HVO and FAME. Biodiesel is blended with diesel (to create B7) without separate labelling at the pump. Those end consumers are unaware of the feedstock used in biodiesel production and simply need a product that meets UK standards.</w:t>
            </w:r>
            <w:r w:rsidRPr="007C60AF">
              <w:rPr>
                <w:rFonts w:eastAsia="Arial"/>
                <w:color w:val="4472C4"/>
                <w:vertAlign w:val="superscript"/>
              </w:rPr>
              <w:footnoteReference w:id="28"/>
            </w:r>
            <w:r w:rsidRPr="007C60AF">
              <w:rPr>
                <w:rFonts w:eastAsia="Arial"/>
                <w:color w:val="4472C4"/>
              </w:rPr>
              <w:t xml:space="preserve"> In addition, commercial fleet operators can switch between HVO and FAME and mix the two fuels. </w:t>
            </w:r>
          </w:p>
          <w:p w14:paraId="000001FE"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There is direct competition between HVO and FAME in both: (i) low-level biofuel blend B7; and (ii) transport fuels where higher proportions of biodiesel are blended with diesel such as B10 to B100. </w:t>
            </w:r>
          </w:p>
          <w:p w14:paraId="000001FF"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HVO and FAME are interchangeable – the EN 590:2022 standard for public retail outlet diesel (B7) applies to both types of biodiesels. </w:t>
            </w:r>
          </w:p>
          <w:p w14:paraId="000002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Confirmation by institutions that HVO and FAME are like goods</w:t>
            </w:r>
          </w:p>
          <w:p w14:paraId="0000020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0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0" w:name="_heading=h.alt78nvq5q3m" w:colFirst="0" w:colLast="0"/>
            <w:bookmarkEnd w:id="10"/>
            <w:r w:rsidRPr="007C60AF">
              <w:rPr>
                <w:rFonts w:eastAsia="Arial"/>
                <w:color w:val="4472C4"/>
              </w:rPr>
              <w:t>The interchangeability of HVO and FAME was recently confirmed in a WTO Panel Report. In January 2021, Malaysia brought a claim alleging that certain EU renewable energy measures discriminated against Malaysian palm-oil-based biofuels.</w:t>
            </w:r>
            <w:r w:rsidRPr="007C60AF">
              <w:rPr>
                <w:rFonts w:eastAsia="Arial"/>
                <w:color w:val="4472C4"/>
                <w:vertAlign w:val="superscript"/>
              </w:rPr>
              <w:footnoteReference w:id="29"/>
            </w:r>
            <w:r w:rsidRPr="007C60AF">
              <w:rPr>
                <w:rFonts w:eastAsia="Arial"/>
                <w:color w:val="4472C4"/>
                <w:vertAlign w:val="superscript"/>
              </w:rPr>
              <w:t xml:space="preserve"> </w:t>
            </w:r>
            <w:r w:rsidRPr="007C60AF">
              <w:rPr>
                <w:rFonts w:eastAsia="Arial"/>
                <w:color w:val="4472C4"/>
              </w:rPr>
              <w:t>This case, however, focuses on different types of biodiesel, which is why it is relevant to our Application.</w:t>
            </w:r>
          </w:p>
          <w:p w14:paraId="0000020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Malaysia argued "that all biodiesels (whether FAME or HVO) are essentially like because their limited differences do not significantly impact their substitutability and their competitive relations".</w:t>
            </w:r>
            <w:r w:rsidRPr="007C60AF">
              <w:rPr>
                <w:rFonts w:eastAsia="Arial"/>
                <w:color w:val="4472C4"/>
                <w:vertAlign w:val="superscript"/>
              </w:rPr>
              <w:footnoteReference w:id="30"/>
            </w:r>
            <w:r w:rsidRPr="007C60AF">
              <w:rPr>
                <w:rFonts w:eastAsia="Arial"/>
                <w:color w:val="4472C4"/>
              </w:rPr>
              <w:t xml:space="preserve"> The EU agreed that FAME and HVO could be considered like products:</w:t>
            </w:r>
            <w:r w:rsidRPr="007C60AF">
              <w:rPr>
                <w:rFonts w:eastAsia="Arial"/>
                <w:color w:val="4472C4"/>
                <w:vertAlign w:val="superscript"/>
              </w:rPr>
              <w:footnoteReference w:id="31"/>
            </w:r>
            <w:r w:rsidRPr="007C60AF">
              <w:rPr>
                <w:rFonts w:eastAsia="Arial"/>
                <w:color w:val="4472C4"/>
                <w:vertAlign w:val="superscript"/>
              </w:rPr>
              <w:t xml:space="preserve"> </w:t>
            </w:r>
          </w:p>
          <w:p w14:paraId="0000020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bookmarkStart w:id="11" w:name="_heading=h.nncm8tevych0" w:colFirst="0" w:colLast="0"/>
            <w:bookmarkEnd w:id="11"/>
            <w:r w:rsidRPr="007C60AF">
              <w:rPr>
                <w:rFonts w:eastAsia="Arial"/>
                <w:color w:val="4472C4"/>
                <w:sz w:val="20"/>
                <w:szCs w:val="20"/>
              </w:rPr>
              <w:t xml:space="preserve">HVO is used as a substitute for biodiesel when blending biofuels with conventional diesel. For example, the [United States Department of Agriculture Foreign Agricultural Service] report for 2019 states that: “EU-produced FAME faced strong competition from domestically produced HVO”. Biofuel producers explained in the context of a merger investigation that HVO and </w:t>
            </w:r>
            <w:r w:rsidRPr="007C60AF">
              <w:rPr>
                <w:rFonts w:eastAsia="Arial"/>
                <w:color w:val="4472C4"/>
                <w:sz w:val="20"/>
                <w:szCs w:val="20"/>
              </w:rPr>
              <w:lastRenderedPageBreak/>
              <w:t>FAME are competing. The strong competition exercised by HVO vis-à-vis FAME is confirmed by its higher CFPP and the higher blending possibility …</w:t>
            </w:r>
          </w:p>
          <w:p w14:paraId="0000020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Although it was not required to </w:t>
            </w:r>
            <w:proofErr w:type="gramStart"/>
            <w:r w:rsidRPr="007C60AF">
              <w:rPr>
                <w:rFonts w:eastAsia="Arial"/>
                <w:color w:val="4472C4"/>
              </w:rPr>
              <w:t>make a determination</w:t>
            </w:r>
            <w:proofErr w:type="gramEnd"/>
            <w:r w:rsidRPr="007C60AF">
              <w:rPr>
                <w:rFonts w:eastAsia="Arial"/>
                <w:color w:val="4472C4"/>
              </w:rPr>
              <w:t xml:space="preserve"> on the likeness of FAME and HVO, the Panel:</w:t>
            </w:r>
            <w:r w:rsidRPr="007C60AF">
              <w:rPr>
                <w:rFonts w:eastAsia="Arial"/>
                <w:color w:val="4472C4"/>
                <w:vertAlign w:val="superscript"/>
              </w:rPr>
              <w:footnoteReference w:id="32"/>
            </w:r>
          </w:p>
          <w:p w14:paraId="0000020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 found that PME, RME and SBME,[</w:t>
            </w:r>
            <w:r w:rsidRPr="007C60AF">
              <w:rPr>
                <w:rFonts w:eastAsia="Arial"/>
                <w:color w:val="4472C4"/>
                <w:sz w:val="20"/>
                <w:szCs w:val="20"/>
                <w:vertAlign w:val="superscript"/>
              </w:rPr>
              <w:footnoteReference w:id="33"/>
            </w:r>
            <w:r w:rsidRPr="007C60AF">
              <w:rPr>
                <w:rFonts w:eastAsia="Arial"/>
                <w:color w:val="4472C4"/>
                <w:sz w:val="20"/>
                <w:szCs w:val="20"/>
              </w:rPr>
              <w:t xml:space="preserve">] as well as HVO made from palm oil, rapeseed oil and soybean oil have similar or the same properties, end-uses, and are considered highly substitutable by the relevant consumers. Therefore, </w:t>
            </w:r>
            <w:proofErr w:type="gramStart"/>
            <w:r w:rsidRPr="007C60AF">
              <w:rPr>
                <w:rFonts w:eastAsia="Arial"/>
                <w:color w:val="4472C4"/>
                <w:sz w:val="20"/>
                <w:szCs w:val="20"/>
              </w:rPr>
              <w:t>on the basis of</w:t>
            </w:r>
            <w:proofErr w:type="gramEnd"/>
            <w:r w:rsidRPr="007C60AF">
              <w:rPr>
                <w:rFonts w:eastAsia="Arial"/>
                <w:color w:val="4472C4"/>
                <w:sz w:val="20"/>
                <w:szCs w:val="20"/>
              </w:rPr>
              <w:t xml:space="preserve"> those findings, the Panel concludes that for the purposes of its analysis under Article I:1, palm oil-, rapeseed oil- and soybean oil-based biofuels are like products.</w:t>
            </w:r>
            <w:bookmarkStart w:id="12" w:name="bookmark=id.upyxpgz0wdi6" w:colFirst="0" w:colLast="0"/>
            <w:bookmarkEnd w:id="12"/>
          </w:p>
          <w:p w14:paraId="0000020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Despite the differences in raw materials or production processes (which result in different properties), HVO and FAME each form one single product (biodiesel) used for the same purpose (a non-fossil fuel alternative to conventional diesel). This was the conclusion drawn by the European Commission in the 2009 original investigation on biodiesel imports from the US:</w:t>
            </w:r>
            <w:r w:rsidRPr="007C60AF">
              <w:rPr>
                <w:rFonts w:eastAsia="Arial"/>
                <w:color w:val="4472C4"/>
                <w:vertAlign w:val="superscript"/>
              </w:rPr>
              <w:footnoteReference w:id="34"/>
            </w:r>
            <w:r w:rsidRPr="007C60AF">
              <w:rPr>
                <w:rFonts w:eastAsia="Arial"/>
                <w:color w:val="4472C4"/>
                <w:vertAlign w:val="superscript"/>
              </w:rPr>
              <w:t xml:space="preserve"> </w:t>
            </w:r>
          </w:p>
          <w:p w14:paraId="0000020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[A]</w:t>
            </w:r>
            <w:proofErr w:type="spellStart"/>
            <w:r w:rsidRPr="007C60AF">
              <w:rPr>
                <w:rFonts w:eastAsia="Arial"/>
                <w:color w:val="4472C4"/>
                <w:sz w:val="20"/>
                <w:szCs w:val="20"/>
              </w:rPr>
              <w:t>ll</w:t>
            </w:r>
            <w:proofErr w:type="spellEnd"/>
            <w:r w:rsidRPr="007C60AF">
              <w:rPr>
                <w:rFonts w:eastAsia="Arial"/>
                <w:color w:val="4472C4"/>
                <w:sz w:val="20"/>
                <w:szCs w:val="20"/>
              </w:rPr>
              <w:t xml:space="preserve"> types of biodiesel and the biodiesel in the blends covered by this investigation, despite possible differences in terms of raw material used for the production, or variances in the production process, have the same or very similar basic physical, chemical and technical characteristics and are used for the same purposes. The possible variations in the product concerned do not alter its basic definition, its characteristics or the perception that various parties have of it.</w:t>
            </w:r>
          </w:p>
          <w:p w14:paraId="0000020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p>
          <w:p w14:paraId="0000021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This conclusion was re-confirmed by the European Commission during the 2015 expiry review</w:t>
            </w:r>
            <w:r w:rsidRPr="007C60AF">
              <w:rPr>
                <w:rFonts w:eastAsia="Arial"/>
                <w:color w:val="4472C4"/>
                <w:vertAlign w:val="superscript"/>
              </w:rPr>
              <w:footnoteReference w:id="35"/>
            </w:r>
            <w:r w:rsidRPr="007C60AF">
              <w:rPr>
                <w:rFonts w:eastAsia="Arial"/>
                <w:color w:val="4472C4"/>
              </w:rPr>
              <w:t xml:space="preserve"> and the most recent expiry review in 2021.</w:t>
            </w:r>
            <w:r w:rsidRPr="007C60AF">
              <w:rPr>
                <w:rFonts w:eastAsia="Arial"/>
                <w:color w:val="4472C4"/>
                <w:vertAlign w:val="superscript"/>
              </w:rPr>
              <w:footnoteReference w:id="36"/>
            </w:r>
            <w:r w:rsidRPr="007C60AF">
              <w:rPr>
                <w:rFonts w:eastAsia="Arial"/>
                <w:color w:val="4472C4"/>
              </w:rPr>
              <w:t xml:space="preserve"> </w:t>
            </w:r>
          </w:p>
          <w:p w14:paraId="0000021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1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Production processes</w:t>
            </w:r>
          </w:p>
          <w:p w14:paraId="000002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Please refer to the response to question A.3.4. below for a detailed description of the production processes of HVO and FAME.</w:t>
            </w:r>
          </w:p>
          <w:p w14:paraId="0000021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Quality and technical and chemical characteristics</w:t>
            </w:r>
          </w:p>
          <w:p w14:paraId="0000021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1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the UK Transition Reviews, the TRA concluded that:</w:t>
            </w:r>
            <w:r w:rsidRPr="007C60AF">
              <w:rPr>
                <w:rFonts w:eastAsia="Arial"/>
                <w:color w:val="4472C4"/>
                <w:vertAlign w:val="superscript"/>
              </w:rPr>
              <w:footnoteReference w:id="37"/>
            </w:r>
          </w:p>
          <w:p w14:paraId="0000021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The products also have differences in their quality. HVO has a higher cetane number, better energy density and lack of oxygen content (meaning it is less likely to oxidise). It also has a much lower cold filter plugging point (CFPP) of anywhere between -20 °C and -50 °C which is an important quality in fuel as this determines the level of cold/temperature the fuel can withstand before it freezes or gels. It also has a minimum flashpoint of 61 °C which means that it is safe in warmer conditions as well as freezing temperatures. HVO can also be stored for up to ten years without any detrimental effect on its quality as it does not contain Sulphur, and it does not oxidise or absorb water thereby making it a more ‘stable’ product. In comparison, FAME has a shelf life of 6 months to 1 year and is more susceptible to degradation. HVO can also be blended without any limits and can be used as a pure 100 product without causing damage to engines.</w:t>
            </w:r>
          </w:p>
          <w:p w14:paraId="0000021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Applicants do not dispute the TRA's conclusion, but note that the minimum flashpoint in EN 15940:2023 is 55°C as opposed to 61°C. The difference in quality is because FAME is an ester, whereas HVO consists of paraffinic hydrocarbons.</w:t>
            </w:r>
          </w:p>
          <w:p w14:paraId="0000021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The table below shows a comparison between HVO (EN 15940:2023) and FAME (EN 14214:2019) properties:</w:t>
            </w:r>
            <w:r w:rsidRPr="007C60AF">
              <w:rPr>
                <w:rFonts w:eastAsia="Arial"/>
                <w:color w:val="4472C4"/>
                <w:vertAlign w:val="superscript"/>
              </w:rPr>
              <w:footnoteReference w:id="38"/>
            </w:r>
          </w:p>
          <w:p w14:paraId="0000021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r w:rsidRPr="007C60AF">
              <w:rPr>
                <w:rFonts w:eastAsia="Arial"/>
                <w:noProof/>
                <w:color w:val="4472C4"/>
              </w:rPr>
              <w:drawing>
                <wp:inline distT="0" distB="0" distL="0" distR="0" wp14:anchorId="7B147A89" wp14:editId="5BADC9A3">
                  <wp:extent cx="3355422" cy="2974749"/>
                  <wp:effectExtent l="0" t="0" r="0" b="0"/>
                  <wp:docPr id="2146731695" name="image1.jpg" descr="A table with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table with text and numbers&#10;&#10;Description automatically generated"/>
                          <pic:cNvPicPr preferRelativeResize="0"/>
                        </pic:nvPicPr>
                        <pic:blipFill>
                          <a:blip r:embed="rId21"/>
                          <a:srcRect/>
                          <a:stretch>
                            <a:fillRect/>
                          </a:stretch>
                        </pic:blipFill>
                        <pic:spPr>
                          <a:xfrm>
                            <a:off x="0" y="0"/>
                            <a:ext cx="3355422" cy="2974749"/>
                          </a:xfrm>
                          <a:prstGeom prst="rect">
                            <a:avLst/>
                          </a:prstGeom>
                          <a:ln/>
                        </pic:spPr>
                      </pic:pic>
                    </a:graphicData>
                  </a:graphic>
                </wp:inline>
              </w:drawing>
            </w:r>
          </w:p>
          <w:p w14:paraId="0000022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mentioned above, both HVO and FAME can be made from different feedstocks and production pathways which impact the price, but also the quality of the fuel. </w:t>
            </w:r>
          </w:p>
          <w:p w14:paraId="0000022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Compared to FAME, HVO generally reduces issues of poor cold properties (e.g. flow properties), storage instability and aging of the fuel.</w:t>
            </w:r>
            <w:r w:rsidRPr="007C60AF">
              <w:rPr>
                <w:rFonts w:eastAsia="Arial"/>
                <w:color w:val="4472C4"/>
                <w:vertAlign w:val="superscript"/>
              </w:rPr>
              <w:footnoteReference w:id="39"/>
            </w:r>
          </w:p>
          <w:p w14:paraId="0000022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5" w:name="_heading=h.rgjn8am6akrd" w:colFirst="0" w:colLast="0"/>
            <w:bookmarkEnd w:id="15"/>
            <w:r w:rsidRPr="007C60AF">
              <w:rPr>
                <w:rFonts w:eastAsia="Arial"/>
                <w:color w:val="4472C4"/>
              </w:rPr>
              <w:t>HVO has a similar chemical composition to fossil diesel fuel which allows blending in any desired ratio without concerns regarding the cold-filter plugging point ("</w:t>
            </w:r>
            <w:r w:rsidRPr="007C60AF">
              <w:rPr>
                <w:rFonts w:eastAsia="Arial"/>
                <w:b/>
                <w:color w:val="4472C4"/>
              </w:rPr>
              <w:t>CFPP</w:t>
            </w:r>
            <w:r w:rsidRPr="007C60AF">
              <w:rPr>
                <w:rFonts w:eastAsia="Arial"/>
                <w:color w:val="4472C4"/>
              </w:rPr>
              <w:t>").</w:t>
            </w:r>
            <w:r w:rsidRPr="007C60AF">
              <w:rPr>
                <w:rFonts w:eastAsia="Arial"/>
                <w:color w:val="4472C4"/>
                <w:vertAlign w:val="superscript"/>
              </w:rPr>
              <w:footnoteReference w:id="40"/>
            </w:r>
            <w:r w:rsidRPr="007C60AF">
              <w:rPr>
                <w:rFonts w:eastAsia="Arial"/>
                <w:color w:val="4472C4"/>
              </w:rPr>
              <w:t xml:space="preserve"> As such, HVO is classed as a 'drop-in' fuel, and can be used in heavy goods vehicles ("</w:t>
            </w:r>
            <w:r w:rsidRPr="007C60AF">
              <w:rPr>
                <w:rFonts w:eastAsia="Arial"/>
                <w:b/>
                <w:color w:val="4472C4"/>
              </w:rPr>
              <w:t>HGVs</w:t>
            </w:r>
            <w:r w:rsidRPr="007C60AF">
              <w:rPr>
                <w:rFonts w:eastAsia="Arial"/>
                <w:color w:val="4472C4"/>
              </w:rPr>
              <w:t>") without modification to the engine or fuel storage.</w:t>
            </w:r>
            <w:r w:rsidRPr="007C60AF">
              <w:rPr>
                <w:rFonts w:eastAsia="Arial"/>
                <w:color w:val="4472C4"/>
                <w:vertAlign w:val="superscript"/>
              </w:rPr>
              <w:footnoteReference w:id="41"/>
            </w:r>
            <w:r w:rsidRPr="007C60AF">
              <w:rPr>
                <w:rFonts w:eastAsia="Arial"/>
                <w:color w:val="4472C4"/>
              </w:rPr>
              <w:t xml:space="preserve"> Fleets </w:t>
            </w:r>
            <w:r w:rsidRPr="007C60AF">
              <w:rPr>
                <w:rFonts w:eastAsia="Arial"/>
                <w:color w:val="4472C4"/>
              </w:rPr>
              <w:lastRenderedPageBreak/>
              <w:t>that operate on a B100 blend need to be modified with tank heating systems. This is because the CFPP of the biodiesel is greater than the CFPP of gasoil i.e. the fuel starts to solidify at higher temperatures.</w:t>
            </w:r>
          </w:p>
          <w:p w14:paraId="0000022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quality of FAME is known to depend on the properties of the feedstock used and this limits what feedstocks may be used in cold climates. The cold properties of HVO can be adjusted to meet local requirements by adjusting the severity of the process or by additional catalytic processing.</w:t>
            </w:r>
            <w:r w:rsidRPr="007C60AF">
              <w:rPr>
                <w:rFonts w:eastAsia="Arial"/>
                <w:color w:val="4472C4"/>
                <w:vertAlign w:val="superscript"/>
              </w:rPr>
              <w:footnoteReference w:id="42"/>
            </w:r>
            <w:r w:rsidRPr="007C60AF">
              <w:rPr>
                <w:rFonts w:eastAsia="Arial"/>
                <w:color w:val="4472C4"/>
                <w:vertAlign w:val="superscript"/>
              </w:rPr>
              <w:t xml:space="preserve"> </w:t>
            </w:r>
          </w:p>
          <w:p w14:paraId="0000022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Waste-based biodiesel, whether manufactured in the UK or the US, has a higher CFPP than biodiesel made from soybean oil and rapeseed oil. Biodiesel with a higher CFPP tends to trade at a discount to biodiesel with a lower CFPP. This difference becomes more marked in cooler months. </w:t>
            </w:r>
          </w:p>
          <w:p w14:paraId="0000022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6" w:name="_heading=h.7atofejmi2wo" w:colFirst="0" w:colLast="0"/>
            <w:bookmarkEnd w:id="16"/>
            <w:r w:rsidRPr="007C60AF">
              <w:rPr>
                <w:rFonts w:eastAsia="Arial"/>
                <w:color w:val="4472C4"/>
              </w:rPr>
              <w:t xml:space="preserve">When blending biodiesel into standard diesel the blender must ensure the final CFPP is not above the relevant limit to the location of use and time of year. For example, in the UK the CFPP limit for the blended fuel is -15°C in winter and -5°C in summer. If the base diesel is close to the limit, then blending a biodiesel with a lower CFPP will not affect </w:t>
            </w:r>
            <w:proofErr w:type="gramStart"/>
            <w:r w:rsidRPr="007C60AF">
              <w:rPr>
                <w:rFonts w:eastAsia="Arial"/>
                <w:color w:val="4472C4"/>
              </w:rPr>
              <w:t>the end result</w:t>
            </w:r>
            <w:proofErr w:type="gramEnd"/>
            <w:r w:rsidRPr="007C60AF">
              <w:rPr>
                <w:rFonts w:eastAsia="Arial"/>
                <w:color w:val="4472C4"/>
              </w:rPr>
              <w:t xml:space="preserve"> as much as blending a high CFPP biodiesel would. Therefore, the higher CFPP biodiesel is slightly less attractive in some circumstances.</w:t>
            </w:r>
          </w:p>
          <w:p w14:paraId="0000022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Despite the existence of some differences between HVO and FAME (i.e. chemical composition, performance in cold weather and storage qualities),</w:t>
            </w:r>
            <w:r w:rsidRPr="007C60AF">
              <w:rPr>
                <w:rFonts w:eastAsia="Arial"/>
                <w:color w:val="4472C4"/>
                <w:vertAlign w:val="superscript"/>
              </w:rPr>
              <w:footnoteReference w:id="43"/>
            </w:r>
            <w:r w:rsidRPr="007C60AF">
              <w:rPr>
                <w:rFonts w:eastAsia="Arial"/>
                <w:color w:val="4472C4"/>
                <w:vertAlign w:val="superscript"/>
              </w:rPr>
              <w:t xml:space="preserve"> </w:t>
            </w:r>
            <w:r w:rsidRPr="007C60AF">
              <w:rPr>
                <w:rFonts w:eastAsia="Arial"/>
                <w:color w:val="4472C4"/>
              </w:rPr>
              <w:t xml:space="preserve"> they are nonetheless considered to be directly competitive and interchangeable for the purpose of the blending mandate concerning road transport fuel.</w:t>
            </w:r>
            <w:r w:rsidRPr="007C60AF">
              <w:rPr>
                <w:rFonts w:eastAsia="Arial"/>
                <w:color w:val="4472C4"/>
                <w:vertAlign w:val="superscript"/>
              </w:rPr>
              <w:t xml:space="preserve"> </w:t>
            </w:r>
          </w:p>
          <w:p w14:paraId="0000022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3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In the UK Transition Reviews, the TRA concluded that:</w:t>
            </w:r>
            <w:r w:rsidRPr="007C60AF">
              <w:rPr>
                <w:rFonts w:eastAsia="Arial"/>
                <w:color w:val="4472C4"/>
                <w:vertAlign w:val="superscript"/>
              </w:rPr>
              <w:footnoteReference w:id="44"/>
            </w:r>
          </w:p>
          <w:p w14:paraId="00000231" w14:textId="77777777" w:rsidR="00416D85" w:rsidRPr="007C60AF" w:rsidRDefault="00130320">
            <w:pPr>
              <w:pBdr>
                <w:top w:val="nil"/>
                <w:left w:val="nil"/>
                <w:bottom w:val="nil"/>
                <w:right w:val="nil"/>
                <w:between w:val="nil"/>
              </w:pBdr>
              <w:spacing w:before="240" w:after="0"/>
              <w:ind w:left="720" w:hanging="794"/>
              <w:jc w:val="both"/>
              <w:rPr>
                <w:rFonts w:eastAsia="Arial"/>
                <w:color w:val="4472C4"/>
                <w:sz w:val="20"/>
                <w:szCs w:val="20"/>
              </w:rPr>
            </w:pPr>
            <w:r w:rsidRPr="007C60AF">
              <w:rPr>
                <w:rFonts w:eastAsia="Arial"/>
                <w:color w:val="4472C4"/>
                <w:sz w:val="20"/>
                <w:szCs w:val="20"/>
              </w:rPr>
              <w:t>The difference in technical and chemical characteristics is not disputed by the parties, however we consider that each type of biodiesel has different properties depending on the feedstock source, and the corresponding quality of the feedstock.</w:t>
            </w:r>
          </w:p>
          <w:p w14:paraId="0000023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33"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agree with this conclusion. As explained in the response to question A.3.4. below, biodiesel can be produced from many different feedstocks and </w:t>
            </w:r>
            <w:r w:rsidRPr="007C60AF">
              <w:rPr>
                <w:rFonts w:eastAsia="Arial"/>
                <w:color w:val="4472C4"/>
              </w:rPr>
              <w:lastRenderedPageBreak/>
              <w:t xml:space="preserve">from different production processes. </w:t>
            </w:r>
            <w:proofErr w:type="gramStart"/>
            <w:r w:rsidRPr="007C60AF">
              <w:rPr>
                <w:rFonts w:eastAsia="Arial"/>
                <w:color w:val="4472C4"/>
              </w:rPr>
              <w:t>In light of</w:t>
            </w:r>
            <w:proofErr w:type="gramEnd"/>
            <w:r w:rsidRPr="007C60AF">
              <w:rPr>
                <w:rFonts w:eastAsia="Arial"/>
                <w:color w:val="4472C4"/>
              </w:rPr>
              <w:t xml:space="preserve"> this, depending on the feedstock used and on the production process, each type of biodiesel (i.e. not just comparing HVO and FAME but also HVO to HVO and FAME to FAME), may have different technical and chemical characteristics. Accordingly, any difference in technical or chemical characteristics between HVO and FAME is not a determinant factor to assess if the goods are "like".</w:t>
            </w:r>
          </w:p>
          <w:p w14:paraId="0000023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35" w14:textId="77777777" w:rsidR="00416D85" w:rsidRPr="007C60AF" w:rsidRDefault="00130320">
            <w:pPr>
              <w:numPr>
                <w:ilvl w:val="6"/>
                <w:numId w:val="37"/>
              </w:numPr>
              <w:pBdr>
                <w:top w:val="nil"/>
                <w:left w:val="nil"/>
                <w:bottom w:val="nil"/>
                <w:right w:val="nil"/>
                <w:between w:val="nil"/>
              </w:pBdr>
              <w:spacing w:line="276" w:lineRule="auto"/>
              <w:jc w:val="both"/>
              <w:rPr>
                <w:rFonts w:eastAsia="Arial"/>
                <w:color w:val="4472C4"/>
              </w:rPr>
            </w:pPr>
            <w:r w:rsidRPr="007C60AF">
              <w:rPr>
                <w:rFonts w:eastAsia="Arial"/>
                <w:color w:val="4472C4"/>
              </w:rPr>
              <w:t>These arguments have been reinforced by the European Commission:</w:t>
            </w:r>
            <w:r w:rsidRPr="007C60AF">
              <w:rPr>
                <w:rFonts w:eastAsia="Arial"/>
                <w:color w:val="4472C4"/>
                <w:vertAlign w:val="superscript"/>
              </w:rPr>
              <w:footnoteReference w:id="45"/>
            </w:r>
            <w:r w:rsidRPr="007C60AF">
              <w:rPr>
                <w:rFonts w:eastAsia="Arial"/>
                <w:color w:val="4472C4"/>
              </w:rPr>
              <w:t xml:space="preserve">  </w:t>
            </w:r>
          </w:p>
          <w:p w14:paraId="00000236" w14:textId="77777777" w:rsidR="00416D85" w:rsidRPr="007C60AF" w:rsidRDefault="00130320">
            <w:pPr>
              <w:numPr>
                <w:ilvl w:val="0"/>
                <w:numId w:val="3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Although the physical and chemical characteristics of HVO are closer to conventional diesel than those of FAME and that the typical CFPP level and other characteristics (such as density or viscosity) of HVO and FAME differ, this does not render HVO a different product. </w:t>
            </w:r>
          </w:p>
          <w:p w14:paraId="00000237" w14:textId="77777777" w:rsidR="00416D85" w:rsidRPr="007C60AF" w:rsidRDefault="00130320">
            <w:pPr>
              <w:numPr>
                <w:ilvl w:val="0"/>
                <w:numId w:val="32"/>
              </w:numPr>
              <w:pBdr>
                <w:top w:val="nil"/>
                <w:left w:val="nil"/>
                <w:bottom w:val="nil"/>
                <w:right w:val="nil"/>
                <w:between w:val="nil"/>
              </w:pBdr>
              <w:spacing w:before="240" w:after="0"/>
              <w:jc w:val="both"/>
              <w:rPr>
                <w:rFonts w:eastAsia="Arial"/>
                <w:color w:val="4472C4"/>
              </w:rPr>
            </w:pPr>
            <w:r w:rsidRPr="007C60AF">
              <w:rPr>
                <w:rFonts w:eastAsia="Arial"/>
                <w:color w:val="4472C4"/>
              </w:rPr>
              <w:t>Both HVO and FAME have several product types with distinct CFPP, density and viscosity levels, and there are FAME product types with the same CFPP level as certain HVO product types.</w:t>
            </w:r>
          </w:p>
          <w:p w14:paraId="00000238" w14:textId="77777777" w:rsidR="00416D85" w:rsidRPr="007C60AF" w:rsidRDefault="00130320">
            <w:pPr>
              <w:numPr>
                <w:ilvl w:val="0"/>
                <w:numId w:val="32"/>
              </w:numPr>
              <w:pBdr>
                <w:top w:val="nil"/>
                <w:left w:val="nil"/>
                <w:bottom w:val="nil"/>
                <w:right w:val="nil"/>
                <w:between w:val="nil"/>
              </w:pBdr>
              <w:spacing w:before="240" w:after="0"/>
              <w:jc w:val="both"/>
              <w:rPr>
                <w:rFonts w:eastAsia="Arial"/>
                <w:color w:val="4472C4"/>
              </w:rPr>
            </w:pPr>
            <w:r w:rsidRPr="007C60AF">
              <w:rPr>
                <w:rFonts w:eastAsia="Arial"/>
                <w:color w:val="4472C4"/>
              </w:rPr>
              <w:t>The good storage stability of HVO as compared to FAME does not render HVO a different product either.</w:t>
            </w:r>
          </w:p>
          <w:p w14:paraId="0000023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3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Commercial likeness</w:t>
            </w:r>
          </w:p>
          <w:p w14:paraId="0000023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3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In the UK Transition Reviews, the TRA stated that commercial likeness "refers to how the market treats the potential like goods compared to the goods concerned. As part of this review, the TRA considered: </w:t>
            </w:r>
          </w:p>
          <w:p w14:paraId="0000023D" w14:textId="77777777" w:rsidR="00416D85" w:rsidRPr="007C60AF" w:rsidRDefault="00130320">
            <w:pPr>
              <w:numPr>
                <w:ilvl w:val="0"/>
                <w:numId w:val="19"/>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end use and interchangeability; and </w:t>
            </w:r>
          </w:p>
          <w:p w14:paraId="0000023E" w14:textId="77777777" w:rsidR="00416D85" w:rsidRPr="007C60AF" w:rsidRDefault="00130320">
            <w:pPr>
              <w:numPr>
                <w:ilvl w:val="0"/>
                <w:numId w:val="19"/>
              </w:numPr>
              <w:pBdr>
                <w:top w:val="nil"/>
                <w:left w:val="nil"/>
                <w:bottom w:val="nil"/>
                <w:right w:val="nil"/>
                <w:between w:val="nil"/>
              </w:pBdr>
              <w:spacing w:before="240" w:after="0"/>
              <w:jc w:val="both"/>
              <w:rPr>
                <w:rFonts w:eastAsia="Arial"/>
                <w:color w:val="4472C4"/>
              </w:rPr>
            </w:pPr>
            <w:r w:rsidRPr="007C60AF">
              <w:rPr>
                <w:rFonts w:eastAsia="Arial"/>
                <w:color w:val="4472C4"/>
              </w:rPr>
              <w:t>direct competition between FAME and HVO."</w:t>
            </w:r>
            <w:r w:rsidRPr="007C60AF">
              <w:rPr>
                <w:rFonts w:eastAsia="Arial"/>
                <w:color w:val="4472C4"/>
                <w:vertAlign w:val="superscript"/>
              </w:rPr>
              <w:footnoteReference w:id="46"/>
            </w:r>
          </w:p>
          <w:p w14:paraId="0000023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4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End use and interchangeability</w:t>
            </w:r>
          </w:p>
          <w:p w14:paraId="0000024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4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According to the TRA:</w:t>
            </w:r>
            <w:r w:rsidRPr="007C60AF">
              <w:rPr>
                <w:rFonts w:eastAsia="Arial"/>
                <w:color w:val="4472C4"/>
                <w:vertAlign w:val="superscript"/>
              </w:rPr>
              <w:footnoteReference w:id="47"/>
            </w:r>
            <w:r w:rsidRPr="007C60AF">
              <w:rPr>
                <w:rFonts w:eastAsia="Arial"/>
                <w:color w:val="4472C4"/>
                <w:vertAlign w:val="superscript"/>
              </w:rPr>
              <w:t xml:space="preserve"> </w:t>
            </w:r>
          </w:p>
          <w:p w14:paraId="00000243" w14:textId="77777777" w:rsidR="00416D85" w:rsidRPr="007C60AF" w:rsidRDefault="00130320">
            <w:pPr>
              <w:numPr>
                <w:ilvl w:val="0"/>
                <w:numId w:val="20"/>
              </w:numPr>
              <w:pBdr>
                <w:top w:val="nil"/>
                <w:left w:val="nil"/>
                <w:bottom w:val="nil"/>
                <w:right w:val="nil"/>
                <w:between w:val="nil"/>
              </w:pBdr>
              <w:spacing w:before="240" w:after="0"/>
              <w:jc w:val="both"/>
              <w:rPr>
                <w:rFonts w:eastAsia="Arial"/>
                <w:color w:val="4472C4"/>
              </w:rPr>
            </w:pPr>
            <w:r w:rsidRPr="007C60AF">
              <w:rPr>
                <w:rFonts w:eastAsia="Arial"/>
                <w:color w:val="4472C4"/>
              </w:rPr>
              <w:lastRenderedPageBreak/>
              <w:t xml:space="preserve">"End use requires consideration of the extent to which FAME and HVO products are capable of performing the same, or similar function. </w:t>
            </w:r>
          </w:p>
          <w:p w14:paraId="00000244" w14:textId="77777777" w:rsidR="00416D85" w:rsidRPr="007C60AF" w:rsidRDefault="00130320">
            <w:pPr>
              <w:numPr>
                <w:ilvl w:val="0"/>
                <w:numId w:val="2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Interchangeability requires consideration as to whether consumers are willing to choose one product instead of another to perform those end uses." </w:t>
            </w:r>
          </w:p>
          <w:p w14:paraId="0000024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TRA considered various uses of HVO, and concluded that:</w:t>
            </w:r>
            <w:r w:rsidRPr="007C60AF">
              <w:rPr>
                <w:rFonts w:eastAsia="Arial"/>
                <w:color w:val="4472C4"/>
                <w:vertAlign w:val="superscript"/>
              </w:rPr>
              <w:footnoteReference w:id="48"/>
            </w:r>
          </w:p>
          <w:p w14:paraId="0000024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 xml:space="preserve">Having examined the potential end uses for HVO and FAME and recognising that HVO has uses for which FAME is not appropriate, we consider that these products all compete in the biofuels market to replace (either in part or whole) mineral diesel as a road transport fuel with environmental benefits. </w:t>
            </w:r>
          </w:p>
          <w:p w14:paraId="0000024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4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agree with this finding. </w:t>
            </w:r>
          </w:p>
          <w:p w14:paraId="0000024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4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 xml:space="preserve">Blending and fuel standards </w:t>
            </w:r>
          </w:p>
          <w:p w14:paraId="0000024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4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7" w:name="_heading=h.weai3mbnuy54" w:colFirst="0" w:colLast="0"/>
            <w:bookmarkEnd w:id="17"/>
            <w:r w:rsidRPr="007C60AF">
              <w:rPr>
                <w:rFonts w:eastAsia="Arial"/>
                <w:color w:val="4472C4"/>
              </w:rPr>
              <w:t>A European Standard ("</w:t>
            </w:r>
            <w:r w:rsidRPr="007C60AF">
              <w:rPr>
                <w:rFonts w:eastAsia="Arial"/>
                <w:b/>
                <w:color w:val="4472C4"/>
              </w:rPr>
              <w:t>EN</w:t>
            </w:r>
            <w:r w:rsidRPr="007C60AF">
              <w:rPr>
                <w:rFonts w:eastAsia="Arial"/>
                <w:color w:val="4472C4"/>
              </w:rPr>
              <w:t>") is implemented by the national CEN (the European Committee for Standardization) Members as a national standard. The United Kingdom's national standardisation body, the British Standards Institution, is a CEN Member.</w:t>
            </w:r>
            <w:r w:rsidRPr="007C60AF">
              <w:rPr>
                <w:rFonts w:eastAsia="Arial"/>
                <w:color w:val="4472C4"/>
                <w:vertAlign w:val="superscript"/>
              </w:rPr>
              <w:footnoteReference w:id="49"/>
            </w:r>
            <w:r w:rsidRPr="007C60AF">
              <w:rPr>
                <w:rFonts w:eastAsia="Arial"/>
                <w:color w:val="4472C4"/>
              </w:rPr>
              <w:t xml:space="preserve"> British fuel standards (BS) are equivalent to European fuel standards (EN).</w:t>
            </w:r>
          </w:p>
          <w:p w14:paraId="0000024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4F"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HVO is required to meet the European paraffinic diesel fuel quality standard EN 15940:2023. Nowadays 7 vol-% FAME is allowed as a blending component in EN 15940:2023 paraffinic diesel fuel.</w:t>
            </w:r>
            <w:r w:rsidRPr="007C60AF">
              <w:rPr>
                <w:rFonts w:eastAsia="Arial"/>
                <w:color w:val="4472C4"/>
                <w:vertAlign w:val="superscript"/>
              </w:rPr>
              <w:footnoteReference w:id="50"/>
            </w:r>
          </w:p>
          <w:p w14:paraId="0000025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Standard diesel fuel sold at fuel forecourts contains around 7% biodiesel (93% from other (mineral) sources), and for this reason is known as B7. This fuel meets the EN 590:2022 standard for ultra-low sulphur diesel. The standard mentions both HVO and FAME, indicating the interchangeability of the goods.</w:t>
            </w:r>
            <w:r w:rsidRPr="007C60AF">
              <w:rPr>
                <w:rFonts w:eastAsia="Arial"/>
                <w:color w:val="4472C4"/>
                <w:vertAlign w:val="superscript"/>
              </w:rPr>
              <w:footnoteReference w:id="51"/>
            </w:r>
            <w:r w:rsidRPr="007C60AF">
              <w:rPr>
                <w:rFonts w:eastAsia="Arial"/>
                <w:color w:val="4472C4"/>
              </w:rPr>
              <w:t xml:space="preserve"> The standard limits the proportion of FAME to a maximum of 7 vol-%, whereas for HVO there is no blending wall whenever the specification of EN 590:2022 standard is fulfilled (which in practice means approximately 20-30% of HVO can be blended, depending on density of both the fossil diesel and the HVO used for blending). The standard does not take any </w:t>
            </w:r>
            <w:r w:rsidRPr="007C60AF">
              <w:rPr>
                <w:rFonts w:eastAsia="Arial"/>
                <w:color w:val="4472C4"/>
              </w:rPr>
              <w:lastRenderedPageBreak/>
              <w:t>position on how and from what feedstock fuel is processed.</w:t>
            </w:r>
            <w:r w:rsidRPr="007C60AF">
              <w:rPr>
                <w:rFonts w:eastAsia="Arial"/>
                <w:color w:val="4472C4"/>
                <w:vertAlign w:val="superscript"/>
              </w:rPr>
              <w:footnoteReference w:id="52"/>
            </w:r>
            <w:r w:rsidRPr="007C60AF">
              <w:rPr>
                <w:rFonts w:eastAsia="Arial"/>
                <w:color w:val="4472C4"/>
              </w:rPr>
              <w:t xml:space="preserve"> In the UK Transition Reviews, the TRA found that "[w]</w:t>
            </w:r>
            <w:proofErr w:type="spellStart"/>
            <w:r w:rsidRPr="007C60AF">
              <w:rPr>
                <w:rFonts w:eastAsia="Arial"/>
                <w:color w:val="4472C4"/>
              </w:rPr>
              <w:t>hile</w:t>
            </w:r>
            <w:proofErr w:type="spellEnd"/>
            <w:r w:rsidRPr="007C60AF">
              <w:rPr>
                <w:rFonts w:eastAsia="Arial"/>
                <w:color w:val="4472C4"/>
              </w:rPr>
              <w:t xml:space="preserve"> ‘B7’ labelling at the pump identifies the use of biodiesel, many consumers may be unaware that they are buying blended diesel."</w:t>
            </w:r>
            <w:r w:rsidRPr="007C60AF">
              <w:rPr>
                <w:rFonts w:eastAsia="Arial"/>
                <w:color w:val="4472C4"/>
                <w:vertAlign w:val="superscript"/>
              </w:rPr>
              <w:footnoteReference w:id="53"/>
            </w:r>
            <w:r w:rsidRPr="007C60AF">
              <w:rPr>
                <w:rFonts w:eastAsia="Arial"/>
                <w:color w:val="4472C4"/>
                <w:vertAlign w:val="superscript"/>
              </w:rPr>
              <w:t xml:space="preserve"> </w:t>
            </w:r>
          </w:p>
          <w:p w14:paraId="0000025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3"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use of biodiesel as a low-blend component in transport fuel does not require any changes in the distribution system, therefore avoiding expensive infrastructure changes.</w:t>
            </w:r>
            <w:r w:rsidRPr="007C60AF">
              <w:rPr>
                <w:rFonts w:eastAsia="Arial"/>
                <w:color w:val="4472C4"/>
                <w:vertAlign w:val="superscript"/>
              </w:rPr>
              <w:footnoteReference w:id="54"/>
            </w:r>
          </w:p>
          <w:p w14:paraId="00000254" w14:textId="77777777" w:rsidR="00416D85" w:rsidRPr="007C60AF" w:rsidRDefault="00416D85">
            <w:pPr>
              <w:pBdr>
                <w:top w:val="nil"/>
                <w:left w:val="nil"/>
                <w:bottom w:val="nil"/>
                <w:right w:val="nil"/>
                <w:between w:val="nil"/>
              </w:pBdr>
              <w:spacing w:after="0" w:line="276" w:lineRule="auto"/>
              <w:ind w:left="567" w:hanging="567"/>
              <w:jc w:val="both"/>
              <w:rPr>
                <w:rFonts w:eastAsia="Arial"/>
                <w:color w:val="4472C4"/>
              </w:rPr>
            </w:pPr>
          </w:p>
          <w:p w14:paraId="0000025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8" w:name="_heading=h.yqbi363ij5i2" w:colFirst="0" w:colLast="0"/>
            <w:bookmarkEnd w:id="18"/>
            <w:r w:rsidRPr="007C60AF">
              <w:rPr>
                <w:rFonts w:eastAsia="Arial"/>
                <w:color w:val="4472C4"/>
              </w:rPr>
              <w:t>Public service vehicles (bus and coach operators) and HGVs consume HVO and FAME at higher blend rates of B10 to B100.</w:t>
            </w:r>
            <w:r w:rsidRPr="007C60AF">
              <w:rPr>
                <w:rFonts w:eastAsia="Arial"/>
                <w:color w:val="4472C4"/>
                <w:vertAlign w:val="superscript"/>
              </w:rPr>
              <w:footnoteReference w:id="55"/>
            </w:r>
            <w:r w:rsidRPr="007C60AF">
              <w:rPr>
                <w:rFonts w:eastAsia="Arial"/>
                <w:color w:val="4472C4"/>
                <w:vertAlign w:val="superscript"/>
              </w:rPr>
              <w:t xml:space="preserve"> </w:t>
            </w:r>
            <w:r w:rsidRPr="007C60AF">
              <w:rPr>
                <w:rFonts w:eastAsia="Arial"/>
                <w:color w:val="4472C4"/>
              </w:rPr>
              <w:t>B100 (100% FAME) must comply with European standard EN 14214:2019, whilst B10 must meet EN 16734:2022</w:t>
            </w:r>
            <w:r w:rsidRPr="007C60AF">
              <w:rPr>
                <w:rFonts w:eastAsia="Arial"/>
                <w:color w:val="4472C4"/>
                <w:vertAlign w:val="superscript"/>
              </w:rPr>
              <w:footnoteReference w:id="56"/>
            </w:r>
            <w:r w:rsidRPr="007C60AF">
              <w:rPr>
                <w:rFonts w:eastAsia="Arial"/>
                <w:color w:val="4472C4"/>
              </w:rPr>
              <w:t xml:space="preserve"> and B20 and 30 must meet EN 16709:2015.</w:t>
            </w:r>
            <w:r w:rsidRPr="007C60AF">
              <w:rPr>
                <w:rFonts w:eastAsia="Arial"/>
                <w:color w:val="4472C4"/>
                <w:vertAlign w:val="superscript"/>
              </w:rPr>
              <w:footnoteReference w:id="57"/>
            </w:r>
            <w:r w:rsidRPr="007C60AF">
              <w:rPr>
                <w:rFonts w:eastAsia="Arial"/>
                <w:color w:val="4472C4"/>
              </w:rPr>
              <w:t xml:space="preserve"> Since HVO consists of paraffinic hydrocarbons, it cannot meet the requirements set by EN 14214:2019, which is a standard developed and valid only for FAME.</w:t>
            </w:r>
            <w:r w:rsidRPr="007C60AF">
              <w:rPr>
                <w:rFonts w:eastAsia="Arial"/>
                <w:color w:val="4472C4"/>
                <w:vertAlign w:val="superscript"/>
              </w:rPr>
              <w:footnoteReference w:id="58"/>
            </w:r>
          </w:p>
          <w:p w14:paraId="0000025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B7 and higher blend markets</w:t>
            </w:r>
          </w:p>
          <w:p w14:paraId="0000025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Most biodiesel is supplied and blended into the B7 market for consumption by the public road users.</w:t>
            </w:r>
            <w:r w:rsidRPr="007C60AF">
              <w:rPr>
                <w:rFonts w:eastAsia="Arial"/>
                <w:color w:val="4472C4"/>
                <w:vertAlign w:val="superscript"/>
              </w:rPr>
              <w:footnoteReference w:id="59"/>
            </w:r>
          </w:p>
          <w:p w14:paraId="0000025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B"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There is also a market for biofuels into commercial fleets (higher blends). All three of the UK biodiesel manufacturers produce significant volumes of higher blend FAME. </w:t>
            </w:r>
          </w:p>
          <w:p w14:paraId="0000025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Both HVO and FAME can be used for production of B7 and higher blends. </w:t>
            </w:r>
          </w:p>
          <w:p w14:paraId="0000025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2FD412F9" w14:textId="1F1A776C" w:rsidR="00CD4A61" w:rsidRPr="007C60AF" w:rsidRDefault="00CD4A61"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For example, </w:t>
            </w:r>
            <w:proofErr w:type="spellStart"/>
            <w:r w:rsidR="00130320" w:rsidRPr="007C60AF">
              <w:rPr>
                <w:rFonts w:eastAsia="Arial"/>
                <w:color w:val="4472C4"/>
              </w:rPr>
              <w:t>Zemo</w:t>
            </w:r>
            <w:proofErr w:type="spellEnd"/>
            <w:r w:rsidR="00130320" w:rsidRPr="007C60AF">
              <w:rPr>
                <w:rFonts w:eastAsia="Arial"/>
                <w:color w:val="4472C4"/>
              </w:rPr>
              <w:t xml:space="preserve"> Partnership confirms that there are concrete examples of substitution from FAME to HVO:</w:t>
            </w:r>
            <w:r w:rsidRPr="007C60AF">
              <w:rPr>
                <w:rStyle w:val="FootnoteReference"/>
                <w:rFonts w:eastAsia="Arial"/>
                <w:color w:val="4472C4"/>
              </w:rPr>
              <w:footnoteReference w:id="60"/>
            </w:r>
            <w:r w:rsidR="00130320" w:rsidRPr="007C60AF">
              <w:rPr>
                <w:rFonts w:eastAsia="Arial"/>
                <w:color w:val="4472C4"/>
              </w:rPr>
              <w:t xml:space="preserve"> </w:t>
            </w:r>
          </w:p>
          <w:p w14:paraId="6D799EF6" w14:textId="77777777" w:rsidR="00CD4A61" w:rsidRPr="007C60AF" w:rsidRDefault="00CD4A61"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6EFBFCAE" w14:textId="42FD00FF" w:rsidR="00CD4A61" w:rsidRPr="007C60AF" w:rsidRDefault="00130320" w:rsidP="00785EBF">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r w:rsidRPr="007C60AF">
              <w:rPr>
                <w:rFonts w:eastAsia="Arial"/>
                <w:color w:val="4472C4"/>
                <w:sz w:val="20"/>
                <w:szCs w:val="20"/>
              </w:rPr>
              <w:t>HVO entered the UK market as a low carbon commercial vehicle fuel later than biodiesel. This has resulted in some companies that were using pure biodiesel (B100) switching to HVO, Zemo is aware of two examples the London Borough of Hackney and Wolseley UK.</w:t>
            </w:r>
            <w:r w:rsidRPr="007C60AF">
              <w:rPr>
                <w:rFonts w:eastAsia="Arial"/>
                <w:color w:val="4472C4"/>
              </w:rPr>
              <w:t xml:space="preserve"> </w:t>
            </w:r>
          </w:p>
          <w:p w14:paraId="5109E53A" w14:textId="77777777" w:rsidR="00CD4A61" w:rsidRPr="007C60AF" w:rsidRDefault="00CD4A61"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D11E320" w14:textId="31D46AA9" w:rsidR="00CD4A61" w:rsidRPr="007C60AF" w:rsidRDefault="00130320" w:rsidP="00CD4A61">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Zemo Partnership also confirms, for example, that B20 and B30 stand alongside HVO in terms of UK fleet operators' routes to decarbonisation:</w:t>
            </w:r>
            <w:r w:rsidR="00CD4A61" w:rsidRPr="007C60AF">
              <w:rPr>
                <w:rStyle w:val="FootnoteReference"/>
                <w:rFonts w:eastAsia="Arial"/>
                <w:color w:val="4472C4"/>
              </w:rPr>
              <w:footnoteReference w:id="61"/>
            </w:r>
            <w:r w:rsidRPr="007C60AF">
              <w:rPr>
                <w:rFonts w:eastAsia="Arial"/>
                <w:color w:val="4472C4"/>
              </w:rPr>
              <w:t xml:space="preserve"> </w:t>
            </w:r>
          </w:p>
          <w:p w14:paraId="432E3ED7" w14:textId="77777777" w:rsidR="00CD4A61" w:rsidRPr="007C60AF" w:rsidRDefault="00CD4A61"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F" w14:textId="0140F078" w:rsidR="00416D85" w:rsidRPr="007C60AF" w:rsidRDefault="00130320"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r w:rsidRPr="007C60AF">
              <w:rPr>
                <w:rFonts w:eastAsia="Arial"/>
                <w:color w:val="4472C4"/>
                <w:sz w:val="20"/>
                <w:szCs w:val="20"/>
              </w:rPr>
              <w:t xml:space="preserve">Higher blends of biodiesel, mainly B20 and B30, and HVO (100%) are concurrently being deployed by fleet operators across the UK as a route to decarbonization. These fuels (higher blend biodiesel and HVO) comprise </w:t>
            </w:r>
            <w:r w:rsidR="008B7021" w:rsidRPr="007C60AF">
              <w:rPr>
                <w:color w:val="4472C4"/>
                <w:sz w:val="20"/>
                <w:szCs w:val="20"/>
              </w:rPr>
              <w:t>the main</w:t>
            </w:r>
            <w:r w:rsidRPr="007C60AF">
              <w:rPr>
                <w:rFonts w:eastAsia="Arial"/>
                <w:color w:val="4472C4"/>
                <w:sz w:val="20"/>
                <w:szCs w:val="20"/>
              </w:rPr>
              <w:t xml:space="preserve"> opportunity for further increasing the renewable proportion of transport fuel consumed in UK, which is an important Government objective.</w:t>
            </w:r>
          </w:p>
          <w:p w14:paraId="0000026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6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Higher blends of FAME represent a part of the market that has demonstrated incredible growth opportunity, as it is a promising route to achieving GHG savings and contributing to the UK Government's environmental objectives.</w:t>
            </w:r>
            <w:r w:rsidRPr="007C60AF">
              <w:rPr>
                <w:rFonts w:eastAsia="Arial"/>
                <w:color w:val="4472C4"/>
                <w:vertAlign w:val="superscript"/>
              </w:rPr>
              <w:footnoteReference w:id="62"/>
            </w:r>
            <w:r w:rsidRPr="007C60AF">
              <w:rPr>
                <w:rFonts w:eastAsia="Arial"/>
                <w:color w:val="4472C4"/>
                <w:vertAlign w:val="superscript"/>
              </w:rPr>
              <w:t xml:space="preserve"> </w:t>
            </w:r>
          </w:p>
          <w:p w14:paraId="0000026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Direction competition between HVO and FAME</w:t>
            </w:r>
          </w:p>
          <w:p w14:paraId="0000026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u w:val="single"/>
              </w:rPr>
            </w:pPr>
          </w:p>
          <w:p w14:paraId="0000026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u w:val="single"/>
              </w:rPr>
            </w:pPr>
            <w:r w:rsidRPr="007C60AF">
              <w:rPr>
                <w:rFonts w:eastAsia="Arial"/>
                <w:color w:val="4472C4"/>
              </w:rPr>
              <w:t>In addition to the above, please refer to the response to question A.3.5. below which further discusses how HVO and FAME directly compete in the same markets (being the B7 and higher blend markets), as they are interchangeable to meet RTFO objectives.</w:t>
            </w:r>
          </w:p>
        </w:tc>
      </w:tr>
    </w:tbl>
    <w:p w14:paraId="00000266" w14:textId="77777777" w:rsidR="00416D85" w:rsidRPr="007C60AF" w:rsidRDefault="00416D85">
      <w:pPr>
        <w:widowControl w:val="0"/>
        <w:pBdr>
          <w:top w:val="nil"/>
          <w:left w:val="nil"/>
          <w:bottom w:val="nil"/>
          <w:right w:val="nil"/>
          <w:between w:val="nil"/>
        </w:pBdr>
        <w:spacing w:after="0" w:line="276" w:lineRule="auto"/>
        <w:rPr>
          <w:rFonts w:eastAsia="Arial"/>
          <w:color w:val="4472C4"/>
          <w:u w:val="single"/>
        </w:rPr>
      </w:pP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0A5531A4" w14:textId="77777777">
        <w:tc>
          <w:tcPr>
            <w:tcW w:w="4508" w:type="dxa"/>
            <w:tcBorders>
              <w:top w:val="single" w:sz="4" w:space="0" w:color="FFFFFF"/>
              <w:left w:val="nil"/>
              <w:bottom w:val="nil"/>
              <w:right w:val="single" w:sz="4" w:space="0" w:color="000000"/>
            </w:tcBorders>
          </w:tcPr>
          <w:p w14:paraId="00000267" w14:textId="77777777" w:rsidR="00416D85" w:rsidRPr="007C60AF" w:rsidRDefault="00416D85">
            <w:pPr>
              <w:jc w:val="both"/>
            </w:pPr>
          </w:p>
        </w:tc>
        <w:tc>
          <w:tcPr>
            <w:tcW w:w="4508" w:type="dxa"/>
            <w:tcBorders>
              <w:left w:val="single" w:sz="4" w:space="0" w:color="000000"/>
            </w:tcBorders>
          </w:tcPr>
          <w:p w14:paraId="00000268" w14:textId="77777777" w:rsidR="00416D85" w:rsidRPr="007C60AF" w:rsidRDefault="00130320">
            <w:pPr>
              <w:jc w:val="both"/>
              <w:rPr>
                <w:color w:val="4472C4"/>
              </w:rPr>
            </w:pPr>
            <w:r w:rsidRPr="007C60AF">
              <w:t xml:space="preserve">Appendix reference: </w:t>
            </w:r>
            <w:r w:rsidRPr="007C60AF">
              <w:rPr>
                <w:color w:val="4472C4"/>
              </w:rPr>
              <w:t>A.1, A.3, A.4, A.5, A.6, A.7, A.8</w:t>
            </w:r>
          </w:p>
        </w:tc>
      </w:tr>
    </w:tbl>
    <w:p w14:paraId="00000269" w14:textId="77777777" w:rsidR="00416D85" w:rsidRPr="007C60AF" w:rsidRDefault="00416D85">
      <w:pPr>
        <w:pBdr>
          <w:top w:val="nil"/>
          <w:left w:val="nil"/>
          <w:bottom w:val="nil"/>
          <w:right w:val="nil"/>
          <w:between w:val="nil"/>
        </w:pBdr>
        <w:spacing w:after="0" w:line="276" w:lineRule="auto"/>
        <w:ind w:left="709"/>
        <w:jc w:val="both"/>
      </w:pPr>
    </w:p>
    <w:p w14:paraId="0000026A"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If the goods can be subdivided into separate models – provide details about each of the models, such as their product literature and technical documentation:</w:t>
      </w:r>
    </w:p>
    <w:tbl>
      <w:tblPr>
        <w:tblStyle w:val="ac"/>
        <w:tblW w:w="9016" w:type="dxa"/>
        <w:tblLayout w:type="fixed"/>
        <w:tblLook w:val="0400" w:firstRow="0" w:lastRow="0" w:firstColumn="0" w:lastColumn="0" w:noHBand="0" w:noVBand="1"/>
      </w:tblPr>
      <w:tblGrid>
        <w:gridCol w:w="9016"/>
      </w:tblGrid>
      <w:tr w:rsidR="00416D85" w:rsidRPr="007C60AF" w14:paraId="015E27E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26B" w14:textId="77777777" w:rsidR="00416D85" w:rsidRPr="007C60AF" w:rsidRDefault="00130320">
            <w:pPr>
              <w:jc w:val="both"/>
              <w:rPr>
                <w:color w:val="FF0000"/>
              </w:rPr>
            </w:pPr>
            <w:r w:rsidRPr="007C60AF">
              <w:rPr>
                <w:color w:val="4472C4"/>
              </w:rPr>
              <w:t>Not applicable.</w:t>
            </w:r>
          </w:p>
        </w:tc>
      </w:tr>
    </w:tbl>
    <w:p w14:paraId="0000026C" w14:textId="77777777" w:rsidR="00416D85" w:rsidRPr="007C60AF" w:rsidRDefault="00416D85">
      <w:pPr>
        <w:widowControl w:val="0"/>
        <w:pBdr>
          <w:top w:val="nil"/>
          <w:left w:val="nil"/>
          <w:bottom w:val="nil"/>
          <w:right w:val="nil"/>
          <w:between w:val="nil"/>
        </w:pBdr>
        <w:spacing w:after="0" w:line="276" w:lineRule="auto"/>
        <w:rPr>
          <w:color w:val="FF0000"/>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142DEC7D" w14:textId="77777777">
        <w:tc>
          <w:tcPr>
            <w:tcW w:w="4508" w:type="dxa"/>
            <w:tcBorders>
              <w:top w:val="single" w:sz="4" w:space="0" w:color="FFFFFF"/>
              <w:left w:val="nil"/>
              <w:bottom w:val="nil"/>
              <w:right w:val="single" w:sz="4" w:space="0" w:color="000000"/>
            </w:tcBorders>
          </w:tcPr>
          <w:p w14:paraId="0000026D" w14:textId="77777777" w:rsidR="00416D85" w:rsidRPr="007C60AF" w:rsidRDefault="00416D85">
            <w:pPr>
              <w:jc w:val="both"/>
            </w:pPr>
          </w:p>
        </w:tc>
        <w:tc>
          <w:tcPr>
            <w:tcW w:w="4508" w:type="dxa"/>
            <w:tcBorders>
              <w:left w:val="single" w:sz="4" w:space="0" w:color="000000"/>
            </w:tcBorders>
          </w:tcPr>
          <w:p w14:paraId="0000026E" w14:textId="77777777" w:rsidR="00416D85" w:rsidRPr="007C60AF" w:rsidRDefault="00130320">
            <w:pPr>
              <w:jc w:val="both"/>
              <w:rPr>
                <w:color w:val="4472C4"/>
              </w:rPr>
            </w:pPr>
            <w:r w:rsidRPr="007C60AF">
              <w:t xml:space="preserve">Appendix reference: </w:t>
            </w:r>
            <w:r w:rsidRPr="007C60AF">
              <w:rPr>
                <w:color w:val="4472C4"/>
              </w:rPr>
              <w:t>N/A</w:t>
            </w:r>
          </w:p>
        </w:tc>
      </w:tr>
    </w:tbl>
    <w:p w14:paraId="0000026F" w14:textId="77777777" w:rsidR="00416D85" w:rsidRPr="007C60AF" w:rsidRDefault="00416D85">
      <w:pPr>
        <w:jc w:val="both"/>
      </w:pPr>
    </w:p>
    <w:p w14:paraId="00000270"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Give the tariff classification of the goods (customs commodity code) – if there are multiple models, provide the customs commodity code for each model:</w:t>
      </w:r>
    </w:p>
    <w:tbl>
      <w:tblPr>
        <w:tblStyle w:val="ae"/>
        <w:tblW w:w="9016" w:type="dxa"/>
        <w:tblLayout w:type="fixed"/>
        <w:tblLook w:val="0400" w:firstRow="0" w:lastRow="0" w:firstColumn="0" w:lastColumn="0" w:noHBand="0" w:noVBand="1"/>
      </w:tblPr>
      <w:tblGrid>
        <w:gridCol w:w="9016"/>
      </w:tblGrid>
      <w:tr w:rsidR="00416D85" w:rsidRPr="007C60AF" w14:paraId="40D63EE5"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271" w14:textId="77777777" w:rsidR="00416D85" w:rsidRPr="007C60AF" w:rsidRDefault="00130320">
            <w:pPr>
              <w:jc w:val="both"/>
              <w:rPr>
                <w:i/>
                <w:color w:val="FF0000"/>
              </w:rPr>
            </w:pPr>
            <w:r w:rsidRPr="007C60AF">
              <w:rPr>
                <w:color w:val="4472C4"/>
              </w:rPr>
              <w:t>Please refer to the response to question A.1.3. above and Appendix A.2.</w:t>
            </w:r>
          </w:p>
        </w:tc>
      </w:tr>
    </w:tbl>
    <w:p w14:paraId="00000272" w14:textId="77777777" w:rsidR="00416D85" w:rsidRPr="007C60AF" w:rsidRDefault="00416D85">
      <w:pPr>
        <w:widowControl w:val="0"/>
        <w:pBdr>
          <w:top w:val="nil"/>
          <w:left w:val="nil"/>
          <w:bottom w:val="nil"/>
          <w:right w:val="nil"/>
          <w:between w:val="nil"/>
        </w:pBdr>
        <w:spacing w:after="0" w:line="276" w:lineRule="auto"/>
        <w:rPr>
          <w:i/>
          <w:color w:val="FF0000"/>
        </w:rPr>
      </w:pP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7637A11B" w14:textId="77777777">
        <w:tc>
          <w:tcPr>
            <w:tcW w:w="4508" w:type="dxa"/>
            <w:tcBorders>
              <w:top w:val="single" w:sz="4" w:space="0" w:color="FFFFFF"/>
              <w:left w:val="nil"/>
              <w:bottom w:val="nil"/>
              <w:right w:val="single" w:sz="4" w:space="0" w:color="000000"/>
            </w:tcBorders>
          </w:tcPr>
          <w:p w14:paraId="00000273" w14:textId="77777777" w:rsidR="00416D85" w:rsidRPr="007C60AF" w:rsidRDefault="00416D85">
            <w:pPr>
              <w:jc w:val="both"/>
            </w:pPr>
          </w:p>
        </w:tc>
        <w:tc>
          <w:tcPr>
            <w:tcW w:w="4508" w:type="dxa"/>
            <w:tcBorders>
              <w:left w:val="single" w:sz="4" w:space="0" w:color="000000"/>
            </w:tcBorders>
          </w:tcPr>
          <w:p w14:paraId="00000274" w14:textId="77777777" w:rsidR="00416D85" w:rsidRPr="007C60AF" w:rsidRDefault="00130320">
            <w:pPr>
              <w:jc w:val="both"/>
              <w:rPr>
                <w:color w:val="4472C4"/>
              </w:rPr>
            </w:pPr>
            <w:r w:rsidRPr="007C60AF">
              <w:t xml:space="preserve">Appendix reference: </w:t>
            </w:r>
            <w:r w:rsidRPr="007C60AF">
              <w:rPr>
                <w:color w:val="4472C4"/>
              </w:rPr>
              <w:t>A.2</w:t>
            </w:r>
          </w:p>
        </w:tc>
      </w:tr>
    </w:tbl>
    <w:p w14:paraId="00000275" w14:textId="77777777" w:rsidR="00416D85" w:rsidRPr="007C60AF" w:rsidRDefault="00416D85">
      <w:pPr>
        <w:jc w:val="both"/>
      </w:pPr>
    </w:p>
    <w:p w14:paraId="00000276"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Summarise the production process of the goods in the UK and in the exporting country/countries. Make sure you explain if there are different production processes within the UK and/or the exporting country/countries concerned:</w:t>
      </w:r>
    </w:p>
    <w:tbl>
      <w:tblPr>
        <w:tblStyle w:val="af0"/>
        <w:tblW w:w="9016" w:type="dxa"/>
        <w:tblLayout w:type="fixed"/>
        <w:tblLook w:val="0400" w:firstRow="0" w:lastRow="0" w:firstColumn="0" w:lastColumn="0" w:noHBand="0" w:noVBand="1"/>
      </w:tblPr>
      <w:tblGrid>
        <w:gridCol w:w="9016"/>
      </w:tblGrid>
      <w:tr w:rsidR="00416D85" w:rsidRPr="007C60AF" w14:paraId="687E35E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277"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In the UK Transition Reviews, the TRA concluded that:</w:t>
            </w:r>
            <w:r w:rsidRPr="007C60AF">
              <w:rPr>
                <w:rFonts w:eastAsia="Arial"/>
                <w:color w:val="4472C4"/>
                <w:vertAlign w:val="superscript"/>
              </w:rPr>
              <w:footnoteReference w:id="63"/>
            </w:r>
          </w:p>
          <w:p w14:paraId="0000027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 xml:space="preserve">FAME and HVO have different production processes. FAME is produced through the esterification process (the reaction of an alcohol with acid) while HVO is produced through the process of hydrotreatment (which uses hydrogen as the catalyst). FAME production requires other reagents, such as methanol, and produces glycerol as a by-product. During HVO production, hydrogen is used to remove oxygen from the vegetable oils. Due to the difference in production method, it is not possible to have a production plant that can produce both FAME and HVO. In the production of the goods identical feedstocks can be used for both products and the end product </w:t>
            </w:r>
            <w:proofErr w:type="gramStart"/>
            <w:r w:rsidRPr="007C60AF">
              <w:rPr>
                <w:rFonts w:eastAsia="Arial"/>
                <w:color w:val="4472C4"/>
                <w:sz w:val="20"/>
                <w:szCs w:val="20"/>
              </w:rPr>
              <w:t>is</w:t>
            </w:r>
            <w:proofErr w:type="gramEnd"/>
            <w:r w:rsidRPr="007C60AF">
              <w:rPr>
                <w:rFonts w:eastAsia="Arial"/>
                <w:color w:val="4472C4"/>
                <w:sz w:val="20"/>
                <w:szCs w:val="20"/>
              </w:rPr>
              <w:t xml:space="preserve"> odourless, however their chemical composition, other inputs and by-products differ.</w:t>
            </w:r>
          </w:p>
          <w:p w14:paraId="0000027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7B"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do not dispute the TRA's conclusion, however for the purposes of clarification the Applicants note that: (i) the role of hydrogen has other functions as well as that of a catalyst; and (ii) HVO producers increasingly do not use vegetable oils as much as waste oils. The Applicants detail the different processes to produce HVO and FAME below. As confirmed by the TRA, the WTO and the EU, HVO and FAME are like goods despite their different production processes. </w:t>
            </w:r>
          </w:p>
          <w:p w14:paraId="0000027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7D" w14:textId="77777777" w:rsidR="00416D85" w:rsidRPr="007C60AF" w:rsidRDefault="00130320">
            <w:pPr>
              <w:numPr>
                <w:ilvl w:val="6"/>
                <w:numId w:val="37"/>
              </w:numPr>
              <w:pBdr>
                <w:top w:val="nil"/>
                <w:left w:val="nil"/>
                <w:bottom w:val="nil"/>
                <w:right w:val="nil"/>
                <w:between w:val="nil"/>
              </w:pBdr>
              <w:spacing w:line="276" w:lineRule="auto"/>
              <w:jc w:val="both"/>
              <w:rPr>
                <w:rFonts w:eastAsia="Arial"/>
                <w:color w:val="4472C4"/>
              </w:rPr>
            </w:pPr>
            <w:r w:rsidRPr="007C60AF">
              <w:rPr>
                <w:rFonts w:eastAsia="Arial"/>
                <w:color w:val="4472C4"/>
              </w:rPr>
              <w:t>This response is structured as follows:</w:t>
            </w:r>
          </w:p>
          <w:p w14:paraId="0000027E" w14:textId="77777777" w:rsidR="00416D85" w:rsidRPr="007C60AF" w:rsidRDefault="00130320">
            <w:pPr>
              <w:numPr>
                <w:ilvl w:val="0"/>
                <w:numId w:val="22"/>
              </w:numPr>
              <w:pBdr>
                <w:top w:val="nil"/>
                <w:left w:val="nil"/>
                <w:bottom w:val="nil"/>
                <w:right w:val="nil"/>
                <w:between w:val="nil"/>
              </w:pBdr>
              <w:spacing w:before="240" w:after="0"/>
              <w:jc w:val="both"/>
              <w:rPr>
                <w:rFonts w:eastAsia="Arial"/>
                <w:color w:val="4472C4"/>
                <w:sz w:val="20"/>
                <w:szCs w:val="20"/>
              </w:rPr>
            </w:pPr>
            <w:r w:rsidRPr="007C60AF">
              <w:rPr>
                <w:rFonts w:eastAsia="Arial"/>
                <w:b/>
                <w:color w:val="4472C4"/>
              </w:rPr>
              <w:t>Part I</w:t>
            </w:r>
            <w:r w:rsidRPr="007C60AF">
              <w:rPr>
                <w:rFonts w:eastAsia="Arial"/>
                <w:color w:val="4472C4"/>
              </w:rPr>
              <w:t xml:space="preserve"> sets out the production process of FAME. </w:t>
            </w:r>
          </w:p>
          <w:p w14:paraId="0000027F" w14:textId="77777777" w:rsidR="00416D85" w:rsidRPr="007C60AF" w:rsidRDefault="00130320">
            <w:pPr>
              <w:numPr>
                <w:ilvl w:val="0"/>
                <w:numId w:val="22"/>
              </w:numPr>
              <w:pBdr>
                <w:top w:val="nil"/>
                <w:left w:val="nil"/>
                <w:bottom w:val="nil"/>
                <w:right w:val="nil"/>
                <w:between w:val="nil"/>
              </w:pBdr>
              <w:spacing w:before="240" w:after="0"/>
              <w:jc w:val="both"/>
              <w:rPr>
                <w:rFonts w:eastAsia="Arial"/>
                <w:color w:val="4472C4"/>
                <w:sz w:val="20"/>
                <w:szCs w:val="20"/>
              </w:rPr>
            </w:pPr>
            <w:r w:rsidRPr="007C60AF">
              <w:rPr>
                <w:rFonts w:eastAsia="Arial"/>
                <w:b/>
                <w:color w:val="4472C4"/>
              </w:rPr>
              <w:lastRenderedPageBreak/>
              <w:t>Part II</w:t>
            </w:r>
            <w:r w:rsidRPr="007C60AF">
              <w:rPr>
                <w:rFonts w:eastAsia="Arial"/>
                <w:color w:val="4472C4"/>
              </w:rPr>
              <w:t xml:space="preserve"> sets out the production process of HVO.</w:t>
            </w:r>
          </w:p>
          <w:p w14:paraId="00000280" w14:textId="77777777" w:rsidR="00416D85" w:rsidRPr="007C60AF" w:rsidRDefault="00130320">
            <w:pPr>
              <w:numPr>
                <w:ilvl w:val="0"/>
                <w:numId w:val="22"/>
              </w:numPr>
              <w:pBdr>
                <w:top w:val="nil"/>
                <w:left w:val="nil"/>
                <w:bottom w:val="nil"/>
                <w:right w:val="nil"/>
                <w:between w:val="nil"/>
              </w:pBdr>
              <w:spacing w:before="240" w:after="0"/>
              <w:jc w:val="both"/>
              <w:rPr>
                <w:rFonts w:eastAsia="Arial"/>
                <w:color w:val="4472C4"/>
              </w:rPr>
            </w:pPr>
            <w:r w:rsidRPr="007C60AF">
              <w:rPr>
                <w:rFonts w:eastAsia="Arial"/>
                <w:b/>
                <w:color w:val="4472C4"/>
              </w:rPr>
              <w:t>Part III</w:t>
            </w:r>
            <w:r w:rsidRPr="007C60AF">
              <w:rPr>
                <w:rFonts w:eastAsia="Arial"/>
                <w:color w:val="4472C4"/>
              </w:rPr>
              <w:t xml:space="preserve"> discusses the similarities and differences between the production processes.</w:t>
            </w:r>
          </w:p>
          <w:p w14:paraId="0000028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82" w14:textId="77777777" w:rsidR="00416D85" w:rsidRPr="007C60AF" w:rsidRDefault="00130320">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Production process of FAME</w:t>
            </w:r>
          </w:p>
          <w:p w14:paraId="0000028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8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9" w:name="_heading=h.2et5ws8v0ee" w:colFirst="0" w:colLast="0"/>
            <w:bookmarkEnd w:id="19"/>
            <w:r w:rsidRPr="007C60AF">
              <w:rPr>
                <w:rFonts w:eastAsia="Arial"/>
                <w:color w:val="4472C4"/>
              </w:rPr>
              <w:t>A diagram of the FAME production process is set out below:</w:t>
            </w:r>
          </w:p>
          <w:p w14:paraId="0000028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[SENSITIVE – INFORMATION ABOUT OPERATIONS OF ONE OR MORE UK PRODUCERS]</w:t>
            </w:r>
          </w:p>
          <w:p w14:paraId="0000028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8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FAME is produced via transesterification of triglyceride feedstocks such as vegetable oils, animal fats, used cooking oil ("</w:t>
            </w:r>
            <w:r w:rsidRPr="007C60AF">
              <w:rPr>
                <w:rFonts w:eastAsia="Arial"/>
                <w:b/>
                <w:color w:val="4472C4"/>
              </w:rPr>
              <w:t>UCO</w:t>
            </w:r>
            <w:r w:rsidRPr="007C60AF">
              <w:rPr>
                <w:rFonts w:eastAsia="Arial"/>
                <w:color w:val="4472C4"/>
              </w:rPr>
              <w:t>"), greases and other fats and oils. Transesterification converts the oils, fats and/or greases into long-chain mono-alkyl esters. The esters are commonly referred to as "fatty acid methyl esters" (FAME) when methanol is used in the transesterification reaction. While methanol is most common, production from other alcohols is possible. For example, when ethanol is used, this results in "fatty acid ethyl esters" (FAEE). Providing a simplified example: 100 pounds of oil, fat, and/or grease is reacted with 10 pounds of alcohol, in the presence of a catalyst (usually sodium or potassium methoxide) to form 100 pounds of biodiesel and 10 pounds of glycerine (or glycerol).</w:t>
            </w:r>
            <w:r w:rsidRPr="007C60AF">
              <w:rPr>
                <w:rFonts w:eastAsia="Arial"/>
                <w:color w:val="4472C4"/>
                <w:vertAlign w:val="superscript"/>
              </w:rPr>
              <w:footnoteReference w:id="64"/>
            </w:r>
            <w:r w:rsidRPr="007C60AF">
              <w:rPr>
                <w:rFonts w:eastAsia="Arial"/>
                <w:color w:val="4472C4"/>
                <w:vertAlign w:val="superscript"/>
              </w:rPr>
              <w:t xml:space="preserve"> </w:t>
            </w:r>
          </w:p>
          <w:p w14:paraId="0000028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8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most value-added process occurs during the transesterification and distillation stages. The raw material waste oils first go through a pre-esterification stage followed by double transesterification. Finally, the crude FAME passes through distillation to maximise the purity. The process of transesterification is a relatively basic one. The complex part is the management of the materials and the reactions. If clean vegetable oils are used such as soybean oil or rapeseed oil, there is not much contamination so the reactions can be thorough. The completeness of the reaction may be measured by the level of esters in the final biodiesel. Waste feedstocks are more complex because of the variability and unknown nature of it. Waste-based plants may require the waste oil to be pre-treated and cleaned up. Some also use distillation to ensure the final product is pure and with a high ester level. By-products are drawn off the material throughout the process as part of the purification. Glycerine and potassium sulphate are removed. Methanol is also distilled and re-used.</w:t>
            </w:r>
          </w:p>
          <w:p w14:paraId="0000028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8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By-products of the process are:</w:t>
            </w:r>
          </w:p>
          <w:p w14:paraId="0000028D" w14:textId="77777777" w:rsidR="00416D85" w:rsidRPr="007C60AF" w:rsidRDefault="00130320">
            <w:pPr>
              <w:numPr>
                <w:ilvl w:val="0"/>
                <w:numId w:val="18"/>
              </w:numPr>
              <w:pBdr>
                <w:top w:val="nil"/>
                <w:left w:val="nil"/>
                <w:bottom w:val="nil"/>
                <w:right w:val="nil"/>
                <w:between w:val="nil"/>
              </w:pBdr>
              <w:spacing w:before="240" w:after="0"/>
              <w:jc w:val="both"/>
              <w:rPr>
                <w:rFonts w:eastAsia="Arial"/>
                <w:color w:val="4472C4"/>
              </w:rPr>
            </w:pPr>
            <w:proofErr w:type="gramStart"/>
            <w:r w:rsidRPr="007C60AF">
              <w:rPr>
                <w:rFonts w:eastAsia="Arial"/>
                <w:color w:val="4472C4"/>
              </w:rPr>
              <w:t>Bio Fuel</w:t>
            </w:r>
            <w:proofErr w:type="gramEnd"/>
            <w:r w:rsidRPr="007C60AF">
              <w:rPr>
                <w:rFonts w:eastAsia="Arial"/>
                <w:color w:val="4472C4"/>
              </w:rPr>
              <w:t xml:space="preserve"> Oil: The heavy fraction of the distillation process (required for purification when processing highly degraded wastes). This is </w:t>
            </w:r>
            <w:proofErr w:type="gramStart"/>
            <w:r w:rsidRPr="007C60AF">
              <w:rPr>
                <w:rFonts w:eastAsia="Arial"/>
                <w:color w:val="4472C4"/>
              </w:rPr>
              <w:t>similar to</w:t>
            </w:r>
            <w:proofErr w:type="gramEnd"/>
            <w:r w:rsidRPr="007C60AF">
              <w:rPr>
                <w:rFonts w:eastAsia="Arial"/>
                <w:color w:val="4472C4"/>
              </w:rPr>
              <w:t xml:space="preserve"> heavy fuel oils and can be burned for power or heat. It may also be modified for use on a marine engine.</w:t>
            </w:r>
          </w:p>
          <w:p w14:paraId="0000028E" w14:textId="77777777" w:rsidR="00416D85" w:rsidRPr="007C60AF" w:rsidRDefault="00130320">
            <w:pPr>
              <w:numPr>
                <w:ilvl w:val="0"/>
                <w:numId w:val="18"/>
              </w:numPr>
              <w:pBdr>
                <w:top w:val="nil"/>
                <w:left w:val="nil"/>
                <w:bottom w:val="nil"/>
                <w:right w:val="nil"/>
                <w:between w:val="nil"/>
              </w:pBdr>
              <w:spacing w:before="240" w:after="0"/>
              <w:jc w:val="both"/>
              <w:rPr>
                <w:rFonts w:eastAsia="Arial"/>
                <w:color w:val="4472C4"/>
              </w:rPr>
            </w:pPr>
            <w:r w:rsidRPr="007C60AF">
              <w:rPr>
                <w:rFonts w:eastAsia="Arial"/>
                <w:color w:val="4472C4"/>
              </w:rPr>
              <w:t>Glycerine: Purified glycerol can be used in food, cosmetic, and oleochemical industries. The glycerol can also be used as a feedstock for anaerobic digestion.</w:t>
            </w:r>
            <w:r w:rsidRPr="007C60AF">
              <w:rPr>
                <w:rFonts w:eastAsia="Arial"/>
                <w:color w:val="4472C4"/>
                <w:vertAlign w:val="superscript"/>
              </w:rPr>
              <w:footnoteReference w:id="65"/>
            </w:r>
          </w:p>
          <w:p w14:paraId="0000028F" w14:textId="77777777" w:rsidR="00416D85" w:rsidRPr="007C60AF" w:rsidRDefault="00130320">
            <w:pPr>
              <w:numPr>
                <w:ilvl w:val="0"/>
                <w:numId w:val="18"/>
              </w:numPr>
              <w:pBdr>
                <w:top w:val="nil"/>
                <w:left w:val="nil"/>
                <w:bottom w:val="nil"/>
                <w:right w:val="nil"/>
                <w:between w:val="nil"/>
              </w:pBdr>
              <w:spacing w:before="240" w:after="0"/>
              <w:jc w:val="both"/>
              <w:rPr>
                <w:rFonts w:eastAsia="Arial"/>
                <w:color w:val="4472C4"/>
              </w:rPr>
            </w:pPr>
            <w:r w:rsidRPr="007C60AF">
              <w:rPr>
                <w:rFonts w:eastAsia="Arial"/>
                <w:color w:val="4472C4"/>
              </w:rPr>
              <w:t>K</w:t>
            </w:r>
            <w:r w:rsidRPr="007C60AF">
              <w:rPr>
                <w:rFonts w:eastAsia="Arial"/>
                <w:color w:val="4472C4"/>
                <w:vertAlign w:val="subscript"/>
              </w:rPr>
              <w:t>2</w:t>
            </w:r>
            <w:r w:rsidRPr="007C60AF">
              <w:rPr>
                <w:rFonts w:eastAsia="Arial"/>
                <w:color w:val="4472C4"/>
              </w:rPr>
              <w:t>SO</w:t>
            </w:r>
            <w:r w:rsidRPr="007C60AF">
              <w:rPr>
                <w:rFonts w:eastAsia="Arial"/>
                <w:color w:val="4472C4"/>
                <w:vertAlign w:val="subscript"/>
              </w:rPr>
              <w:t>4</w:t>
            </w:r>
            <w:r w:rsidRPr="007C60AF">
              <w:rPr>
                <w:rFonts w:eastAsia="Arial"/>
                <w:color w:val="4472C4"/>
              </w:rPr>
              <w:t xml:space="preserve">, fertiliser: Potassium sulphate goes to agriculture. </w:t>
            </w:r>
          </w:p>
          <w:p w14:paraId="0000029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bookmarkStart w:id="20" w:name="_heading=h.jz50w27jgqc" w:colFirst="0" w:colLast="0"/>
            <w:bookmarkEnd w:id="20"/>
            <w:r w:rsidRPr="007C60AF">
              <w:rPr>
                <w:rFonts w:eastAsia="Arial"/>
                <w:color w:val="4472C4"/>
              </w:rPr>
              <w:t>FAME is frequently, but not always, sub-categorised according to the type of feedstock used, i.e.: Tallow Methyl Ester (TME), Rape Seed Methyl Ester (RME), Soybean Methyl Ester (SME), Palm Oil Methyl Ester (PME) and Used Cooking Oils Methyl Ester ("</w:t>
            </w:r>
            <w:r w:rsidRPr="007C60AF">
              <w:rPr>
                <w:rFonts w:eastAsia="Arial"/>
                <w:b/>
                <w:color w:val="4472C4"/>
              </w:rPr>
              <w:t>UCOME</w:t>
            </w:r>
            <w:r w:rsidRPr="007C60AF">
              <w:rPr>
                <w:rFonts w:eastAsia="Arial"/>
                <w:color w:val="4472C4"/>
              </w:rPr>
              <w:t>").</w:t>
            </w:r>
            <w:r w:rsidRPr="007C60AF">
              <w:rPr>
                <w:rFonts w:eastAsia="Arial"/>
                <w:color w:val="4472C4"/>
                <w:vertAlign w:val="superscript"/>
              </w:rPr>
              <w:footnoteReference w:id="66"/>
            </w:r>
            <w:r w:rsidRPr="007C60AF">
              <w:rPr>
                <w:rFonts w:eastAsia="Arial"/>
                <w:color w:val="4472C4"/>
              </w:rPr>
              <w:t xml:space="preserve"> They all fundamentally fall within the EN 14214:2019 category of biodiesel but with some differing characteristics of the specification. Relying on this sub-categorisation is, however, not always helpful as some biodiesel from feedstock types such as Brown Grease or FOG (fats oils and greases from the sewer network) is infrequently referred to with the feedstock and simply called FAME.</w:t>
            </w:r>
          </w:p>
          <w:p w14:paraId="0000029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2" w14:textId="77777777" w:rsidR="00416D85" w:rsidRPr="007C60AF" w:rsidRDefault="00130320">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Production process of HVO</w:t>
            </w:r>
          </w:p>
          <w:p w14:paraId="0000029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94"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HVO is a type of biodiesel produced from vegetable oils and animal fats (triglycerides) through hydrocracking (using hydrogen to break down larger molecules into smaller ones) or hydrogenation (adding hydrogen to the molecules). Hydrotreating (also known as hydro-processing) is the process of reacting the feedstocks consisting of triglycerides and/or fatty acids with hydrogen at high temperatures and pressures to remove oxygen. This produces straight-chained hydrocarbons (paraffins) with varying properties and molecular size depending on the feedstock characteristics and the process conditions. The conversion usually takes place in two stages: hydrotreatment followed by hydrocracking/isomerisation. For treatment of triglycerides, propane is a typical by-product.</w:t>
            </w:r>
            <w:r w:rsidRPr="007C60AF">
              <w:rPr>
                <w:rFonts w:eastAsia="Arial"/>
                <w:color w:val="4472C4"/>
                <w:vertAlign w:val="superscript"/>
              </w:rPr>
              <w:footnoteReference w:id="67"/>
            </w:r>
            <w:r w:rsidRPr="007C60AF">
              <w:rPr>
                <w:rFonts w:eastAsia="Arial"/>
                <w:color w:val="4472C4"/>
              </w:rPr>
              <w:t xml:space="preserve"> Please see below for a simplified process scheme for the two stages:</w:t>
            </w:r>
            <w:r w:rsidRPr="007C60AF">
              <w:rPr>
                <w:rFonts w:eastAsia="Arial"/>
                <w:color w:val="4472C4"/>
                <w:vertAlign w:val="superscript"/>
              </w:rPr>
              <w:footnoteReference w:id="68"/>
            </w:r>
          </w:p>
          <w:p w14:paraId="00000295"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96" w14:textId="77777777" w:rsidR="00416D85" w:rsidRPr="007C60AF" w:rsidRDefault="00130320">
            <w:pPr>
              <w:pBdr>
                <w:top w:val="nil"/>
                <w:left w:val="nil"/>
                <w:bottom w:val="nil"/>
                <w:right w:val="nil"/>
                <w:between w:val="nil"/>
              </w:pBdr>
              <w:spacing w:after="0" w:line="276" w:lineRule="auto"/>
              <w:jc w:val="both"/>
              <w:rPr>
                <w:rFonts w:eastAsia="Arial"/>
                <w:color w:val="4472C4"/>
              </w:rPr>
            </w:pPr>
            <w:r w:rsidRPr="007C60AF">
              <w:rPr>
                <w:rFonts w:eastAsia="Arial"/>
                <w:noProof/>
                <w:color w:val="000000"/>
              </w:rPr>
              <w:drawing>
                <wp:inline distT="0" distB="0" distL="0" distR="0" wp14:anchorId="351D5366" wp14:editId="41153A16">
                  <wp:extent cx="4962822" cy="2903135"/>
                  <wp:effectExtent l="0" t="0" r="0" b="0"/>
                  <wp:docPr id="21467316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962822" cy="2903135"/>
                          </a:xfrm>
                          <a:prstGeom prst="rect">
                            <a:avLst/>
                          </a:prstGeom>
                          <a:ln/>
                        </pic:spPr>
                      </pic:pic>
                    </a:graphicData>
                  </a:graphic>
                </wp:inline>
              </w:drawing>
            </w:r>
          </w:p>
          <w:p w14:paraId="0000029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HVO can be produced using several production processes. In the US the most common process is hydrotreating, which is described above.</w:t>
            </w:r>
            <w:r w:rsidRPr="007C60AF">
              <w:rPr>
                <w:rFonts w:eastAsia="Arial"/>
                <w:color w:val="4472C4"/>
                <w:vertAlign w:val="superscript"/>
              </w:rPr>
              <w:footnoteReference w:id="69"/>
            </w:r>
          </w:p>
          <w:p w14:paraId="0000029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diesel received from co-processing (with feedstock containing 5-10% bio and the remaining 90-95% being crude oil) can theoretically satisfy the EN 15940:2023 standard specification (Class B), but it cannot be referred to as biodiesel.</w:t>
            </w:r>
          </w:p>
          <w:p w14:paraId="0000029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HVO process can also be adapted to produce HEFA (Hydro-processed Esters and Fatty Acids), which is a Synthetic Blend Component (SBC) for SAF.</w:t>
            </w:r>
            <w:r w:rsidRPr="007C60AF">
              <w:rPr>
                <w:rFonts w:eastAsia="Arial"/>
                <w:color w:val="4472C4"/>
                <w:vertAlign w:val="superscript"/>
              </w:rPr>
              <w:footnoteReference w:id="70"/>
            </w:r>
            <w:r w:rsidRPr="007C60AF">
              <w:rPr>
                <w:rFonts w:eastAsia="Arial"/>
                <w:color w:val="4472C4"/>
                <w:vertAlign w:val="superscript"/>
              </w:rPr>
              <w:t xml:space="preserve"> </w:t>
            </w:r>
          </w:p>
          <w:p w14:paraId="0000029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There is currently no HVO production in the UK, as investment costs are high due to the size, expense and refinery infrastructure required and these investments are not commercially viable given the very high levels of cheap imports from the US and China. </w:t>
            </w:r>
          </w:p>
          <w:p w14:paraId="0000029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A0" w14:textId="77777777" w:rsidR="00416D85" w:rsidRPr="007C60AF" w:rsidRDefault="00130320">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Comparison between production processes</w:t>
            </w:r>
          </w:p>
          <w:p w14:paraId="000002A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A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lastRenderedPageBreak/>
              <w:t xml:space="preserve">The diagram below shows a simplified scheme of the esterification process used </w:t>
            </w:r>
            <w:proofErr w:type="gramStart"/>
            <w:r w:rsidRPr="007C60AF">
              <w:rPr>
                <w:rFonts w:eastAsia="Arial"/>
                <w:color w:val="4472C4"/>
              </w:rPr>
              <w:t>for the production of</w:t>
            </w:r>
            <w:proofErr w:type="gramEnd"/>
            <w:r w:rsidRPr="007C60AF">
              <w:rPr>
                <w:rFonts w:eastAsia="Arial"/>
                <w:color w:val="4472C4"/>
              </w:rPr>
              <w:t xml:space="preserve"> FAME and the hydrotreatment process used for the production of HVO:</w:t>
            </w:r>
            <w:r w:rsidRPr="007C60AF">
              <w:rPr>
                <w:rFonts w:eastAsia="Arial"/>
                <w:color w:val="4472C4"/>
                <w:vertAlign w:val="superscript"/>
              </w:rPr>
              <w:footnoteReference w:id="71"/>
            </w:r>
          </w:p>
          <w:p w14:paraId="000002A3" w14:textId="77777777" w:rsidR="00416D85" w:rsidRPr="007C60AF" w:rsidRDefault="00130320">
            <w:pPr>
              <w:jc w:val="both"/>
              <w:rPr>
                <w:color w:val="4472C4"/>
              </w:rPr>
            </w:pPr>
            <w:r w:rsidRPr="007C60AF">
              <w:rPr>
                <w:noProof/>
                <w:color w:val="4472C4"/>
              </w:rPr>
              <w:drawing>
                <wp:inline distT="0" distB="0" distL="0" distR="0" wp14:anchorId="66622326" wp14:editId="5DEB5BBE">
                  <wp:extent cx="5731510" cy="2600325"/>
                  <wp:effectExtent l="0" t="0" r="0" b="0"/>
                  <wp:docPr id="2146731696" name="image5.png" descr="A diagram of a chemical rea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diagram of a chemical reaction&#10;&#10;Description automatically generated"/>
                          <pic:cNvPicPr preferRelativeResize="0"/>
                        </pic:nvPicPr>
                        <pic:blipFill>
                          <a:blip r:embed="rId23"/>
                          <a:srcRect/>
                          <a:stretch>
                            <a:fillRect/>
                          </a:stretch>
                        </pic:blipFill>
                        <pic:spPr>
                          <a:xfrm>
                            <a:off x="0" y="0"/>
                            <a:ext cx="5731510" cy="2600325"/>
                          </a:xfrm>
                          <a:prstGeom prst="rect">
                            <a:avLst/>
                          </a:prstGeom>
                          <a:ln/>
                        </pic:spPr>
                      </pic:pic>
                    </a:graphicData>
                  </a:graphic>
                </wp:inline>
              </w:drawing>
            </w:r>
          </w:p>
          <w:p w14:paraId="000002A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A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It is important to understand that biodiesel can be produced from many different feedstocks, from edible oil feedstocks such as rapeseed oil, sunflower oil, soybean oil and palm oil, waste such as UCO and animal fats, to various types of non-food biomass such as the biogenic component of used tyres.</w:t>
            </w:r>
            <w:r w:rsidRPr="007C60AF">
              <w:rPr>
                <w:rFonts w:eastAsia="Arial"/>
                <w:color w:val="4472C4"/>
                <w:vertAlign w:val="superscript"/>
              </w:rPr>
              <w:footnoteReference w:id="72"/>
            </w:r>
            <w:r w:rsidRPr="007C60AF">
              <w:rPr>
                <w:rFonts w:eastAsia="Arial"/>
                <w:color w:val="4472C4"/>
                <w:vertAlign w:val="superscript"/>
              </w:rPr>
              <w:t xml:space="preserve"> </w:t>
            </w:r>
            <w:r w:rsidRPr="007C60AF">
              <w:rPr>
                <w:rFonts w:eastAsia="Arial"/>
                <w:color w:val="4472C4"/>
              </w:rPr>
              <w:t xml:space="preserve">The same feedstocks can be used </w:t>
            </w:r>
            <w:proofErr w:type="gramStart"/>
            <w:r w:rsidRPr="007C60AF">
              <w:rPr>
                <w:rFonts w:eastAsia="Arial"/>
                <w:color w:val="4472C4"/>
              </w:rPr>
              <w:t>for the production of</w:t>
            </w:r>
            <w:proofErr w:type="gramEnd"/>
            <w:r w:rsidRPr="007C60AF">
              <w:rPr>
                <w:rFonts w:eastAsia="Arial"/>
                <w:color w:val="4472C4"/>
              </w:rPr>
              <w:t xml:space="preserve"> HVO and FAME. </w:t>
            </w:r>
          </w:p>
          <w:p w14:paraId="000002A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A7"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In the UK feedstocks are sourced domestically and imported. Feedstocks represent approximately </w:t>
            </w:r>
            <w:r w:rsidRPr="007C60AF">
              <w:rPr>
                <w:rFonts w:eastAsia="Arial"/>
                <w:b/>
                <w:color w:val="4472C4"/>
              </w:rPr>
              <w:t>[75-90]</w:t>
            </w:r>
            <w:r w:rsidRPr="007C60AF">
              <w:rPr>
                <w:rFonts w:eastAsia="Arial"/>
                <w:color w:val="4472C4"/>
              </w:rPr>
              <w:t>% of production costs in the FAME process.</w:t>
            </w:r>
            <w:r w:rsidRPr="007C60AF">
              <w:rPr>
                <w:rFonts w:eastAsia="Arial"/>
                <w:color w:val="4472C4"/>
                <w:vertAlign w:val="superscript"/>
              </w:rPr>
              <w:footnoteReference w:id="73"/>
            </w:r>
            <w:r w:rsidRPr="007C60AF">
              <w:rPr>
                <w:rFonts w:eastAsia="Arial"/>
                <w:color w:val="4472C4"/>
              </w:rPr>
              <w:t xml:space="preserve"> </w:t>
            </w:r>
          </w:p>
          <w:p w14:paraId="000002A8"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2A9"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bookmarkStart w:id="21" w:name="_heading=h.cgf3csdw6p5" w:colFirst="0" w:colLast="0"/>
            <w:bookmarkEnd w:id="21"/>
            <w:r w:rsidRPr="007C60AF">
              <w:rPr>
                <w:rFonts w:eastAsia="Arial"/>
                <w:color w:val="4472C4"/>
              </w:rPr>
              <w:t>The three UK producers of FAME (</w:t>
            </w:r>
            <w:proofErr w:type="spellStart"/>
            <w:r w:rsidRPr="007C60AF">
              <w:rPr>
                <w:rFonts w:eastAsia="Arial"/>
                <w:color w:val="4472C4"/>
              </w:rPr>
              <w:t>Greenergy</w:t>
            </w:r>
            <w:proofErr w:type="spellEnd"/>
            <w:r w:rsidRPr="007C60AF">
              <w:rPr>
                <w:rFonts w:eastAsia="Arial"/>
                <w:color w:val="4472C4"/>
              </w:rPr>
              <w:t xml:space="preserve">, Argent and </w:t>
            </w:r>
            <w:proofErr w:type="spellStart"/>
            <w:r w:rsidRPr="007C60AF">
              <w:rPr>
                <w:rFonts w:eastAsia="Arial"/>
                <w:color w:val="4472C4"/>
              </w:rPr>
              <w:t>Olleco</w:t>
            </w:r>
            <w:proofErr w:type="spellEnd"/>
            <w:r w:rsidRPr="007C60AF">
              <w:rPr>
                <w:rFonts w:eastAsia="Arial"/>
                <w:color w:val="4472C4"/>
              </w:rPr>
              <w:t xml:space="preserve">) all use waste-based feedstocks in their plants. </w:t>
            </w:r>
            <w:proofErr w:type="spellStart"/>
            <w:r w:rsidRPr="007C60AF">
              <w:rPr>
                <w:rFonts w:eastAsia="Arial"/>
                <w:color w:val="4472C4"/>
              </w:rPr>
              <w:t>Greenergy</w:t>
            </w:r>
            <w:proofErr w:type="spellEnd"/>
            <w:r w:rsidRPr="007C60AF">
              <w:rPr>
                <w:rFonts w:eastAsia="Arial"/>
                <w:color w:val="4472C4"/>
              </w:rPr>
              <w:t xml:space="preserve"> and </w:t>
            </w:r>
            <w:proofErr w:type="spellStart"/>
            <w:r w:rsidRPr="007C60AF">
              <w:rPr>
                <w:rFonts w:eastAsia="Arial"/>
                <w:color w:val="4472C4"/>
              </w:rPr>
              <w:t>Olleco</w:t>
            </w:r>
            <w:proofErr w:type="spellEnd"/>
            <w:r w:rsidRPr="007C60AF">
              <w:rPr>
                <w:rFonts w:eastAsia="Arial"/>
                <w:color w:val="4472C4"/>
              </w:rPr>
              <w:t xml:space="preserve"> use UCO, whereas Argent uses brown grease and tallow.</w:t>
            </w:r>
          </w:p>
          <w:p w14:paraId="000002AA"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AB"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lastRenderedPageBreak/>
              <w:t xml:space="preserve">Furthermore, the RTFO statistics indicate that the main feedstocks used </w:t>
            </w:r>
            <w:proofErr w:type="gramStart"/>
            <w:r w:rsidRPr="007C60AF">
              <w:rPr>
                <w:rFonts w:eastAsia="Arial"/>
                <w:color w:val="4472C4"/>
              </w:rPr>
              <w:t>for the production of</w:t>
            </w:r>
            <w:proofErr w:type="gramEnd"/>
            <w:r w:rsidRPr="007C60AF">
              <w:rPr>
                <w:rFonts w:eastAsia="Arial"/>
                <w:color w:val="4472C4"/>
              </w:rPr>
              <w:t xml:space="preserve"> FAME in 2022 were UCO, brown grease, soy and other. These statistics are shown on a consumption basis.</w:t>
            </w:r>
            <w:r w:rsidRPr="007C60AF">
              <w:rPr>
                <w:rFonts w:eastAsia="Arial"/>
                <w:color w:val="4472C4"/>
                <w:vertAlign w:val="superscript"/>
              </w:rPr>
              <w:footnoteReference w:id="74"/>
            </w:r>
            <w:r w:rsidRPr="007C60AF">
              <w:rPr>
                <w:rFonts w:eastAsia="Arial"/>
                <w:color w:val="4472C4"/>
                <w:vertAlign w:val="superscript"/>
              </w:rPr>
              <w:t xml:space="preserve"> </w:t>
            </w:r>
          </w:p>
          <w:p w14:paraId="000002A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A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the US, </w:t>
            </w:r>
            <w:proofErr w:type="gramStart"/>
            <w:r w:rsidRPr="007C60AF">
              <w:rPr>
                <w:rFonts w:eastAsia="Arial"/>
                <w:color w:val="4472C4"/>
              </w:rPr>
              <w:t>similar to</w:t>
            </w:r>
            <w:proofErr w:type="gramEnd"/>
            <w:r w:rsidRPr="007C60AF">
              <w:rPr>
                <w:rFonts w:eastAsia="Arial"/>
                <w:color w:val="4472C4"/>
              </w:rPr>
              <w:t xml:space="preserve"> the UK, feedstocks are sourced both domestically and imported.</w:t>
            </w:r>
            <w:r w:rsidRPr="007C60AF">
              <w:rPr>
                <w:rFonts w:eastAsia="Arial"/>
                <w:color w:val="4472C4"/>
                <w:vertAlign w:val="superscript"/>
              </w:rPr>
              <w:footnoteReference w:id="75"/>
            </w:r>
            <w:r w:rsidRPr="007C60AF">
              <w:rPr>
                <w:rFonts w:eastAsia="Arial"/>
                <w:color w:val="4472C4"/>
              </w:rPr>
              <w:t xml:space="preserve"> RTFO statistics for 2023 and 2024 provisionally indicate that the majority of HVO in the UK market is produced from UCO.</w:t>
            </w:r>
            <w:r w:rsidRPr="007C60AF">
              <w:rPr>
                <w:rFonts w:eastAsia="Arial"/>
                <w:color w:val="4472C4"/>
                <w:vertAlign w:val="superscript"/>
              </w:rPr>
              <w:footnoteReference w:id="76"/>
            </w:r>
          </w:p>
          <w:p w14:paraId="000002AE"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AF"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As demonstrated above, biodiesel may be produced from different production processes, for example transesterification (FAME); or hydrotreatment. However, biodiesel is an evolving product. </w:t>
            </w:r>
          </w:p>
          <w:p w14:paraId="000002B0"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B1"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feedstocks used for producing biodiesel are limited; the use of (crop) virgin oils </w:t>
            </w:r>
            <w:proofErr w:type="gramStart"/>
            <w:r w:rsidRPr="007C60AF">
              <w:rPr>
                <w:rFonts w:eastAsia="Arial"/>
                <w:color w:val="4472C4"/>
              </w:rPr>
              <w:t>competes</w:t>
            </w:r>
            <w:proofErr w:type="gramEnd"/>
            <w:r w:rsidRPr="007C60AF">
              <w:rPr>
                <w:rFonts w:eastAsia="Arial"/>
                <w:color w:val="4472C4"/>
              </w:rPr>
              <w:t xml:space="preserve"> with food production, and the overall availability of UCO is constrained. Consequently, there is much emphasis on widening the pool of feedstocks that may be used to make fuels such as biodiesel as evidenced by Annex IX of RED II (Directive 2018/2001/EU). There are many production pathways, and the technology is continually evolving. The terminology used around these newer fuels and their production pathways is not always consistent.</w:t>
            </w:r>
          </w:p>
          <w:p w14:paraId="000002B2"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B3"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proofErr w:type="gramStart"/>
            <w:r w:rsidRPr="007C60AF">
              <w:rPr>
                <w:rFonts w:eastAsia="Arial"/>
                <w:color w:val="4472C4"/>
              </w:rPr>
              <w:t>Generally speaking, lipid</w:t>
            </w:r>
            <w:proofErr w:type="gramEnd"/>
            <w:r w:rsidRPr="007C60AF">
              <w:rPr>
                <w:rFonts w:eastAsia="Arial"/>
                <w:color w:val="4472C4"/>
              </w:rPr>
              <w:t xml:space="preserve"> (i.e., oily) feedstocks are the most straightforward to process (either via transesterification, hydrotreatment or co-processing). Those that are solid require more 'advanced' technology to be used to process them into fuel, such as gasification, and then Fischer-Tropsch ("</w:t>
            </w:r>
            <w:r w:rsidRPr="007C60AF">
              <w:rPr>
                <w:rFonts w:eastAsia="Arial"/>
                <w:b/>
                <w:color w:val="4472C4"/>
              </w:rPr>
              <w:t>FT</w:t>
            </w:r>
            <w:r w:rsidRPr="007C60AF">
              <w:rPr>
                <w:rFonts w:eastAsia="Arial"/>
                <w:color w:val="4472C4"/>
              </w:rPr>
              <w:t>") treatment of the resulting syngas. Gasification followed by FT is sometimes known as Biomass-to-liquid (</w:t>
            </w:r>
            <w:proofErr w:type="spellStart"/>
            <w:r w:rsidRPr="007C60AF">
              <w:rPr>
                <w:rFonts w:eastAsia="Arial"/>
                <w:color w:val="4472C4"/>
              </w:rPr>
              <w:t>BtL</w:t>
            </w:r>
            <w:proofErr w:type="spellEnd"/>
            <w:r w:rsidRPr="007C60AF">
              <w:rPr>
                <w:rFonts w:eastAsia="Arial"/>
                <w:color w:val="4472C4"/>
              </w:rPr>
              <w:t xml:space="preserve">).  </w:t>
            </w:r>
          </w:p>
          <w:p w14:paraId="000002B4"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B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The term "third generation" is sometimes used to describe pathways which do not involve the types of feedstocks described above, but feedstocks which are less resource constrained. An example is the cultivation of microalgae with high lipid content, which may be carried out on land or at sea in a manner which does not conflict with food production, and therefore in theory may be expanded to meet demand. There is also a non-biological route to renewable diesel production, where </w:t>
            </w:r>
            <w:r w:rsidRPr="007C60AF">
              <w:rPr>
                <w:rFonts w:eastAsia="Arial"/>
                <w:color w:val="4472C4"/>
              </w:rPr>
              <w:lastRenderedPageBreak/>
              <w:t>renewable hydrogen is reacted with CO</w:t>
            </w:r>
            <w:r w:rsidRPr="007C60AF">
              <w:rPr>
                <w:rFonts w:ascii="Cambria Math" w:eastAsia="Cambria Math" w:hAnsi="Cambria Math" w:cs="Cambria Math"/>
                <w:color w:val="4472C4"/>
              </w:rPr>
              <w:t>₂</w:t>
            </w:r>
            <w:r w:rsidRPr="007C60AF">
              <w:rPr>
                <w:rFonts w:eastAsia="Arial"/>
                <w:color w:val="4472C4"/>
              </w:rPr>
              <w:t xml:space="preserve"> to make methane (CH</w:t>
            </w:r>
            <w:r w:rsidRPr="007C60AF">
              <w:rPr>
                <w:rFonts w:eastAsia="Arial"/>
                <w:color w:val="4472C4"/>
                <w:vertAlign w:val="subscript"/>
              </w:rPr>
              <w:t>4</w:t>
            </w:r>
            <w:r w:rsidRPr="007C60AF">
              <w:rPr>
                <w:rFonts w:eastAsia="Arial"/>
                <w:color w:val="4472C4"/>
              </w:rPr>
              <w:t>), and the FT reaction is used to make longer chain hydrocarbons from the methane.</w:t>
            </w:r>
          </w:p>
        </w:tc>
      </w:tr>
    </w:tbl>
    <w:p w14:paraId="000002B6"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4CE74E50" w14:textId="77777777">
        <w:tc>
          <w:tcPr>
            <w:tcW w:w="4508" w:type="dxa"/>
            <w:tcBorders>
              <w:top w:val="single" w:sz="4" w:space="0" w:color="FFFFFF"/>
              <w:left w:val="nil"/>
              <w:bottom w:val="nil"/>
              <w:right w:val="single" w:sz="4" w:space="0" w:color="000000"/>
            </w:tcBorders>
          </w:tcPr>
          <w:p w14:paraId="000002B7" w14:textId="77777777" w:rsidR="00416D85" w:rsidRPr="007C60AF" w:rsidRDefault="00416D85">
            <w:pPr>
              <w:jc w:val="both"/>
            </w:pPr>
          </w:p>
        </w:tc>
        <w:tc>
          <w:tcPr>
            <w:tcW w:w="4508" w:type="dxa"/>
            <w:tcBorders>
              <w:left w:val="single" w:sz="4" w:space="0" w:color="000000"/>
            </w:tcBorders>
          </w:tcPr>
          <w:p w14:paraId="000002B8" w14:textId="77777777" w:rsidR="00416D85" w:rsidRPr="007C60AF" w:rsidRDefault="00130320">
            <w:pPr>
              <w:jc w:val="both"/>
              <w:rPr>
                <w:color w:val="4472C4"/>
              </w:rPr>
            </w:pPr>
            <w:r w:rsidRPr="007C60AF">
              <w:t xml:space="preserve">Appendix reference: </w:t>
            </w:r>
            <w:r w:rsidRPr="007C60AF">
              <w:rPr>
                <w:color w:val="4472C4"/>
              </w:rPr>
              <w:t>A.1, A.4, A.8, A.9, A.10, A.11, A.12, A.13, A.14, A.15</w:t>
            </w:r>
          </w:p>
        </w:tc>
      </w:tr>
    </w:tbl>
    <w:p w14:paraId="000002B9" w14:textId="77777777" w:rsidR="00416D85" w:rsidRPr="007C60AF" w:rsidRDefault="00416D85">
      <w:pPr>
        <w:jc w:val="both"/>
      </w:pPr>
    </w:p>
    <w:p w14:paraId="000002BA"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 xml:space="preserve">Provide a general description of the UK market for the goods including the nature and conditions of competition within the overall market. In your </w:t>
      </w:r>
      <w:proofErr w:type="gramStart"/>
      <w:r w:rsidRPr="007C60AF">
        <w:rPr>
          <w:rFonts w:eastAsia="Arial"/>
          <w:color w:val="000000"/>
        </w:rPr>
        <w:t>answer</w:t>
      </w:r>
      <w:proofErr w:type="gramEnd"/>
      <w:r w:rsidRPr="007C60AF">
        <w:rPr>
          <w:rFonts w:eastAsia="Arial"/>
          <w:color w:val="000000"/>
        </w:rPr>
        <w:t xml:space="preserve"> please refer to:</w:t>
      </w:r>
    </w:p>
    <w:p w14:paraId="000002B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general users/consumers/</w:t>
      </w:r>
      <w:proofErr w:type="gramStart"/>
      <w:r w:rsidRPr="007C60AF">
        <w:rPr>
          <w:rFonts w:eastAsia="Arial"/>
          <w:color w:val="000000"/>
        </w:rPr>
        <w:t>customers;</w:t>
      </w:r>
      <w:proofErr w:type="gramEnd"/>
    </w:p>
    <w:p w14:paraId="000002B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market </w:t>
      </w:r>
      <w:proofErr w:type="gramStart"/>
      <w:r w:rsidRPr="007C60AF">
        <w:rPr>
          <w:rFonts w:eastAsia="Arial"/>
          <w:color w:val="000000"/>
        </w:rPr>
        <w:t>segmentation;</w:t>
      </w:r>
      <w:proofErr w:type="gramEnd"/>
    </w:p>
    <w:p w14:paraId="000002B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government regulation or </w:t>
      </w:r>
      <w:proofErr w:type="gramStart"/>
      <w:r w:rsidRPr="007C60AF">
        <w:rPr>
          <w:rFonts w:eastAsia="Arial"/>
          <w:color w:val="000000"/>
        </w:rPr>
        <w:t>tax;</w:t>
      </w:r>
      <w:proofErr w:type="gramEnd"/>
    </w:p>
    <w:p w14:paraId="000002B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distribution and marketing (for example, how is the product sold and is quality or price the deciding factor</w:t>
      </w:r>
      <w:proofErr w:type="gramStart"/>
      <w:r w:rsidRPr="007C60AF">
        <w:rPr>
          <w:rFonts w:eastAsia="Arial"/>
          <w:color w:val="000000"/>
        </w:rPr>
        <w:t>);</w:t>
      </w:r>
      <w:proofErr w:type="gramEnd"/>
    </w:p>
    <w:p w14:paraId="000002B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nature of competition within the overall </w:t>
      </w:r>
      <w:proofErr w:type="gramStart"/>
      <w:r w:rsidRPr="007C60AF">
        <w:rPr>
          <w:rFonts w:eastAsia="Arial"/>
          <w:color w:val="000000"/>
        </w:rPr>
        <w:t>market;</w:t>
      </w:r>
      <w:proofErr w:type="gramEnd"/>
    </w:p>
    <w:p w14:paraId="000002C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degree of price </w:t>
      </w:r>
      <w:proofErr w:type="gramStart"/>
      <w:r w:rsidRPr="007C60AF">
        <w:rPr>
          <w:rFonts w:eastAsia="Arial"/>
          <w:color w:val="000000"/>
        </w:rPr>
        <w:t>sensitivity;</w:t>
      </w:r>
      <w:proofErr w:type="gramEnd"/>
    </w:p>
    <w:p w14:paraId="000002C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trends and drivers of demand, including causes of demand fluctuations and any factors contributing to overall market growth or </w:t>
      </w:r>
      <w:proofErr w:type="gramStart"/>
      <w:r w:rsidRPr="007C60AF">
        <w:rPr>
          <w:rFonts w:eastAsia="Arial"/>
          <w:color w:val="000000"/>
        </w:rPr>
        <w:t>decline;</w:t>
      </w:r>
      <w:proofErr w:type="gramEnd"/>
    </w:p>
    <w:p w14:paraId="000002C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developments in technology affecting the characteristics, demand or the production process of the </w:t>
      </w:r>
      <w:proofErr w:type="gramStart"/>
      <w:r w:rsidRPr="007C60AF">
        <w:rPr>
          <w:rFonts w:eastAsia="Arial"/>
          <w:color w:val="000000"/>
        </w:rPr>
        <w:t>goods;</w:t>
      </w:r>
      <w:proofErr w:type="gramEnd"/>
    </w:p>
    <w:p w14:paraId="000002C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other commercially significant goods which could be substituted for your goods and the goods being imported into the UK; and</w:t>
      </w:r>
    </w:p>
    <w:p w14:paraId="000002C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any other factors that influence the market.</w:t>
      </w:r>
    </w:p>
    <w:p w14:paraId="000002C5" w14:textId="77777777" w:rsidR="00416D85" w:rsidRPr="007C60AF" w:rsidRDefault="00416D85">
      <w:pPr>
        <w:pBdr>
          <w:top w:val="nil"/>
          <w:left w:val="nil"/>
          <w:bottom w:val="nil"/>
          <w:right w:val="nil"/>
          <w:between w:val="nil"/>
        </w:pBdr>
        <w:spacing w:after="0" w:line="276" w:lineRule="auto"/>
        <w:ind w:left="1418" w:hanging="360"/>
        <w:jc w:val="both"/>
        <w:rPr>
          <w:rFonts w:eastAsia="Arial"/>
          <w:color w:val="000000"/>
        </w:rPr>
      </w:pPr>
    </w:p>
    <w:tbl>
      <w:tblPr>
        <w:tblStyle w:val="af2"/>
        <w:tblW w:w="9016" w:type="dxa"/>
        <w:tblLayout w:type="fixed"/>
        <w:tblLook w:val="0400" w:firstRow="0" w:lastRow="0" w:firstColumn="0" w:lastColumn="0" w:noHBand="0" w:noVBand="1"/>
      </w:tblPr>
      <w:tblGrid>
        <w:gridCol w:w="9016"/>
      </w:tblGrid>
      <w:tr w:rsidR="00416D85" w:rsidRPr="007C60AF" w14:paraId="6B5A1D3B"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2C6" w14:textId="77777777" w:rsidR="00416D85" w:rsidRPr="007C60AF" w:rsidRDefault="00130320">
            <w:pPr>
              <w:numPr>
                <w:ilvl w:val="6"/>
                <w:numId w:val="37"/>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This response addresses each of the above factors in Parts I to X.</w:t>
            </w:r>
          </w:p>
          <w:p w14:paraId="000002C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C8"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General users/consumers/customers</w:t>
            </w:r>
          </w:p>
          <w:p w14:paraId="000002C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C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UK is one of the most successful countries in utilising wastes for biofuels. As a direct result of UK policy in this respect, significant investments have been made to manufacture biodiesel in the UK from all sorts of wastes, that often otherwise end up in landfills.</w:t>
            </w:r>
          </w:p>
          <w:p w14:paraId="000002C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C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The majority of biodiesel produced in the UK will be blended into road fuel, in concentrations from 7% to 100% (depending on the customer), before it is sold for final use.</w:t>
            </w:r>
            <w:r w:rsidRPr="007C60AF">
              <w:rPr>
                <w:rFonts w:eastAsia="Arial"/>
                <w:color w:val="4472C4"/>
                <w:vertAlign w:val="superscript"/>
              </w:rPr>
              <w:footnoteReference w:id="77"/>
            </w:r>
            <w:r w:rsidRPr="007C60AF">
              <w:rPr>
                <w:rFonts w:eastAsia="Arial"/>
                <w:color w:val="4472C4"/>
                <w:vertAlign w:val="superscript"/>
              </w:rPr>
              <w:t xml:space="preserve"> </w:t>
            </w:r>
          </w:p>
          <w:p w14:paraId="000002C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C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Looking at the market from the perspective of the different blends, there are two main markets that renewable fuel is sold into: </w:t>
            </w:r>
          </w:p>
          <w:p w14:paraId="000002CF" w14:textId="77777777" w:rsidR="00416D85" w:rsidRPr="007C60AF" w:rsidRDefault="00130320">
            <w:pPr>
              <w:numPr>
                <w:ilvl w:val="0"/>
                <w:numId w:val="26"/>
              </w:numPr>
              <w:pBdr>
                <w:top w:val="nil"/>
                <w:left w:val="nil"/>
                <w:bottom w:val="nil"/>
                <w:right w:val="nil"/>
                <w:between w:val="nil"/>
              </w:pBdr>
              <w:spacing w:before="240" w:after="0"/>
              <w:jc w:val="both"/>
              <w:rPr>
                <w:rFonts w:eastAsia="Arial"/>
                <w:color w:val="4472C4"/>
              </w:rPr>
            </w:pPr>
            <w:r w:rsidRPr="007C60AF">
              <w:rPr>
                <w:rFonts w:eastAsia="Arial"/>
                <w:i/>
                <w:color w:val="4472C4"/>
              </w:rPr>
              <w:t>B7:</w:t>
            </w:r>
            <w:r w:rsidRPr="007C60AF">
              <w:rPr>
                <w:rFonts w:eastAsia="Arial"/>
                <w:color w:val="4472C4"/>
              </w:rPr>
              <w:t xml:space="preserve"> Fuel with up to 7% biodiesel blended into diesel by volume, which meets the requirements of the European diesel standard EN 590:2022. B7 is the blend that is sold into the general fuel market to be sold to the public at forecourts. </w:t>
            </w:r>
          </w:p>
          <w:p w14:paraId="000002D0" w14:textId="77777777" w:rsidR="00416D85" w:rsidRPr="007C60AF" w:rsidRDefault="00130320">
            <w:pPr>
              <w:numPr>
                <w:ilvl w:val="0"/>
                <w:numId w:val="26"/>
              </w:numPr>
              <w:pBdr>
                <w:top w:val="nil"/>
                <w:left w:val="nil"/>
                <w:bottom w:val="nil"/>
                <w:right w:val="nil"/>
                <w:between w:val="nil"/>
              </w:pBdr>
              <w:spacing w:before="240" w:after="0"/>
              <w:jc w:val="both"/>
              <w:rPr>
                <w:rFonts w:eastAsia="Arial"/>
                <w:color w:val="4472C4"/>
              </w:rPr>
            </w:pPr>
            <w:r w:rsidRPr="007C60AF">
              <w:rPr>
                <w:rFonts w:eastAsia="Arial"/>
                <w:i/>
                <w:color w:val="4472C4"/>
              </w:rPr>
              <w:t>Higher blends:</w:t>
            </w:r>
            <w:r w:rsidRPr="007C60AF">
              <w:rPr>
                <w:rFonts w:eastAsia="Arial"/>
                <w:color w:val="4472C4"/>
              </w:rPr>
              <w:t xml:space="preserve"> Blends that range from 10% i.e. B10, to 100% i.e. B100 in the case of FAME or pure HVO. Blends of higher percentages of biodiesel (or indeed pure 100% biodiesel) are typically sold to public service vehicles and HGVs.</w:t>
            </w:r>
          </w:p>
          <w:p w14:paraId="000002D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D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Both HVO and FAME can be used in diesel engines for cars, HGVs, and other off-road machinery.</w:t>
            </w:r>
          </w:p>
          <w:p w14:paraId="000002D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TRA provided the following simplified chart, which accurately describes the supply chain for biodiesel produced and sold in the UK:</w:t>
            </w:r>
            <w:r w:rsidRPr="007C60AF">
              <w:rPr>
                <w:rFonts w:eastAsia="Arial"/>
                <w:color w:val="4472C4"/>
                <w:vertAlign w:val="superscript"/>
              </w:rPr>
              <w:footnoteReference w:id="78"/>
            </w:r>
          </w:p>
          <w:p w14:paraId="000002D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noProof/>
                <w:color w:val="4472C4"/>
              </w:rPr>
              <w:drawing>
                <wp:inline distT="0" distB="0" distL="0" distR="0" wp14:anchorId="292B7A4A" wp14:editId="03FF42CD">
                  <wp:extent cx="5696626" cy="2019001"/>
                  <wp:effectExtent l="0" t="0" r="0" b="0"/>
                  <wp:docPr id="2146731699" name="image6.png" descr="A diagram of different types of fu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different types of fuel&#10;&#10;Description automatically generated"/>
                          <pic:cNvPicPr preferRelativeResize="0"/>
                        </pic:nvPicPr>
                        <pic:blipFill>
                          <a:blip r:embed="rId24"/>
                          <a:srcRect/>
                          <a:stretch>
                            <a:fillRect/>
                          </a:stretch>
                        </pic:blipFill>
                        <pic:spPr>
                          <a:xfrm>
                            <a:off x="0" y="0"/>
                            <a:ext cx="5696626" cy="2019001"/>
                          </a:xfrm>
                          <a:prstGeom prst="rect">
                            <a:avLst/>
                          </a:prstGeom>
                          <a:ln/>
                        </pic:spPr>
                      </pic:pic>
                    </a:graphicData>
                  </a:graphic>
                </wp:inline>
              </w:drawing>
            </w:r>
          </w:p>
          <w:p w14:paraId="000002D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8"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Market segmentation</w:t>
            </w:r>
          </w:p>
          <w:p w14:paraId="000002D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D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With respect to biodiesel (including HVO and FAME) generally, prospective buyers can be broadly classified into two main groups who respond similarly to a marketing action: (i) buyers who purchase renewable fuel for personal use; and (ii) buyers who purchase renewable fuel for commercial use. </w:t>
            </w:r>
          </w:p>
          <w:p w14:paraId="000002D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With respect to HVO and FAME separately, the European Commission has confirmed that there is no market segmentation between those goods, even if there might be price differences between them. This is because: (i) the product types are sufficiently interchangeable; and (ii) "the spread of the prices for both FAME and HVO can vary significantly depending on the biodiesel market circumstances, namely the regulatory environment, the supply volumes and the feedstocks situation."</w:t>
            </w:r>
            <w:r w:rsidRPr="007C60AF">
              <w:rPr>
                <w:rFonts w:eastAsia="Arial"/>
                <w:color w:val="4472C4"/>
                <w:vertAlign w:val="superscript"/>
              </w:rPr>
              <w:footnoteReference w:id="79"/>
            </w:r>
            <w:r w:rsidRPr="007C60AF">
              <w:rPr>
                <w:rFonts w:eastAsia="Arial"/>
                <w:color w:val="4472C4"/>
              </w:rPr>
              <w:t xml:space="preserve">  </w:t>
            </w:r>
          </w:p>
          <w:p w14:paraId="000002D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E"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Government regulation or tax</w:t>
            </w:r>
          </w:p>
          <w:p w14:paraId="000002D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E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main piece of legislation relevant to biodiesel in the UK is the Renewable Transport Fuel Obligations Order 2007,</w:t>
            </w:r>
            <w:r w:rsidRPr="007C60AF">
              <w:rPr>
                <w:rFonts w:eastAsia="Arial"/>
                <w:color w:val="4472C4"/>
                <w:vertAlign w:val="superscript"/>
              </w:rPr>
              <w:footnoteReference w:id="80"/>
            </w:r>
            <w:r w:rsidRPr="007C60AF">
              <w:rPr>
                <w:rFonts w:eastAsia="Arial"/>
                <w:color w:val="4472C4"/>
              </w:rPr>
              <w:t xml:space="preserve"> which is the legislative basis for the RTFO. The RTFO aims to reduce greenhouse gas emissions from vehicles, ultimately supporting the Government's target of net zero by 2050.</w:t>
            </w:r>
            <w:r w:rsidRPr="007C60AF">
              <w:rPr>
                <w:rFonts w:eastAsia="Arial"/>
                <w:color w:val="4472C4"/>
                <w:vertAlign w:val="superscript"/>
              </w:rPr>
              <w:footnoteReference w:id="81"/>
            </w:r>
            <w:r w:rsidRPr="007C60AF">
              <w:rPr>
                <w:rFonts w:eastAsia="Arial"/>
                <w:color w:val="4472C4"/>
              </w:rPr>
              <w:t xml:space="preserve"> It was first implemented in 2008 as a result of the EU Renewable Energy Directive I and secondary legislation from the Energy Act 2004.</w:t>
            </w:r>
            <w:r w:rsidRPr="007C60AF">
              <w:rPr>
                <w:rFonts w:eastAsia="Arial"/>
                <w:color w:val="4472C4"/>
                <w:vertAlign w:val="superscript"/>
              </w:rPr>
              <w:footnoteReference w:id="82"/>
            </w:r>
            <w:r w:rsidRPr="007C60AF">
              <w:rPr>
                <w:rFonts w:eastAsia="Arial"/>
                <w:color w:val="4472C4"/>
              </w:rPr>
              <w:t xml:space="preserve"> The RTFO is administered by a team with the Department for Transport ("</w:t>
            </w:r>
            <w:r w:rsidRPr="007C60AF">
              <w:rPr>
                <w:rFonts w:eastAsia="Arial"/>
                <w:b/>
                <w:color w:val="4472C4"/>
              </w:rPr>
              <w:t>DfT</w:t>
            </w:r>
            <w:r w:rsidRPr="007C60AF">
              <w:rPr>
                <w:rFonts w:eastAsia="Arial"/>
                <w:color w:val="4472C4"/>
              </w:rPr>
              <w:t>") called the Low Carbon Fuel Delivery Unit (formerly the RTFO Unit).</w:t>
            </w:r>
            <w:r w:rsidRPr="007C60AF">
              <w:rPr>
                <w:rFonts w:eastAsia="Arial"/>
                <w:color w:val="4472C4"/>
                <w:vertAlign w:val="superscript"/>
              </w:rPr>
              <w:footnoteReference w:id="83"/>
            </w:r>
          </w:p>
          <w:p w14:paraId="000002E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Under the RTFO, suppliers of relevant transport fuel (petrol, diesel, gasoil or renewable fuel) in the UK must be able to show that a specific percentage (13.563% in 2024) of the fuel they supply comes from renewable and sustainable sources. Fuel suppliers (e.g. BP, Shell, etc.) that supply at least 450,000 litres of this fuel a year for use in a relevant transport mode (including road, non-road and aircraft) are subject to the obligation.</w:t>
            </w:r>
            <w:r w:rsidRPr="007C60AF">
              <w:rPr>
                <w:rFonts w:eastAsia="Arial"/>
                <w:color w:val="4472C4"/>
                <w:vertAlign w:val="superscript"/>
              </w:rPr>
              <w:footnoteReference w:id="84"/>
            </w:r>
            <w:r w:rsidRPr="007C60AF">
              <w:rPr>
                <w:rFonts w:eastAsia="Arial"/>
                <w:color w:val="4472C4"/>
              </w:rPr>
              <w:t xml:space="preserve"> The blending obligation increases incrementally each year and reaches 16.607% by 2030.</w:t>
            </w:r>
            <w:r w:rsidRPr="007C60AF">
              <w:rPr>
                <w:rFonts w:eastAsia="Arial"/>
                <w:color w:val="4472C4"/>
                <w:vertAlign w:val="superscript"/>
              </w:rPr>
              <w:footnoteReference w:id="85"/>
            </w:r>
            <w:r w:rsidRPr="007C60AF">
              <w:rPr>
                <w:rFonts w:eastAsia="Arial"/>
                <w:color w:val="4472C4"/>
                <w:vertAlign w:val="superscript"/>
              </w:rPr>
              <w:t xml:space="preserve"> </w:t>
            </w:r>
          </w:p>
          <w:p w14:paraId="000002E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Suppliers of renewable fuel can apply for Renewable Transport Fuel Certificates ("</w:t>
            </w:r>
            <w:r w:rsidRPr="007C60AF">
              <w:rPr>
                <w:rFonts w:eastAsia="Arial"/>
                <w:b/>
                <w:color w:val="4472C4"/>
              </w:rPr>
              <w:t>RTFCs</w:t>
            </w:r>
            <w:r w:rsidRPr="007C60AF">
              <w:rPr>
                <w:rFonts w:eastAsia="Arial"/>
                <w:color w:val="4472C4"/>
              </w:rPr>
              <w:t>"). RTFCs are awarded following independent verification of the applications and targeted checks by the RTFO Unit. Obligated suppliers can meet their obligation by redeeming RTFCs or by paying a fixed sum for each litre of fuel for which they wish to 'buy-out' of their obligation. An obligated supplier can obtain RTFCs either by supplying renewable fuels, or by buying them from renewable fuel suppliers. The DfT sets the buy-out price</w:t>
            </w:r>
            <w:r w:rsidRPr="007C60AF">
              <w:rPr>
                <w:rFonts w:eastAsia="Arial"/>
                <w:color w:val="4472C4"/>
                <w:vertAlign w:val="superscript"/>
              </w:rPr>
              <w:footnoteReference w:id="86"/>
            </w:r>
            <w:r w:rsidRPr="007C60AF">
              <w:rPr>
                <w:rFonts w:eastAsia="Arial"/>
                <w:color w:val="4472C4"/>
              </w:rPr>
              <w:t xml:space="preserve"> and the market determines the prices of certificates based on supply and demand. As such, it is a tradable mechanism, and the value of certificates fluctuates.</w:t>
            </w:r>
          </w:p>
          <w:p w14:paraId="000002E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HVO and FAME are renewable fuels under the RTFO, they are used by the obligated parties, as a blend component in their diesel, to satisfy their annual obligation. Depending on the feedstock used to produce HVO and FAME, it can either qualify for one RTFC or two. Crop-based HVO and FAME qualify for one certificate. Waste-based HVO and FAME qualify for two certificates (i.e. they are “double-counted”).</w:t>
            </w:r>
          </w:p>
          <w:p w14:paraId="000002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 </w:t>
            </w:r>
          </w:p>
          <w:p w14:paraId="000002E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This is why the UK is a particularly attractive market for waste-based biodiesel, as it is awarded double the RTFCs per litre (or equivalent) supplied under the RTFO.</w:t>
            </w:r>
            <w:r w:rsidRPr="007C60AF">
              <w:rPr>
                <w:rFonts w:eastAsia="Arial"/>
                <w:color w:val="4472C4"/>
                <w:vertAlign w:val="superscript"/>
              </w:rPr>
              <w:footnoteReference w:id="87"/>
            </w:r>
            <w:r w:rsidRPr="007C60AF">
              <w:rPr>
                <w:rFonts w:eastAsia="Arial"/>
                <w:color w:val="4472C4"/>
                <w:vertAlign w:val="superscript"/>
              </w:rPr>
              <w:t xml:space="preserve"> </w:t>
            </w:r>
            <w:r w:rsidRPr="007C60AF">
              <w:rPr>
                <w:rFonts w:eastAsia="Arial"/>
                <w:color w:val="4472C4"/>
              </w:rPr>
              <w:t>This encourages parties that are subject to the obligation to import biodiesel, including HVO, made from UCO. UCO is a waste. UCO is the main feedstock used in the production of HVO that is reported under the RTFO.</w:t>
            </w:r>
            <w:r w:rsidRPr="007C60AF">
              <w:rPr>
                <w:rFonts w:eastAsia="Arial"/>
                <w:color w:val="4472C4"/>
                <w:vertAlign w:val="superscript"/>
              </w:rPr>
              <w:footnoteReference w:id="88"/>
            </w:r>
          </w:p>
          <w:p w14:paraId="000002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Equally so, </w:t>
            </w:r>
            <w:proofErr w:type="gramStart"/>
            <w:r w:rsidRPr="007C60AF">
              <w:rPr>
                <w:rFonts w:eastAsia="Arial"/>
                <w:color w:val="4472C4"/>
              </w:rPr>
              <w:t>the majority of</w:t>
            </w:r>
            <w:proofErr w:type="gramEnd"/>
            <w:r w:rsidRPr="007C60AF">
              <w:rPr>
                <w:rFonts w:eastAsia="Arial"/>
                <w:color w:val="4472C4"/>
              </w:rPr>
              <w:t xml:space="preserve"> the UK-produced FAME uses UCO as its feedstock, which is why FAME produced from UCO is therefore referred to on the market as UCOME.</w:t>
            </w:r>
          </w:p>
          <w:p w14:paraId="000002E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Renewable fuels must meet certain sustainability criteria to qualify under the RTFO.</w:t>
            </w:r>
            <w:r w:rsidRPr="007C60AF">
              <w:rPr>
                <w:rFonts w:eastAsia="Arial"/>
                <w:color w:val="4472C4"/>
                <w:vertAlign w:val="superscript"/>
              </w:rPr>
              <w:footnoteReference w:id="89"/>
            </w:r>
            <w:r w:rsidRPr="007C60AF">
              <w:rPr>
                <w:rFonts w:eastAsia="Arial"/>
                <w:color w:val="4472C4"/>
                <w:vertAlign w:val="superscript"/>
              </w:rPr>
              <w:t xml:space="preserve"> </w:t>
            </w:r>
            <w:r w:rsidRPr="007C60AF">
              <w:rPr>
                <w:rFonts w:eastAsia="Arial"/>
                <w:color w:val="4472C4"/>
              </w:rPr>
              <w:t>A recognised sustainability standard scheme (known as a voluntary scheme) can be used to provide evidence of compliance.</w:t>
            </w:r>
            <w:r w:rsidRPr="007C60AF">
              <w:rPr>
                <w:rFonts w:eastAsia="Arial"/>
                <w:color w:val="4472C4"/>
                <w:vertAlign w:val="superscript"/>
              </w:rPr>
              <w:footnoteReference w:id="90"/>
            </w:r>
            <w:r w:rsidRPr="007C60AF">
              <w:rPr>
                <w:rFonts w:eastAsia="Arial"/>
                <w:color w:val="4472C4"/>
              </w:rPr>
              <w:t xml:space="preserve"> Alternatively, other means of demonstrating compliance with sustainability criteria can be used.</w:t>
            </w:r>
          </w:p>
          <w:p w14:paraId="000002E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The International Sustainability and Carbon Certification scheme is the most </w:t>
            </w:r>
            <w:proofErr w:type="gramStart"/>
            <w:r w:rsidRPr="007C60AF">
              <w:rPr>
                <w:rFonts w:eastAsia="Arial"/>
                <w:color w:val="4472C4"/>
              </w:rPr>
              <w:t>widely-used</w:t>
            </w:r>
            <w:proofErr w:type="gramEnd"/>
            <w:r w:rsidRPr="007C60AF">
              <w:rPr>
                <w:rFonts w:eastAsia="Arial"/>
                <w:color w:val="4472C4"/>
              </w:rPr>
              <w:t xml:space="preserve"> voluntary scheme in the UK. It has been recognised as providing evidence of compliance with the RTFO sustainability criteria.</w:t>
            </w:r>
            <w:r w:rsidRPr="007C60AF">
              <w:rPr>
                <w:rFonts w:eastAsia="Arial"/>
                <w:color w:val="4472C4"/>
                <w:vertAlign w:val="superscript"/>
              </w:rPr>
              <w:footnoteReference w:id="91"/>
            </w:r>
            <w:r w:rsidRPr="007C60AF">
              <w:rPr>
                <w:rFonts w:eastAsia="Arial"/>
                <w:color w:val="4472C4"/>
                <w:vertAlign w:val="superscript"/>
              </w:rPr>
              <w:t xml:space="preserve"> </w:t>
            </w:r>
            <w:r w:rsidRPr="007C60AF">
              <w:rPr>
                <w:rFonts w:eastAsia="Arial"/>
                <w:color w:val="4472C4"/>
              </w:rPr>
              <w:t>The Renewable Fuels Assurance Scheme is managed by Zemo Partnership and works alongside the RTFO to verify claims made by companies supplying renewable fuels to HGV and equipment operators regarding their products’ GHG emission savings and provenance of raw material feedstocks.</w:t>
            </w:r>
            <w:r w:rsidRPr="007C60AF">
              <w:rPr>
                <w:rFonts w:eastAsia="Arial"/>
                <w:color w:val="4472C4"/>
                <w:vertAlign w:val="superscript"/>
              </w:rPr>
              <w:footnoteReference w:id="92"/>
            </w:r>
          </w:p>
          <w:p w14:paraId="000002E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Biodiesel sold in the UK must comply with the appropriate fuel standards (for further details please see paragraphs 31 to 35 our response to question A.3.1. above).</w:t>
            </w:r>
          </w:p>
          <w:p w14:paraId="000002F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2"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Distribution and marketing (for example, how is the product sold and is quality or price the deciding factor)</w:t>
            </w:r>
          </w:p>
          <w:p w14:paraId="000002F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F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HVO imported from the US and FAME produced in the UK are sold to the same consumers via similar or identical distribution channels. As acknowledged by the TRA in the UK Transition Reviews, the downstream stages of the supply chain are closely integrated, with FAME producers and HVO importers also involved in distribution.</w:t>
            </w:r>
            <w:r w:rsidRPr="007C60AF">
              <w:rPr>
                <w:rFonts w:eastAsia="Arial"/>
                <w:color w:val="4472C4"/>
                <w:vertAlign w:val="superscript"/>
              </w:rPr>
              <w:footnoteReference w:id="93"/>
            </w:r>
            <w:r w:rsidRPr="007C60AF">
              <w:rPr>
                <w:rFonts w:eastAsia="Arial"/>
                <w:color w:val="4472C4"/>
                <w:vertAlign w:val="superscript"/>
              </w:rPr>
              <w:t xml:space="preserve"> </w:t>
            </w:r>
          </w:p>
          <w:p w14:paraId="000002F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HVO and FAME are promoted by the RTFO for transport use in </w:t>
            </w:r>
            <w:proofErr w:type="gramStart"/>
            <w:r w:rsidRPr="007C60AF">
              <w:rPr>
                <w:rFonts w:eastAsia="Arial"/>
                <w:color w:val="4472C4"/>
              </w:rPr>
              <w:t>exactly the same</w:t>
            </w:r>
            <w:proofErr w:type="gramEnd"/>
            <w:r w:rsidRPr="007C60AF">
              <w:rPr>
                <w:rFonts w:eastAsia="Arial"/>
                <w:color w:val="4472C4"/>
              </w:rPr>
              <w:t xml:space="preserve"> way, including double-counting for any which is certified as waste-derived. It is therefore not the quality per se that is the deciding factor, but rather whether the biodiesel is waste-based or not, as it has direct impact on the number of RTFCs received. </w:t>
            </w:r>
          </w:p>
          <w:p w14:paraId="000002F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addition, in the UK Transition Reviews, the TRA found that "fuel can be differentiated from other blends and from other types (e.g. FAME and HVO) by its behaviour in cold conditions".</w:t>
            </w:r>
            <w:r w:rsidRPr="007C60AF">
              <w:rPr>
                <w:rFonts w:eastAsia="Arial"/>
                <w:color w:val="4472C4"/>
                <w:vertAlign w:val="superscript"/>
              </w:rPr>
              <w:footnoteReference w:id="94"/>
            </w:r>
            <w:r w:rsidRPr="007C60AF">
              <w:rPr>
                <w:rFonts w:eastAsia="Arial"/>
                <w:color w:val="4472C4"/>
              </w:rPr>
              <w:t xml:space="preserve"> More specifically, the CFPP could be a differentiating factor (for further details please see paragraphs 19 to 22 of our response to the question A.3.1. above). </w:t>
            </w:r>
          </w:p>
          <w:p w14:paraId="000002F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A"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 xml:space="preserve">Structure of the domestic market </w:t>
            </w:r>
          </w:p>
          <w:p w14:paraId="000002F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F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HVO and FAME both compete in the same market as direct competition: they are interchangeable to meet the RTFO objectives. As such, the domestic market consists of both HVO and FAME.</w:t>
            </w:r>
          </w:p>
          <w:p w14:paraId="000002F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UK industry comprises of: </w:t>
            </w:r>
            <w:proofErr w:type="spellStart"/>
            <w:r w:rsidRPr="007C60AF">
              <w:rPr>
                <w:rFonts w:eastAsia="Arial"/>
                <w:color w:val="4472C4"/>
              </w:rPr>
              <w:t>Greenergy</w:t>
            </w:r>
            <w:proofErr w:type="spellEnd"/>
            <w:r w:rsidRPr="007C60AF">
              <w:rPr>
                <w:rFonts w:eastAsia="Arial"/>
                <w:color w:val="4472C4"/>
              </w:rPr>
              <w:t xml:space="preserve">, Argent and </w:t>
            </w:r>
            <w:proofErr w:type="spellStart"/>
            <w:r w:rsidRPr="007C60AF">
              <w:rPr>
                <w:rFonts w:eastAsia="Arial"/>
                <w:color w:val="4472C4"/>
              </w:rPr>
              <w:t>Olleco</w:t>
            </w:r>
            <w:proofErr w:type="spellEnd"/>
            <w:r w:rsidRPr="007C60AF">
              <w:rPr>
                <w:rFonts w:eastAsia="Arial"/>
                <w:color w:val="4472C4"/>
              </w:rPr>
              <w:t xml:space="preserve">. Based on production levels, </w:t>
            </w:r>
            <w:proofErr w:type="spellStart"/>
            <w:r w:rsidRPr="007C60AF">
              <w:rPr>
                <w:rFonts w:eastAsia="Arial"/>
                <w:color w:val="4472C4"/>
              </w:rPr>
              <w:t>Greenergy</w:t>
            </w:r>
            <w:proofErr w:type="spellEnd"/>
            <w:r w:rsidRPr="007C60AF">
              <w:rPr>
                <w:rFonts w:eastAsia="Arial"/>
                <w:color w:val="4472C4"/>
              </w:rPr>
              <w:t xml:space="preserve"> is the largest followed by Argent and </w:t>
            </w:r>
            <w:proofErr w:type="spellStart"/>
            <w:r w:rsidRPr="007C60AF">
              <w:rPr>
                <w:rFonts w:eastAsia="Arial"/>
                <w:color w:val="4472C4"/>
              </w:rPr>
              <w:t>Olleco</w:t>
            </w:r>
            <w:proofErr w:type="spellEnd"/>
            <w:r w:rsidRPr="007C60AF">
              <w:rPr>
                <w:rFonts w:eastAsia="Arial"/>
                <w:color w:val="4472C4"/>
              </w:rPr>
              <w:t>. The Applicants estimate that combined, the three major producers account for 100% of FAME production in the UK. Please refer to the response to question G.1.1. below and Appendix G.2 for the market share of the UK industry, which has been calculated using actual demand figures of HVO and FAME from the RTFO statistics and actual sales data from the UK producers.</w:t>
            </w:r>
          </w:p>
          <w:p w14:paraId="000002F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TRA has acknowledged that "[s]</w:t>
            </w:r>
            <w:proofErr w:type="spellStart"/>
            <w:r w:rsidRPr="007C60AF">
              <w:rPr>
                <w:rFonts w:eastAsia="Arial"/>
                <w:color w:val="4472C4"/>
              </w:rPr>
              <w:t>ome</w:t>
            </w:r>
            <w:proofErr w:type="spellEnd"/>
            <w:r w:rsidRPr="007C60AF">
              <w:rPr>
                <w:rFonts w:eastAsia="Arial"/>
                <w:color w:val="4472C4"/>
              </w:rPr>
              <w:t xml:space="preserve"> businesses span different groups such as importing, blending, and supplying fuel or importing as well as producing biodiesel."</w:t>
            </w:r>
            <w:r w:rsidRPr="007C60AF">
              <w:rPr>
                <w:rFonts w:eastAsia="Arial"/>
                <w:color w:val="4472C4"/>
                <w:vertAlign w:val="superscript"/>
              </w:rPr>
              <w:footnoteReference w:id="95"/>
            </w:r>
          </w:p>
          <w:p w14:paraId="0000030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roofErr w:type="spellStart"/>
            <w:r w:rsidRPr="007C60AF">
              <w:rPr>
                <w:rFonts w:eastAsia="Arial"/>
                <w:color w:val="4472C4"/>
              </w:rPr>
              <w:t>Greenergy</w:t>
            </w:r>
            <w:proofErr w:type="spellEnd"/>
            <w:r w:rsidRPr="007C60AF">
              <w:rPr>
                <w:rFonts w:eastAsia="Arial"/>
                <w:color w:val="4472C4"/>
              </w:rPr>
              <w:t xml:space="preserve"> collects UCO for their biodiesel manufacturing operations, blends their biodiesel into mineral diesel and distributes it as road fuel.</w:t>
            </w:r>
            <w:r w:rsidRPr="007C60AF">
              <w:rPr>
                <w:rFonts w:eastAsia="Arial"/>
                <w:color w:val="4472C4"/>
                <w:vertAlign w:val="superscript"/>
              </w:rPr>
              <w:footnoteReference w:id="96"/>
            </w:r>
            <w:r w:rsidRPr="007C60AF">
              <w:rPr>
                <w:rFonts w:eastAsia="Arial"/>
                <w:color w:val="4472C4"/>
                <w:vertAlign w:val="superscript"/>
              </w:rPr>
              <w:t xml:space="preserve"> </w:t>
            </w:r>
            <w:r w:rsidRPr="007C60AF">
              <w:rPr>
                <w:rFonts w:eastAsia="Arial"/>
                <w:color w:val="4472C4"/>
              </w:rPr>
              <w:t xml:space="preserve">They also sell to fuel suppliers for their own blending and sale. </w:t>
            </w:r>
            <w:proofErr w:type="spellStart"/>
            <w:r w:rsidRPr="007C60AF">
              <w:rPr>
                <w:rFonts w:eastAsia="Arial"/>
                <w:color w:val="4472C4"/>
              </w:rPr>
              <w:t>Greenergy</w:t>
            </w:r>
            <w:proofErr w:type="spellEnd"/>
            <w:r w:rsidRPr="007C60AF">
              <w:rPr>
                <w:rFonts w:eastAsia="Arial"/>
                <w:color w:val="4472C4"/>
              </w:rPr>
              <w:t xml:space="preserve"> operates two biodiesel manufacturing plants on the east coast of England (at Immingham and on Teesside) and a third facility in Amsterdam. They have more than 25 supply locations and a haulage operation in the UK to distribute to customers.</w:t>
            </w:r>
            <w:r w:rsidRPr="007C60AF">
              <w:rPr>
                <w:rFonts w:eastAsia="Arial"/>
                <w:color w:val="4472C4"/>
                <w:vertAlign w:val="superscript"/>
              </w:rPr>
              <w:footnoteReference w:id="97"/>
            </w:r>
            <w:r w:rsidRPr="007C60AF">
              <w:rPr>
                <w:rFonts w:eastAsia="Arial"/>
                <w:color w:val="4472C4"/>
                <w:vertAlign w:val="superscript"/>
              </w:rPr>
              <w:t xml:space="preserve"> </w:t>
            </w:r>
          </w:p>
          <w:p w14:paraId="0000030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24" w:name="_heading=h.jqtje6ns9nd9" w:colFirst="0" w:colLast="0"/>
            <w:bookmarkEnd w:id="24"/>
            <w:r w:rsidRPr="007C60AF">
              <w:rPr>
                <w:rFonts w:eastAsia="Arial"/>
                <w:color w:val="4472C4"/>
              </w:rPr>
              <w:t xml:space="preserve">Argent produces biodiesel made from waste fats and oils with an annual production of around 195,000 metric tonnes. Argent's biodiesel plants </w:t>
            </w:r>
            <w:proofErr w:type="gramStart"/>
            <w:r w:rsidRPr="007C60AF">
              <w:rPr>
                <w:rFonts w:eastAsia="Arial"/>
                <w:color w:val="4472C4"/>
              </w:rPr>
              <w:t>are located in</w:t>
            </w:r>
            <w:proofErr w:type="gramEnd"/>
            <w:r w:rsidRPr="007C60AF">
              <w:rPr>
                <w:rFonts w:eastAsia="Arial"/>
                <w:color w:val="4472C4"/>
              </w:rPr>
              <w:t xml:space="preserve"> Stanlow (UK) and Amsterdam.</w:t>
            </w:r>
            <w:r w:rsidRPr="007C60AF">
              <w:rPr>
                <w:rFonts w:eastAsia="Arial"/>
                <w:color w:val="4472C4"/>
                <w:vertAlign w:val="superscript"/>
              </w:rPr>
              <w:footnoteReference w:id="98"/>
            </w:r>
            <w:r w:rsidRPr="007C60AF">
              <w:rPr>
                <w:rFonts w:eastAsia="Arial"/>
                <w:color w:val="4472C4"/>
                <w:vertAlign w:val="superscript"/>
              </w:rPr>
              <w:t xml:space="preserve"> </w:t>
            </w:r>
            <w:r w:rsidRPr="007C60AF">
              <w:rPr>
                <w:rFonts w:eastAsia="Arial"/>
                <w:color w:val="4472C4"/>
              </w:rPr>
              <w:t>Their waste-based biodiesel is a distilled product that can be directly blended with conventional diesel and used as a fuel, typically in trucks, buses, vans and cars.</w:t>
            </w:r>
            <w:r w:rsidRPr="007C60AF">
              <w:rPr>
                <w:rFonts w:eastAsia="Arial"/>
                <w:color w:val="4472C4"/>
                <w:vertAlign w:val="superscript"/>
              </w:rPr>
              <w:footnoteReference w:id="99"/>
            </w:r>
            <w:r w:rsidRPr="007C60AF">
              <w:rPr>
                <w:rFonts w:eastAsia="Arial"/>
                <w:color w:val="4472C4"/>
                <w:vertAlign w:val="superscript"/>
              </w:rPr>
              <w:t xml:space="preserve"> </w:t>
            </w:r>
            <w:r w:rsidRPr="007C60AF">
              <w:rPr>
                <w:rFonts w:eastAsia="Arial"/>
                <w:color w:val="4472C4"/>
              </w:rPr>
              <w:t>Argent also offers a wide range of high blend fuels (from B10 to B100) for use in road transport. They deliver biodiesel all over the UK from Argent Oil Terminal at Ellesmere Port in Cheshire. It is also possible to collect product ex-rack.</w:t>
            </w:r>
            <w:r w:rsidRPr="007C60AF">
              <w:rPr>
                <w:rFonts w:eastAsia="Arial"/>
                <w:color w:val="4472C4"/>
                <w:vertAlign w:val="superscript"/>
              </w:rPr>
              <w:footnoteReference w:id="100"/>
            </w:r>
            <w:r w:rsidRPr="007C60AF">
              <w:rPr>
                <w:rFonts w:eastAsia="Arial"/>
                <w:color w:val="4472C4"/>
              </w:rPr>
              <w:t xml:space="preserve"> While Argent blend and distribute fuel, they also sell to fuel suppliers for their own blending and sale.</w:t>
            </w:r>
          </w:p>
          <w:p w14:paraId="0000030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25" w:name="_heading=h.g501zm5cj5xx" w:colFirst="0" w:colLast="0"/>
            <w:bookmarkEnd w:id="25"/>
            <w:r w:rsidRPr="007C60AF">
              <w:rPr>
                <w:rFonts w:eastAsia="Arial"/>
                <w:color w:val="4472C4"/>
              </w:rPr>
              <w:t xml:space="preserve">On 25 March 2024, Argent announced that it proposes to end production at its biodiesel plant in Motherwell, Scotland. </w:t>
            </w:r>
            <w:r w:rsidRPr="007C60AF">
              <w:rPr>
                <w:rFonts w:eastAsia="Arial"/>
                <w:b/>
                <w:color w:val="4472C4"/>
              </w:rPr>
              <w:t>[SENSITIVE – INFORMATION ABOUT OPERATIONS OF ONE OR MORE UK PRODUCERS]</w:t>
            </w:r>
            <w:r w:rsidRPr="007C60AF">
              <w:rPr>
                <w:rFonts w:eastAsia="Arial"/>
                <w:color w:val="4472C4"/>
              </w:rPr>
              <w:t>. One of the main external conditions that have substantially weakened the environment for European and UK biodiesel production is "[t]he removal of trade defence measures by the UK after Brexit on renewable diesel from the USA, that competes with UK biodiesel. This has resulted in an increase of imports of subsidised US-made product of nearly half a million tonnes."</w:t>
            </w:r>
            <w:r w:rsidRPr="007C60AF">
              <w:rPr>
                <w:rFonts w:eastAsia="Arial"/>
                <w:color w:val="4472C4"/>
                <w:vertAlign w:val="superscript"/>
              </w:rPr>
              <w:footnoteReference w:id="101"/>
            </w:r>
          </w:p>
          <w:p w14:paraId="0000030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roofErr w:type="spellStart"/>
            <w:r w:rsidRPr="007C60AF">
              <w:rPr>
                <w:rFonts w:eastAsia="Arial"/>
                <w:color w:val="4472C4"/>
              </w:rPr>
              <w:t>Olleco</w:t>
            </w:r>
            <w:proofErr w:type="spellEnd"/>
            <w:r w:rsidRPr="007C60AF">
              <w:rPr>
                <w:rFonts w:eastAsia="Arial"/>
                <w:color w:val="4472C4"/>
              </w:rPr>
              <w:t xml:space="preserve"> converts the used oil it collects into renewable fuels. In addition to a comprehensive network of local depots, they operate three UCO bio-refineries, a biodiesel plant, a bulk liquid storage facility and three anaerobic digestion ("</w:t>
            </w:r>
            <w:r w:rsidRPr="007C60AF">
              <w:rPr>
                <w:rFonts w:eastAsia="Arial"/>
                <w:b/>
                <w:color w:val="4472C4"/>
              </w:rPr>
              <w:t>AD</w:t>
            </w:r>
            <w:r w:rsidRPr="007C60AF">
              <w:rPr>
                <w:rFonts w:eastAsia="Arial"/>
                <w:color w:val="4472C4"/>
              </w:rPr>
              <w:t xml:space="preserve">") plants with support from a wider network of licensed AD facilities. </w:t>
            </w:r>
            <w:proofErr w:type="spellStart"/>
            <w:r w:rsidRPr="007C60AF">
              <w:rPr>
                <w:rFonts w:eastAsia="Arial"/>
                <w:color w:val="4472C4"/>
              </w:rPr>
              <w:t>Olleco</w:t>
            </w:r>
            <w:proofErr w:type="spellEnd"/>
            <w:r w:rsidRPr="007C60AF">
              <w:rPr>
                <w:rFonts w:eastAsia="Arial"/>
                <w:color w:val="4472C4"/>
              </w:rPr>
              <w:t xml:space="preserve"> has 19 sites strategically located throughout the UK and Ireland.</w:t>
            </w:r>
            <w:r w:rsidRPr="007C60AF">
              <w:rPr>
                <w:rFonts w:eastAsia="Arial"/>
                <w:color w:val="4472C4"/>
                <w:vertAlign w:val="superscript"/>
              </w:rPr>
              <w:footnoteReference w:id="102"/>
            </w:r>
            <w:r w:rsidRPr="007C60AF">
              <w:rPr>
                <w:rFonts w:eastAsia="Arial"/>
                <w:color w:val="4472C4"/>
                <w:vertAlign w:val="superscript"/>
              </w:rPr>
              <w:t xml:space="preserve"> </w:t>
            </w:r>
            <w:proofErr w:type="spellStart"/>
            <w:r w:rsidRPr="007C60AF">
              <w:rPr>
                <w:rFonts w:eastAsia="Arial"/>
                <w:color w:val="4472C4"/>
              </w:rPr>
              <w:t>Olleco's</w:t>
            </w:r>
            <w:proofErr w:type="spellEnd"/>
            <w:r w:rsidRPr="007C60AF">
              <w:rPr>
                <w:rFonts w:eastAsia="Arial"/>
                <w:color w:val="4472C4"/>
              </w:rPr>
              <w:t xml:space="preserve"> biodiesel can be used in higher concentrations of up to 100% for commercial vehicle fleets. If </w:t>
            </w:r>
            <w:proofErr w:type="spellStart"/>
            <w:r w:rsidRPr="007C60AF">
              <w:rPr>
                <w:rFonts w:eastAsia="Arial"/>
                <w:color w:val="4472C4"/>
              </w:rPr>
              <w:t>Olleco</w:t>
            </w:r>
            <w:proofErr w:type="spellEnd"/>
            <w:r w:rsidRPr="007C60AF">
              <w:rPr>
                <w:rFonts w:eastAsia="Arial"/>
                <w:color w:val="4472C4"/>
              </w:rPr>
              <w:t xml:space="preserve"> collects UCO from a company and supplies it with the resulting biodiesel, this creates a ‘closed loop’ recycling process. </w:t>
            </w:r>
            <w:proofErr w:type="spellStart"/>
            <w:r w:rsidRPr="007C60AF">
              <w:rPr>
                <w:rFonts w:eastAsia="Arial"/>
                <w:color w:val="4472C4"/>
              </w:rPr>
              <w:t>Olleco's</w:t>
            </w:r>
            <w:proofErr w:type="spellEnd"/>
            <w:r w:rsidRPr="007C60AF">
              <w:rPr>
                <w:rFonts w:eastAsia="Arial"/>
                <w:color w:val="4472C4"/>
              </w:rPr>
              <w:t xml:space="preserve"> biodiesel can also be used to make up the required proportion of biodiesel for forecourt distribution.</w:t>
            </w:r>
            <w:r w:rsidRPr="007C60AF">
              <w:rPr>
                <w:rFonts w:eastAsia="Arial"/>
                <w:color w:val="4472C4"/>
                <w:vertAlign w:val="superscript"/>
              </w:rPr>
              <w:footnoteReference w:id="103"/>
            </w:r>
            <w:r w:rsidRPr="007C60AF">
              <w:rPr>
                <w:rFonts w:eastAsia="Arial"/>
                <w:color w:val="4472C4"/>
                <w:vertAlign w:val="superscript"/>
              </w:rPr>
              <w:t xml:space="preserve"> </w:t>
            </w:r>
          </w:p>
          <w:p w14:paraId="00000309"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30A"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Barriers to the biofuel market</w:t>
            </w:r>
          </w:p>
          <w:p w14:paraId="0000030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the UK Transition Reviews, the TRA stated that "barriers to entry within the biodiesel industry do exist, including in the form of technological barriers, alongside technological and regulatory restrictions."</w:t>
            </w:r>
            <w:r w:rsidRPr="007C60AF">
              <w:rPr>
                <w:rFonts w:eastAsia="Arial"/>
                <w:color w:val="4472C4"/>
                <w:vertAlign w:val="superscript"/>
              </w:rPr>
              <w:footnoteReference w:id="104"/>
            </w:r>
          </w:p>
          <w:p w14:paraId="0000030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TRA also found that "[t]he existence of the subsidies </w:t>
            </w:r>
            <w:proofErr w:type="gramStart"/>
            <w:r w:rsidRPr="007C60AF">
              <w:rPr>
                <w:rFonts w:eastAsia="Arial"/>
                <w:color w:val="4472C4"/>
              </w:rPr>
              <w:t>make</w:t>
            </w:r>
            <w:proofErr w:type="gramEnd"/>
            <w:r w:rsidRPr="007C60AF">
              <w:rPr>
                <w:rFonts w:eastAsia="Arial"/>
                <w:color w:val="4472C4"/>
              </w:rPr>
              <w:t xml:space="preserve"> it possible for US producers to sell competitively in overseas markets, including the UK."</w:t>
            </w:r>
            <w:r w:rsidRPr="007C60AF">
              <w:rPr>
                <w:rFonts w:eastAsia="Arial"/>
                <w:color w:val="4472C4"/>
                <w:vertAlign w:val="superscript"/>
              </w:rPr>
              <w:footnoteReference w:id="105"/>
            </w:r>
            <w:r w:rsidRPr="007C60AF">
              <w:rPr>
                <w:rFonts w:eastAsia="Arial"/>
                <w:color w:val="4472C4"/>
              </w:rPr>
              <w:t xml:space="preserve"> The massive subsidies granted by the US Government to the US producers of HVO provide a significant price advantage on export markets which allows them to rapidly gain market shares. For further details see section F of this Application. </w:t>
            </w:r>
          </w:p>
          <w:p w14:paraId="0000030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10"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lastRenderedPageBreak/>
              <w:t>The degree of price sensitivity</w:t>
            </w:r>
          </w:p>
          <w:p w14:paraId="0000031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31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UK biodiesel market is competitive, with prices following EU and internationally set prices.</w:t>
            </w:r>
            <w:r w:rsidRPr="007C60AF">
              <w:rPr>
                <w:rFonts w:eastAsia="Arial"/>
                <w:color w:val="4472C4"/>
                <w:vertAlign w:val="superscript"/>
              </w:rPr>
              <w:footnoteReference w:id="106"/>
            </w:r>
            <w:r w:rsidRPr="007C60AF">
              <w:rPr>
                <w:rFonts w:eastAsia="Arial"/>
                <w:color w:val="4472C4"/>
              </w:rPr>
              <w:t xml:space="preserve"> The biodiesel prices (and production margins) are set by demand and supply fundamentals and the UK follows the EU market price mechanisms.</w:t>
            </w:r>
          </w:p>
          <w:p w14:paraId="000003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1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Biodiesel prices in the EU in general depend on the demand created by mandates and regulations. The current prices for FAME are fluctuating as they are made up of several components. As a fuel the base price is made up of gasoil. On top of that there is a premium for the biofuel that is specific to the type of biodiesel produced. As a traded commodity these follow indexes and the different premiums for biofuel are depending on the quality specs (mainly CFPP and Sulphur). The final price is a matter of supply and demand and will be set following negotiation. </w:t>
            </w:r>
          </w:p>
          <w:p w14:paraId="0000031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1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theoretical price of biodiesel in the UK is primarily a function of the price of gasoil, and the price of feedstock such as UCO, tallow, etc.:</w:t>
            </w:r>
          </w:p>
          <w:p w14:paraId="0000031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i/>
                <w:color w:val="4472C4"/>
              </w:rPr>
            </w:pPr>
            <w:r w:rsidRPr="007C60AF">
              <w:rPr>
                <w:rFonts w:eastAsia="Arial"/>
                <w:i/>
                <w:color w:val="4472C4"/>
              </w:rPr>
              <w:t>(Feedstock + Biodiesel Production Cost) - Gasoil = RTFC</w:t>
            </w:r>
          </w:p>
          <w:p w14:paraId="0000031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p>
          <w:p w14:paraId="0000031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In addition, in the UK Transition Reviews, the TRA found that: </w:t>
            </w:r>
          </w:p>
          <w:p w14:paraId="0000031B" w14:textId="77777777" w:rsidR="00416D85" w:rsidRPr="007C60AF" w:rsidRDefault="00130320">
            <w:pPr>
              <w:numPr>
                <w:ilvl w:val="0"/>
                <w:numId w:val="27"/>
              </w:numPr>
              <w:pBdr>
                <w:top w:val="nil"/>
                <w:left w:val="nil"/>
                <w:bottom w:val="nil"/>
                <w:right w:val="nil"/>
                <w:between w:val="nil"/>
              </w:pBdr>
              <w:spacing w:before="240" w:after="0"/>
              <w:jc w:val="both"/>
              <w:rPr>
                <w:rFonts w:eastAsia="Arial"/>
                <w:color w:val="4472C4"/>
              </w:rPr>
            </w:pPr>
            <w:r w:rsidRPr="007C60AF">
              <w:rPr>
                <w:rFonts w:eastAsia="Arial"/>
                <w:color w:val="4472C4"/>
              </w:rPr>
              <w:t>"The RTFO effectively guarantees a certain level of demand for biodiesel by making consumers’ demand for biodiesel a derived demand based on the demand for diesel."</w:t>
            </w:r>
            <w:r w:rsidRPr="007C60AF">
              <w:rPr>
                <w:rFonts w:eastAsia="Arial"/>
                <w:color w:val="4472C4"/>
                <w:vertAlign w:val="superscript"/>
              </w:rPr>
              <w:footnoteReference w:id="107"/>
            </w:r>
            <w:r w:rsidRPr="007C60AF">
              <w:rPr>
                <w:rFonts w:eastAsia="Arial"/>
                <w:color w:val="4472C4"/>
              </w:rPr>
              <w:t xml:space="preserve"> </w:t>
            </w:r>
          </w:p>
          <w:p w14:paraId="0000031C" w14:textId="77777777" w:rsidR="00416D85" w:rsidRPr="007C60AF" w:rsidRDefault="00130320">
            <w:pPr>
              <w:numPr>
                <w:ilvl w:val="0"/>
                <w:numId w:val="27"/>
              </w:numPr>
              <w:pBdr>
                <w:top w:val="nil"/>
                <w:left w:val="nil"/>
                <w:bottom w:val="nil"/>
                <w:right w:val="nil"/>
                <w:between w:val="nil"/>
              </w:pBdr>
              <w:spacing w:before="240" w:after="0"/>
              <w:jc w:val="both"/>
              <w:rPr>
                <w:rFonts w:eastAsia="Arial"/>
                <w:color w:val="4472C4"/>
              </w:rPr>
            </w:pPr>
            <w:r w:rsidRPr="007C60AF">
              <w:rPr>
                <w:rFonts w:eastAsia="Arial"/>
                <w:color w:val="4472C4"/>
              </w:rPr>
              <w:t>"The demand for diesel is price inelastic because consumers cannot readily switch to other forms of fuel, such as petrol, and may have a limited ability to switch to other modes of transport."</w:t>
            </w:r>
            <w:r w:rsidRPr="007C60AF">
              <w:rPr>
                <w:rFonts w:eastAsia="Arial"/>
                <w:color w:val="4472C4"/>
                <w:vertAlign w:val="superscript"/>
              </w:rPr>
              <w:footnoteReference w:id="108"/>
            </w:r>
            <w:r w:rsidRPr="007C60AF">
              <w:rPr>
                <w:rFonts w:eastAsia="Arial"/>
                <w:color w:val="4472C4"/>
                <w:vertAlign w:val="superscript"/>
              </w:rPr>
              <w:t xml:space="preserve"> </w:t>
            </w:r>
          </w:p>
          <w:p w14:paraId="0000031D"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The trends and drivers of demand, including causes of demand fluctuations and any factors contributing to overall market growth or decline</w:t>
            </w:r>
          </w:p>
          <w:p w14:paraId="0000031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3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Drivers of demand in the UK</w:t>
            </w:r>
          </w:p>
          <w:p w14:paraId="0000032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32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lastRenderedPageBreak/>
              <w:t>Demand in the UK is driven by the RTFO and more specifically the following three factors:</w:t>
            </w:r>
          </w:p>
          <w:p w14:paraId="00000322" w14:textId="77777777" w:rsidR="00416D85" w:rsidRPr="007C60AF" w:rsidRDefault="00130320">
            <w:pPr>
              <w:numPr>
                <w:ilvl w:val="0"/>
                <w:numId w:val="28"/>
              </w:numPr>
              <w:pBdr>
                <w:top w:val="nil"/>
                <w:left w:val="nil"/>
                <w:bottom w:val="nil"/>
                <w:right w:val="nil"/>
                <w:between w:val="nil"/>
              </w:pBdr>
              <w:spacing w:before="240" w:after="0"/>
              <w:jc w:val="both"/>
              <w:rPr>
                <w:rFonts w:eastAsia="Arial"/>
                <w:color w:val="4472C4"/>
              </w:rPr>
            </w:pPr>
            <w:r w:rsidRPr="007C60AF">
              <w:rPr>
                <w:rFonts w:eastAsia="Arial"/>
                <w:i/>
                <w:color w:val="4472C4"/>
              </w:rPr>
              <w:t>Conventional fuel demand:</w:t>
            </w:r>
            <w:r w:rsidRPr="007C60AF">
              <w:rPr>
                <w:rFonts w:eastAsia="Arial"/>
                <w:color w:val="4472C4"/>
              </w:rPr>
              <w:t xml:space="preserve"> As the RTFO is a blending obligation, biofuel demand is therefore a function of the conventional road fuel demand in the UK. In other words, if road fuel use was to decline (e.g. as cars go electric), by default, biofuel demand would also decrease. </w:t>
            </w:r>
          </w:p>
          <w:p w14:paraId="00000323" w14:textId="77777777" w:rsidR="00416D85" w:rsidRPr="007C60AF" w:rsidRDefault="00130320">
            <w:pPr>
              <w:numPr>
                <w:ilvl w:val="0"/>
                <w:numId w:val="28"/>
              </w:numPr>
              <w:pBdr>
                <w:top w:val="nil"/>
                <w:left w:val="nil"/>
                <w:bottom w:val="nil"/>
                <w:right w:val="nil"/>
                <w:between w:val="nil"/>
              </w:pBdr>
              <w:spacing w:before="240" w:after="0"/>
              <w:jc w:val="both"/>
              <w:rPr>
                <w:rFonts w:eastAsia="Arial"/>
                <w:color w:val="4472C4"/>
              </w:rPr>
            </w:pPr>
            <w:bookmarkStart w:id="26" w:name="_heading=h.1c2yyjaap0x0" w:colFirst="0" w:colLast="0"/>
            <w:bookmarkEnd w:id="26"/>
            <w:r w:rsidRPr="007C60AF">
              <w:rPr>
                <w:rFonts w:eastAsia="Arial"/>
                <w:i/>
                <w:color w:val="4472C4"/>
              </w:rPr>
              <w:t>Blending obligation:</w:t>
            </w:r>
            <w:r w:rsidRPr="007C60AF">
              <w:rPr>
                <w:rFonts w:eastAsia="Arial"/>
                <w:color w:val="4472C4"/>
              </w:rPr>
              <w:t xml:space="preserve"> Demand is also a function of the increasing blending obligation. The RTFO creates the market for HVO and FAME products by mandating oil companies (in the main) to seek out the material and to use it. Anywhere there is no such mandate, biodiesel is not cost competitive unless it is heavily subsidised and the market conditions for fossil diesel make the biodiesel sufficiently attractive. In the UK, those conditions do not exist so biodiesel will only flow to the mandated market.</w:t>
            </w:r>
          </w:p>
          <w:p w14:paraId="00000324" w14:textId="77777777" w:rsidR="00416D85" w:rsidRPr="007C60AF" w:rsidRDefault="00130320">
            <w:pPr>
              <w:numPr>
                <w:ilvl w:val="0"/>
                <w:numId w:val="28"/>
              </w:numPr>
              <w:pBdr>
                <w:top w:val="nil"/>
                <w:left w:val="nil"/>
                <w:bottom w:val="nil"/>
                <w:right w:val="nil"/>
                <w:between w:val="nil"/>
              </w:pBdr>
              <w:spacing w:before="240" w:after="0"/>
              <w:jc w:val="both"/>
              <w:rPr>
                <w:rFonts w:eastAsia="Arial"/>
                <w:color w:val="4472C4"/>
              </w:rPr>
            </w:pPr>
            <w:r w:rsidRPr="007C60AF">
              <w:rPr>
                <w:rFonts w:eastAsia="Arial"/>
                <w:i/>
                <w:color w:val="4472C4"/>
              </w:rPr>
              <w:t>Substitutes:</w:t>
            </w:r>
            <w:r w:rsidRPr="007C60AF">
              <w:rPr>
                <w:rFonts w:eastAsia="Arial"/>
                <w:color w:val="4472C4"/>
              </w:rPr>
              <w:t xml:space="preserve"> Finally, as indicated in point (b) above, demand can also be a function of substitute goods. In other words, if there are other biofuels which are cheaper to use, the demand for biodiesel can increase or decrease.</w:t>
            </w:r>
          </w:p>
          <w:p w14:paraId="0000032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Biodiesel can come from anywhere, including the US, on the condition that it complies with the appropriate fuel standards and sustainability criteria laid out in the relevant legislation.</w:t>
            </w:r>
          </w:p>
          <w:p w14:paraId="0000032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Supply and demand in the UK</w:t>
            </w:r>
          </w:p>
          <w:p w14:paraId="0000032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Department for Energy Security and Net Zero statistics indicate that biodiesel consumption increased by 13.9% from 1,733 million litres in 2022 to 1,974 million litres in 2023.</w:t>
            </w:r>
            <w:r w:rsidRPr="007C60AF">
              <w:rPr>
                <w:rFonts w:eastAsia="Arial"/>
                <w:color w:val="4472C4"/>
                <w:vertAlign w:val="superscript"/>
              </w:rPr>
              <w:footnoteReference w:id="109"/>
            </w:r>
            <w:r w:rsidRPr="007C60AF">
              <w:rPr>
                <w:rFonts w:eastAsia="Arial"/>
                <w:color w:val="4472C4"/>
                <w:vertAlign w:val="superscript"/>
              </w:rPr>
              <w:t xml:space="preserve"> </w:t>
            </w:r>
            <w:r w:rsidRPr="007C60AF">
              <w:rPr>
                <w:rFonts w:eastAsia="Arial"/>
                <w:color w:val="4472C4"/>
              </w:rPr>
              <w:t>The estimated demand for 2024 is 705,000 tonnes and the forecasted demand for 2025 is 500,000 tonnes based on the recent increases in HVO imports and consumption due to the US Blender’s Tax Credit.</w:t>
            </w:r>
            <w:r w:rsidRPr="007C60AF">
              <w:rPr>
                <w:rFonts w:eastAsia="Arial"/>
                <w:color w:val="4472C4"/>
                <w:vertAlign w:val="superscript"/>
              </w:rPr>
              <w:footnoteReference w:id="110"/>
            </w:r>
            <w:r w:rsidRPr="007C60AF">
              <w:rPr>
                <w:rFonts w:eastAsia="Arial"/>
                <w:color w:val="4472C4"/>
              </w:rPr>
              <w:t xml:space="preserve"> Given that demand is decreasing and imports of US HVO continue to increase, this will contribute to greater injury on the domestic producers, as it will make it more difficult for them to sell their goods on the UK market.</w:t>
            </w:r>
          </w:p>
          <w:p w14:paraId="0000032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B"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During the POI, the estimated domestic production capacity of FAME is approximately </w:t>
            </w:r>
            <w:r w:rsidRPr="007C60AF">
              <w:rPr>
                <w:rFonts w:eastAsia="Arial"/>
                <w:b/>
                <w:color w:val="4472C4"/>
              </w:rPr>
              <w:t>[500,000 – 700,000]</w:t>
            </w:r>
            <w:r w:rsidRPr="007C60AF">
              <w:rPr>
                <w:rFonts w:eastAsia="Arial"/>
                <w:color w:val="4472C4"/>
              </w:rPr>
              <w:t xml:space="preserve"> MT. </w:t>
            </w:r>
          </w:p>
          <w:p w14:paraId="0000032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2022, an estimated 27% of biodiesel produced in the UK was supplied to the UK road transport market, with 68% being exported.</w:t>
            </w:r>
            <w:r w:rsidRPr="007C60AF">
              <w:rPr>
                <w:rFonts w:eastAsia="Arial"/>
                <w:color w:val="4472C4"/>
                <w:vertAlign w:val="superscript"/>
              </w:rPr>
              <w:footnoteReference w:id="111"/>
            </w:r>
            <w:r w:rsidRPr="007C60AF">
              <w:rPr>
                <w:rFonts w:eastAsia="Arial"/>
                <w:color w:val="4472C4"/>
                <w:vertAlign w:val="superscript"/>
              </w:rPr>
              <w:t xml:space="preserve"> </w:t>
            </w:r>
          </w:p>
          <w:p w14:paraId="0000032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F"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reason why </w:t>
            </w:r>
            <w:proofErr w:type="gramStart"/>
            <w:r w:rsidRPr="007C60AF">
              <w:rPr>
                <w:rFonts w:eastAsia="Arial"/>
                <w:color w:val="4472C4"/>
              </w:rPr>
              <w:t>the majority of</w:t>
            </w:r>
            <w:proofErr w:type="gramEnd"/>
            <w:r w:rsidRPr="007C60AF">
              <w:rPr>
                <w:rFonts w:eastAsia="Arial"/>
                <w:color w:val="4472C4"/>
              </w:rPr>
              <w:t xml:space="preserve"> the UK production is exported is because the market is flooded by low-priced imports of predominantly US HVO. </w:t>
            </w:r>
          </w:p>
          <w:p w14:paraId="00000330"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33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27" w:name="_heading=h.smnw8ejhf35w" w:colFirst="0" w:colLast="0"/>
            <w:bookmarkEnd w:id="27"/>
            <w:r w:rsidRPr="007C60AF">
              <w:rPr>
                <w:rFonts w:eastAsia="Arial"/>
                <w:color w:val="4472C4"/>
              </w:rPr>
              <w:t xml:space="preserve">While </w:t>
            </w:r>
            <w:proofErr w:type="gramStart"/>
            <w:r w:rsidRPr="007C60AF">
              <w:rPr>
                <w:rFonts w:eastAsia="Arial"/>
                <w:color w:val="4472C4"/>
              </w:rPr>
              <w:t>the majority of</w:t>
            </w:r>
            <w:proofErr w:type="gramEnd"/>
            <w:r w:rsidRPr="007C60AF">
              <w:rPr>
                <w:rFonts w:eastAsia="Arial"/>
                <w:color w:val="4472C4"/>
              </w:rPr>
              <w:t xml:space="preserve"> the UK production has been exported, there are (and have been) sufficient alternatives to meet the RTFO mandate (whether it is FAME, US unsubsidised HVO or European HVO) – there will not be a shortage of material in the UK. This means that if the anti-dumping and countervailing duties are imposed on US HVO, there will not be a shortage of supply. This is demonstrated by the fact that imports of US HVO into the UK only began in earnest following the announcement of the TRA in the UK Transition Reviews revoking the measures on US HVO (</w:t>
            </w:r>
            <w:r w:rsidRPr="007C60AF">
              <w:rPr>
                <w:rFonts w:eastAsia="Arial"/>
                <w:i/>
                <w:color w:val="4472C4"/>
              </w:rPr>
              <w:t xml:space="preserve">see </w:t>
            </w:r>
            <w:r w:rsidRPr="007C60AF">
              <w:rPr>
                <w:rFonts w:eastAsia="Arial"/>
                <w:color w:val="4472C4"/>
              </w:rPr>
              <w:t>Appendix E.1 for import data of US HVO in the UK), and that up until then there was no shortage of supply.</w:t>
            </w:r>
          </w:p>
          <w:p w14:paraId="00000332" w14:textId="77777777" w:rsidR="00416D85" w:rsidRPr="007C60AF" w:rsidRDefault="00416D85">
            <w:pPr>
              <w:pBdr>
                <w:top w:val="nil"/>
                <w:left w:val="nil"/>
                <w:bottom w:val="nil"/>
                <w:right w:val="nil"/>
                <w:between w:val="nil"/>
              </w:pBdr>
              <w:spacing w:after="0" w:line="276" w:lineRule="auto"/>
              <w:ind w:left="567" w:hanging="567"/>
              <w:jc w:val="both"/>
              <w:rPr>
                <w:rFonts w:eastAsia="Arial"/>
                <w:color w:val="4472C4"/>
              </w:rPr>
            </w:pPr>
          </w:p>
          <w:p w14:paraId="00000333"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28" w:name="_heading=h.62kayp4xaow0" w:colFirst="0" w:colLast="0"/>
            <w:bookmarkEnd w:id="28"/>
            <w:r w:rsidRPr="007C60AF">
              <w:rPr>
                <w:rFonts w:eastAsia="Arial"/>
                <w:color w:val="4472C4"/>
              </w:rPr>
              <w:t>In addition, aside from HVO and FAME, the RTFO mandate can also be met using other biofuels such as bioethanol and biomethane. Therefore, there are enough biofuels globally to fulfil UK demand, and imposing duties on imports of US HVO will not harm the UK market</w:t>
            </w:r>
            <w:r w:rsidRPr="007C60AF">
              <w:rPr>
                <w:rFonts w:eastAsia="Arial"/>
                <w:color w:val="000000"/>
                <w:sz w:val="22"/>
                <w:szCs w:val="22"/>
              </w:rPr>
              <w:t>.</w:t>
            </w:r>
          </w:p>
          <w:p w14:paraId="0000033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At the same time, imposing duties on imports of US HVO will enable biodiesel production to stay within the UK and allow the UK producers to sell more of their goods on the domestic market. </w:t>
            </w:r>
          </w:p>
          <w:p w14:paraId="0000033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7"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On the other hand, if duties are not imposed, the UK could lose its biodiesel manufacturing industry (with production plants being temporarily non-operational or permanently closed, which has already started), leading to less competition in terms of supply, which would result in a subsequent increase in price. In addition, this could also lead to the UK domestic biodiesel industry's inability to win investment in new renewable fuel production facilities for markets which will become increasingly important in the future (e.g. SAF), and for which the Government is trying to encourage investment in.</w:t>
            </w:r>
          </w:p>
          <w:p w14:paraId="0000033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Finally, the EU and the UK still operate in the same markets in the biofuel space – Brexit has added paperwork to importing/exporting biofuels but </w:t>
            </w:r>
            <w:r w:rsidRPr="007C60AF">
              <w:rPr>
                <w:rFonts w:eastAsia="Arial"/>
                <w:color w:val="4472C4"/>
              </w:rPr>
              <w:lastRenderedPageBreak/>
              <w:t>fundamentally the trade flows have not changed much. To maintain parity between those markets, the UK should also impose measures on US HVO.</w:t>
            </w:r>
          </w:p>
          <w:p w14:paraId="0000033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Increased imports of US HVO and US overcapacity of HVO</w:t>
            </w:r>
          </w:p>
          <w:p w14:paraId="0000033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absence of measures on imports of US HVO makes the UK an attractive market for US HVO exporters.</w:t>
            </w:r>
            <w:r w:rsidRPr="007C60AF">
              <w:rPr>
                <w:rFonts w:eastAsia="Arial"/>
                <w:color w:val="4472C4"/>
                <w:vertAlign w:val="superscript"/>
              </w:rPr>
              <w:footnoteReference w:id="112"/>
            </w:r>
            <w:r w:rsidRPr="007C60AF">
              <w:rPr>
                <w:rFonts w:eastAsia="Arial"/>
                <w:color w:val="4472C4"/>
                <w:vertAlign w:val="superscript"/>
              </w:rPr>
              <w:t xml:space="preserve"> </w:t>
            </w:r>
            <w:r w:rsidRPr="007C60AF">
              <w:rPr>
                <w:rFonts w:eastAsia="Arial"/>
                <w:color w:val="4472C4"/>
              </w:rPr>
              <w:t xml:space="preserve">Because the measures on HVO were revoked </w:t>
            </w:r>
            <w:proofErr w:type="gramStart"/>
            <w:r w:rsidRPr="007C60AF">
              <w:rPr>
                <w:rFonts w:eastAsia="Arial"/>
                <w:color w:val="4472C4"/>
              </w:rPr>
              <w:t>as a result of</w:t>
            </w:r>
            <w:proofErr w:type="gramEnd"/>
            <w:r w:rsidRPr="007C60AF">
              <w:rPr>
                <w:rFonts w:eastAsia="Arial"/>
                <w:color w:val="4472C4"/>
              </w:rPr>
              <w:t xml:space="preserve"> the UK Transition Reviews, US HVO flooded the UK in the presence of the EU extended measures and the lack of UK measures (</w:t>
            </w:r>
            <w:r w:rsidRPr="007C60AF">
              <w:rPr>
                <w:rFonts w:eastAsia="Arial"/>
                <w:i/>
                <w:color w:val="4472C4"/>
              </w:rPr>
              <w:t xml:space="preserve">see </w:t>
            </w:r>
            <w:r w:rsidRPr="007C60AF">
              <w:rPr>
                <w:rFonts w:eastAsia="Arial"/>
                <w:color w:val="4472C4"/>
              </w:rPr>
              <w:t xml:space="preserve">Appendix E.1 for import data of US HVO in the UK). </w:t>
            </w:r>
          </w:p>
          <w:p w14:paraId="0000033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F"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current market situation favours US produced HVO which is heavily subsidised at the very minimum level of ~264 USD/cbm. This is causing RTFC prices in the UK to be negatively impacted. There have been several occasions during 2024 where it has been more expensive to blend UCOME into diesel than to buy RTFCs from imported US HVO. </w:t>
            </w:r>
          </w:p>
          <w:p w14:paraId="0000034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While demand in the US for HVO is growing, the rate at which production capacity is increasing and the fact that some of that demand is being met by imports</w:t>
            </w:r>
            <w:r w:rsidRPr="007C60AF">
              <w:rPr>
                <w:rFonts w:eastAsia="Arial"/>
                <w:color w:val="4472C4"/>
                <w:vertAlign w:val="superscript"/>
              </w:rPr>
              <w:footnoteReference w:id="113"/>
            </w:r>
            <w:r w:rsidRPr="007C60AF">
              <w:rPr>
                <w:rFonts w:eastAsia="Arial"/>
                <w:color w:val="4472C4"/>
              </w:rPr>
              <w:t xml:space="preserve"> is such that imports of US HVO into the UK will continue to grow. </w:t>
            </w:r>
          </w:p>
          <w:p w14:paraId="0000034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3"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Please refer to the response to question H.1. below, which discusses the significant production overcapacity in the US for manufacturing HVO in further detail. </w:t>
            </w:r>
          </w:p>
          <w:p w14:paraId="0000034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Based on these forecasts there will continue to be significant spare capacity in the US market, and if duties are not imposed on imports of US HVO, then US producers and exporters will continue to flood the UK market with their goods, leading to increased injury to the UK domestic industry and further closings of production plants. </w:t>
            </w:r>
          </w:p>
          <w:p w14:paraId="0000034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7"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Developments in technology affecting the characteristics, demand or the production process of the goods</w:t>
            </w:r>
          </w:p>
          <w:p w14:paraId="0000034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34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Please refer to the response to question A.3.5. above, which discusses technology used to produce biodiesel. </w:t>
            </w:r>
          </w:p>
          <w:p w14:paraId="0000034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B"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Competition in the market is increasing as the market for biodiesel and renewable fuels is growing rapidly and expanding into all energy sectors. For the coming years it is expected that the production capacity for biofuels will grow massively, and technology is making products better suitable for other applications like aviation and marine transport. </w:t>
            </w:r>
          </w:p>
          <w:p w14:paraId="0000034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DfT is seeking to encourage additional investment in the production of fuels from waste-based feedstocks, both for road and aviation.</w:t>
            </w:r>
          </w:p>
          <w:p w14:paraId="0000034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F"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Other commercially significant goods which could be substituted for your goods and the goods being imported into the UK</w:t>
            </w:r>
          </w:p>
          <w:p w14:paraId="0000035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5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Please refer to paragraph 41 above.</w:t>
            </w:r>
          </w:p>
        </w:tc>
      </w:tr>
    </w:tbl>
    <w:p w14:paraId="00000352"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7B206115" w14:textId="77777777">
        <w:tc>
          <w:tcPr>
            <w:tcW w:w="4508" w:type="dxa"/>
            <w:tcBorders>
              <w:top w:val="single" w:sz="4" w:space="0" w:color="FFFFFF"/>
              <w:left w:val="nil"/>
              <w:bottom w:val="nil"/>
              <w:right w:val="single" w:sz="4" w:space="0" w:color="000000"/>
            </w:tcBorders>
          </w:tcPr>
          <w:p w14:paraId="00000353" w14:textId="77777777" w:rsidR="00416D85" w:rsidRPr="007C60AF" w:rsidRDefault="00416D85">
            <w:pPr>
              <w:jc w:val="both"/>
            </w:pPr>
          </w:p>
        </w:tc>
        <w:tc>
          <w:tcPr>
            <w:tcW w:w="4508" w:type="dxa"/>
            <w:tcBorders>
              <w:left w:val="single" w:sz="4" w:space="0" w:color="000000"/>
            </w:tcBorders>
          </w:tcPr>
          <w:p w14:paraId="00000354" w14:textId="77777777" w:rsidR="00416D85" w:rsidRPr="007C60AF" w:rsidRDefault="00130320">
            <w:pPr>
              <w:jc w:val="both"/>
            </w:pPr>
            <w:r w:rsidRPr="007C60AF">
              <w:t xml:space="preserve">Appendix reference: </w:t>
            </w:r>
            <w:r w:rsidRPr="007C60AF">
              <w:rPr>
                <w:color w:val="4472C4"/>
              </w:rPr>
              <w:t>A.5, A.14, A.15, A.16, A.17, A.18, A.19, A.20, A.21, A.22, A.23, A.24, A.25, A.26, A.27, A.28, A.29, E.1</w:t>
            </w:r>
          </w:p>
        </w:tc>
      </w:tr>
    </w:tbl>
    <w:p w14:paraId="00000355"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p>
    <w:p w14:paraId="00000356"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 xml:space="preserve">We give goods in our investigations Product Control Numbers (PCNs) which are identifiers unique to our work and are created </w:t>
      </w:r>
      <w:proofErr w:type="gramStart"/>
      <w:r w:rsidRPr="007C60AF">
        <w:rPr>
          <w:rFonts w:eastAsia="Arial"/>
          <w:color w:val="000000"/>
        </w:rPr>
        <w:t>on the basis of</w:t>
      </w:r>
      <w:proofErr w:type="gramEnd"/>
      <w:r w:rsidRPr="007C60AF">
        <w:rPr>
          <w:rFonts w:eastAsia="Arial"/>
          <w:color w:val="000000"/>
        </w:rPr>
        <w:t xml:space="preserve"> the main characteristics differentiating the goods from other goods. We use PCNs to allow comparison between products made by domestic and foreign producers. The accuracy of the TRA’s PCN structure is directly proportionate to information supplied by the applicant. If the goods concerned covers a range of goods with different characteristics that would affect comparability: </w:t>
      </w:r>
    </w:p>
    <w:p w14:paraId="0000035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Please describe the key physical characteristics that have a consequential and material effect on prices, with the list of characteristics going from most to least consequential</w:t>
      </w:r>
    </w:p>
    <w:p w14:paraId="0000035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Please provide evidence to substantiate that these physical characteristics have a consequential and material effect on prices. This evidence could be in reference to specific unit costs, if those costs effect price comparability</w:t>
      </w:r>
    </w:p>
    <w:p w14:paraId="0000035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Use this information to delineate between models of not only the goods produced by the UK industry, but by the exporting producers, giving the information requested in the subsequent sections in refence to each model rather the </w:t>
      </w:r>
      <w:proofErr w:type="gramStart"/>
      <w:r w:rsidRPr="007C60AF">
        <w:rPr>
          <w:rFonts w:eastAsia="Arial"/>
          <w:color w:val="000000"/>
        </w:rPr>
        <w:t>goods category as a whole</w:t>
      </w:r>
      <w:proofErr w:type="gramEnd"/>
      <w:r w:rsidRPr="007C60AF">
        <w:rPr>
          <w:rFonts w:eastAsia="Arial"/>
          <w:color w:val="000000"/>
        </w:rPr>
        <w:t xml:space="preserve">. The annex will indicate where information is being asked for on an individual model basis. </w:t>
      </w:r>
    </w:p>
    <w:p w14:paraId="0000035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 xml:space="preserve">If you already have a view on a PCN structure, please propose that here. </w:t>
      </w:r>
    </w:p>
    <w:p w14:paraId="0000035B" w14:textId="77777777" w:rsidR="00416D85" w:rsidRPr="007C60AF" w:rsidRDefault="00416D85">
      <w:pPr>
        <w:pBdr>
          <w:top w:val="nil"/>
          <w:left w:val="nil"/>
          <w:bottom w:val="nil"/>
          <w:right w:val="nil"/>
          <w:between w:val="nil"/>
        </w:pBdr>
        <w:spacing w:after="0" w:line="276" w:lineRule="auto"/>
        <w:jc w:val="both"/>
        <w:rPr>
          <w:color w:val="000000"/>
        </w:rPr>
      </w:pPr>
    </w:p>
    <w:tbl>
      <w:tblPr>
        <w:tblStyle w:val="af4"/>
        <w:tblW w:w="9016" w:type="dxa"/>
        <w:tblLayout w:type="fixed"/>
        <w:tblLook w:val="0400" w:firstRow="0" w:lastRow="0" w:firstColumn="0" w:lastColumn="0" w:noHBand="0" w:noVBand="1"/>
      </w:tblPr>
      <w:tblGrid>
        <w:gridCol w:w="9016"/>
      </w:tblGrid>
      <w:tr w:rsidR="00416D85" w:rsidRPr="007C60AF" w14:paraId="31FB13AD"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5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Applicants consider that the following PCN structure should be used in the present case.</w:t>
            </w:r>
          </w:p>
          <w:p w14:paraId="0000035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5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FAME has been included in the PCN structure given that the TRA will compare the prices of the goods concerned (being HVO imported into the UK) to the prices of the like goods (being FAME produced in the UK):</w:t>
            </w:r>
          </w:p>
          <w:p w14:paraId="0000035F"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tbl>
            <w:tblPr>
              <w:tblStyle w:val="af5"/>
              <w:tblW w:w="891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70"/>
              <w:gridCol w:w="1134"/>
              <w:gridCol w:w="6007"/>
            </w:tblGrid>
            <w:tr w:rsidR="00416D85" w:rsidRPr="007C60AF" w14:paraId="24395E30" w14:textId="77777777">
              <w:trPr>
                <w:trHeight w:val="300"/>
              </w:trPr>
              <w:tc>
                <w:tcPr>
                  <w:tcW w:w="1770" w:type="dxa"/>
                  <w:tcBorders>
                    <w:top w:val="single" w:sz="8" w:space="0" w:color="000000"/>
                    <w:left w:val="single" w:sz="8" w:space="0" w:color="000000"/>
                    <w:bottom w:val="single" w:sz="8" w:space="0" w:color="000000"/>
                    <w:right w:val="single" w:sz="8" w:space="0" w:color="000000"/>
                  </w:tcBorders>
                  <w:shd w:val="clear" w:color="auto" w:fill="F2F2F2"/>
                </w:tcPr>
                <w:p w14:paraId="00000360" w14:textId="77777777" w:rsidR="00416D85" w:rsidRPr="007C60AF" w:rsidRDefault="00130320">
                  <w:pPr>
                    <w:spacing w:before="60" w:after="60"/>
                    <w:ind w:left="57"/>
                    <w:rPr>
                      <w:color w:val="4472C4"/>
                    </w:rPr>
                  </w:pPr>
                  <w:r w:rsidRPr="007C60AF">
                    <w:rPr>
                      <w:b/>
                      <w:color w:val="4472C4"/>
                    </w:rPr>
                    <w:t>Characteristic</w:t>
                  </w:r>
                  <w:r w:rsidRPr="007C60AF">
                    <w:rPr>
                      <w:color w:val="4472C4"/>
                    </w:rPr>
                    <w:t> </w:t>
                  </w:r>
                </w:p>
              </w:tc>
              <w:tc>
                <w:tcPr>
                  <w:tcW w:w="1134" w:type="dxa"/>
                  <w:tcBorders>
                    <w:top w:val="single" w:sz="8" w:space="0" w:color="000000"/>
                    <w:left w:val="nil"/>
                    <w:bottom w:val="single" w:sz="8" w:space="0" w:color="000000"/>
                    <w:right w:val="single" w:sz="8" w:space="0" w:color="000000"/>
                  </w:tcBorders>
                  <w:shd w:val="clear" w:color="auto" w:fill="F2F2F2"/>
                </w:tcPr>
                <w:p w14:paraId="00000361" w14:textId="77777777" w:rsidR="00416D85" w:rsidRPr="007C60AF" w:rsidRDefault="00130320">
                  <w:pPr>
                    <w:spacing w:before="60" w:after="60"/>
                    <w:ind w:left="57"/>
                    <w:rPr>
                      <w:color w:val="4472C4"/>
                    </w:rPr>
                  </w:pPr>
                  <w:r w:rsidRPr="007C60AF">
                    <w:rPr>
                      <w:b/>
                      <w:color w:val="4472C4"/>
                    </w:rPr>
                    <w:t>Symbol</w:t>
                  </w:r>
                  <w:r w:rsidRPr="007C60AF">
                    <w:rPr>
                      <w:color w:val="4472C4"/>
                    </w:rPr>
                    <w:t> </w:t>
                  </w:r>
                </w:p>
              </w:tc>
              <w:tc>
                <w:tcPr>
                  <w:tcW w:w="6007" w:type="dxa"/>
                  <w:tcBorders>
                    <w:top w:val="single" w:sz="8" w:space="0" w:color="000000"/>
                    <w:left w:val="nil"/>
                    <w:bottom w:val="single" w:sz="8" w:space="0" w:color="000000"/>
                    <w:right w:val="single" w:sz="8" w:space="0" w:color="000000"/>
                  </w:tcBorders>
                  <w:shd w:val="clear" w:color="auto" w:fill="F2F2F2"/>
                </w:tcPr>
                <w:p w14:paraId="00000362" w14:textId="77777777" w:rsidR="00416D85" w:rsidRPr="007C60AF" w:rsidRDefault="00130320">
                  <w:pPr>
                    <w:spacing w:before="60" w:after="60"/>
                    <w:ind w:left="57"/>
                    <w:rPr>
                      <w:color w:val="4472C4"/>
                    </w:rPr>
                  </w:pPr>
                  <w:r w:rsidRPr="007C60AF">
                    <w:rPr>
                      <w:b/>
                      <w:color w:val="4472C4"/>
                    </w:rPr>
                    <w:t>Description</w:t>
                  </w:r>
                  <w:r w:rsidRPr="007C60AF">
                    <w:rPr>
                      <w:color w:val="4472C4"/>
                    </w:rPr>
                    <w:t> </w:t>
                  </w:r>
                </w:p>
              </w:tc>
            </w:tr>
            <w:tr w:rsidR="00416D85" w:rsidRPr="007C60AF" w14:paraId="47DF1F25" w14:textId="77777777">
              <w:trPr>
                <w:trHeight w:val="585"/>
              </w:trPr>
              <w:tc>
                <w:tcPr>
                  <w:tcW w:w="1770" w:type="dxa"/>
                  <w:vMerge w:val="restart"/>
                  <w:tcBorders>
                    <w:top w:val="nil"/>
                    <w:left w:val="single" w:sz="8" w:space="0" w:color="000000"/>
                    <w:bottom w:val="single" w:sz="8" w:space="0" w:color="000000"/>
                    <w:right w:val="single" w:sz="8" w:space="0" w:color="000000"/>
                  </w:tcBorders>
                </w:tcPr>
                <w:p w14:paraId="00000363" w14:textId="77777777" w:rsidR="00416D85" w:rsidRPr="007C60AF" w:rsidRDefault="00130320">
                  <w:pPr>
                    <w:spacing w:before="60" w:after="60"/>
                    <w:ind w:left="57"/>
                    <w:rPr>
                      <w:color w:val="4472C4"/>
                    </w:rPr>
                  </w:pPr>
                  <w:r w:rsidRPr="007C60AF">
                    <w:rPr>
                      <w:color w:val="4472C4"/>
                    </w:rPr>
                    <w:t>Type </w:t>
                  </w:r>
                </w:p>
              </w:tc>
              <w:tc>
                <w:tcPr>
                  <w:tcW w:w="1134" w:type="dxa"/>
                  <w:tcBorders>
                    <w:top w:val="nil"/>
                    <w:left w:val="nil"/>
                    <w:bottom w:val="single" w:sz="8" w:space="0" w:color="000000"/>
                    <w:right w:val="single" w:sz="8" w:space="0" w:color="000000"/>
                  </w:tcBorders>
                </w:tcPr>
                <w:p w14:paraId="00000364" w14:textId="77777777" w:rsidR="00416D85" w:rsidRPr="007C60AF" w:rsidRDefault="00130320">
                  <w:pPr>
                    <w:spacing w:before="60" w:after="60"/>
                    <w:ind w:left="57"/>
                    <w:rPr>
                      <w:color w:val="4472C4"/>
                    </w:rPr>
                  </w:pPr>
                  <w:r w:rsidRPr="007C60AF">
                    <w:rPr>
                      <w:color w:val="4472C4"/>
                    </w:rPr>
                    <w:t>F</w:t>
                  </w:r>
                </w:p>
                <w:p w14:paraId="00000365" w14:textId="77777777" w:rsidR="00416D85" w:rsidRPr="007C60AF" w:rsidRDefault="00416D85">
                  <w:pPr>
                    <w:spacing w:before="60" w:after="60"/>
                    <w:ind w:left="57"/>
                    <w:rPr>
                      <w:color w:val="4472C4"/>
                    </w:rPr>
                  </w:pPr>
                </w:p>
              </w:tc>
              <w:tc>
                <w:tcPr>
                  <w:tcW w:w="6007" w:type="dxa"/>
                  <w:tcBorders>
                    <w:top w:val="nil"/>
                    <w:left w:val="nil"/>
                    <w:bottom w:val="single" w:sz="8" w:space="0" w:color="000000"/>
                    <w:right w:val="single" w:sz="8" w:space="0" w:color="000000"/>
                  </w:tcBorders>
                </w:tcPr>
                <w:p w14:paraId="00000366" w14:textId="77777777" w:rsidR="00416D85" w:rsidRPr="007C60AF" w:rsidRDefault="00130320">
                  <w:pPr>
                    <w:spacing w:before="60" w:after="60"/>
                    <w:ind w:left="57"/>
                    <w:rPr>
                      <w:color w:val="4472C4"/>
                    </w:rPr>
                  </w:pPr>
                  <w:r w:rsidRPr="007C60AF">
                    <w:rPr>
                      <w:color w:val="4472C4"/>
                    </w:rPr>
                    <w:t>FAME (fatty-acid mono-alkyl esters) </w:t>
                  </w:r>
                </w:p>
              </w:tc>
            </w:tr>
            <w:tr w:rsidR="00416D85" w:rsidRPr="007C60AF" w14:paraId="55BAA1C3" w14:textId="77777777">
              <w:trPr>
                <w:trHeight w:val="585"/>
              </w:trPr>
              <w:tc>
                <w:tcPr>
                  <w:tcW w:w="1770" w:type="dxa"/>
                  <w:vMerge/>
                  <w:tcBorders>
                    <w:top w:val="nil"/>
                    <w:left w:val="single" w:sz="8" w:space="0" w:color="000000"/>
                    <w:bottom w:val="single" w:sz="8" w:space="0" w:color="000000"/>
                    <w:right w:val="single" w:sz="8" w:space="0" w:color="000000"/>
                  </w:tcBorders>
                </w:tcPr>
                <w:p w14:paraId="00000367"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68" w14:textId="77777777" w:rsidR="00416D85" w:rsidRPr="007C60AF" w:rsidRDefault="00130320">
                  <w:pPr>
                    <w:spacing w:before="60" w:after="60"/>
                    <w:ind w:left="57"/>
                    <w:rPr>
                      <w:color w:val="4472C4"/>
                    </w:rPr>
                  </w:pPr>
                  <w:r w:rsidRPr="007C60AF">
                    <w:rPr>
                      <w:color w:val="4472C4"/>
                    </w:rPr>
                    <w:t>P</w:t>
                  </w:r>
                </w:p>
              </w:tc>
              <w:tc>
                <w:tcPr>
                  <w:tcW w:w="6007" w:type="dxa"/>
                  <w:tcBorders>
                    <w:top w:val="nil"/>
                    <w:left w:val="nil"/>
                    <w:bottom w:val="single" w:sz="8" w:space="0" w:color="000000"/>
                    <w:right w:val="single" w:sz="8" w:space="0" w:color="000000"/>
                  </w:tcBorders>
                </w:tcPr>
                <w:p w14:paraId="00000369" w14:textId="77777777" w:rsidR="00416D85" w:rsidRPr="007C60AF" w:rsidRDefault="00130320">
                  <w:pPr>
                    <w:spacing w:before="60" w:after="60"/>
                    <w:ind w:left="57"/>
                    <w:rPr>
                      <w:color w:val="4472C4"/>
                    </w:rPr>
                  </w:pPr>
                  <w:r w:rsidRPr="007C60AF">
                    <w:rPr>
                      <w:color w:val="4472C4"/>
                    </w:rPr>
                    <w:t>Hydrotreated vegetable oil (HVO) / Paraffinic Diesel Fuel / Gasoil </w:t>
                  </w:r>
                </w:p>
              </w:tc>
            </w:tr>
            <w:tr w:rsidR="00416D85" w:rsidRPr="007C60AF" w14:paraId="73DC8F14" w14:textId="77777777">
              <w:trPr>
                <w:trHeight w:val="300"/>
              </w:trPr>
              <w:tc>
                <w:tcPr>
                  <w:tcW w:w="1770" w:type="dxa"/>
                  <w:vMerge w:val="restart"/>
                  <w:tcBorders>
                    <w:top w:val="nil"/>
                    <w:left w:val="single" w:sz="8" w:space="0" w:color="000000"/>
                    <w:bottom w:val="single" w:sz="8" w:space="0" w:color="000000"/>
                    <w:right w:val="single" w:sz="8" w:space="0" w:color="000000"/>
                  </w:tcBorders>
                </w:tcPr>
                <w:p w14:paraId="0000036A" w14:textId="77777777" w:rsidR="00416D85" w:rsidRPr="007C60AF" w:rsidRDefault="00130320">
                  <w:pPr>
                    <w:spacing w:before="60" w:after="60"/>
                    <w:ind w:left="57"/>
                    <w:rPr>
                      <w:color w:val="4472C4"/>
                    </w:rPr>
                  </w:pPr>
                  <w:r w:rsidRPr="007C60AF">
                    <w:rPr>
                      <w:color w:val="4472C4"/>
                    </w:rPr>
                    <w:t>Cold Filter Plugging </w:t>
                  </w:r>
                </w:p>
                <w:p w14:paraId="0000036B" w14:textId="77777777" w:rsidR="00416D85" w:rsidRPr="007C60AF" w:rsidRDefault="00130320">
                  <w:pPr>
                    <w:spacing w:before="60" w:after="60"/>
                    <w:ind w:left="57"/>
                    <w:rPr>
                      <w:color w:val="4472C4"/>
                    </w:rPr>
                  </w:pPr>
                  <w:r w:rsidRPr="007C60AF">
                    <w:rPr>
                      <w:color w:val="4472C4"/>
                    </w:rPr>
                    <w:t>Point (CFPP) in degrees centigrade to nearest degree </w:t>
                  </w:r>
                </w:p>
              </w:tc>
              <w:tc>
                <w:tcPr>
                  <w:tcW w:w="1134" w:type="dxa"/>
                  <w:tcBorders>
                    <w:top w:val="nil"/>
                    <w:left w:val="nil"/>
                    <w:bottom w:val="single" w:sz="8" w:space="0" w:color="000000"/>
                    <w:right w:val="single" w:sz="8" w:space="0" w:color="000000"/>
                  </w:tcBorders>
                </w:tcPr>
                <w:p w14:paraId="0000036C" w14:textId="77777777" w:rsidR="00416D85" w:rsidRPr="007C60AF" w:rsidRDefault="00130320">
                  <w:pPr>
                    <w:spacing w:before="60" w:after="60"/>
                    <w:ind w:left="57"/>
                    <w:rPr>
                      <w:color w:val="4472C4"/>
                    </w:rPr>
                  </w:pPr>
                  <w:r w:rsidRPr="007C60AF">
                    <w:rPr>
                      <w:color w:val="4472C4"/>
                    </w:rPr>
                    <w:t>1</w:t>
                  </w:r>
                </w:p>
                <w:p w14:paraId="0000036D" w14:textId="77777777" w:rsidR="00416D85" w:rsidRPr="007C60AF" w:rsidRDefault="00416D85">
                  <w:pPr>
                    <w:spacing w:before="60" w:after="60"/>
                    <w:ind w:left="57"/>
                    <w:rPr>
                      <w:color w:val="4472C4"/>
                    </w:rPr>
                  </w:pPr>
                </w:p>
                <w:p w14:paraId="0000036E" w14:textId="77777777" w:rsidR="00416D85" w:rsidRPr="007C60AF" w:rsidRDefault="00416D85">
                  <w:pPr>
                    <w:spacing w:before="60" w:after="60"/>
                    <w:ind w:left="57"/>
                    <w:rPr>
                      <w:color w:val="4472C4"/>
                    </w:rPr>
                  </w:pPr>
                </w:p>
              </w:tc>
              <w:tc>
                <w:tcPr>
                  <w:tcW w:w="6007" w:type="dxa"/>
                  <w:tcBorders>
                    <w:top w:val="nil"/>
                    <w:left w:val="nil"/>
                    <w:bottom w:val="single" w:sz="8" w:space="0" w:color="000000"/>
                    <w:right w:val="single" w:sz="8" w:space="0" w:color="000000"/>
                  </w:tcBorders>
                </w:tcPr>
                <w:p w14:paraId="0000036F" w14:textId="77777777" w:rsidR="00416D85" w:rsidRPr="007C60AF" w:rsidRDefault="00130320">
                  <w:pPr>
                    <w:spacing w:before="60" w:after="60"/>
                    <w:ind w:left="57"/>
                    <w:rPr>
                      <w:color w:val="4472C4"/>
                    </w:rPr>
                  </w:pPr>
                  <w:r w:rsidRPr="007C60AF">
                    <w:rPr>
                      <w:color w:val="4472C4"/>
                    </w:rPr>
                    <w:t>Higher than +9</w:t>
                  </w:r>
                </w:p>
              </w:tc>
            </w:tr>
            <w:tr w:rsidR="00416D85" w:rsidRPr="007C60AF" w14:paraId="6F69D8EA" w14:textId="77777777">
              <w:trPr>
                <w:trHeight w:val="495"/>
              </w:trPr>
              <w:tc>
                <w:tcPr>
                  <w:tcW w:w="1770" w:type="dxa"/>
                  <w:vMerge/>
                  <w:tcBorders>
                    <w:top w:val="nil"/>
                    <w:left w:val="single" w:sz="8" w:space="0" w:color="000000"/>
                    <w:bottom w:val="single" w:sz="8" w:space="0" w:color="000000"/>
                    <w:right w:val="single" w:sz="8" w:space="0" w:color="000000"/>
                  </w:tcBorders>
                </w:tcPr>
                <w:p w14:paraId="00000370"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71" w14:textId="77777777" w:rsidR="00416D85" w:rsidRPr="007C60AF" w:rsidRDefault="00130320">
                  <w:pPr>
                    <w:spacing w:before="60" w:after="60"/>
                    <w:ind w:left="57"/>
                    <w:rPr>
                      <w:color w:val="4472C4"/>
                    </w:rPr>
                  </w:pPr>
                  <w:r w:rsidRPr="007C60AF">
                    <w:rPr>
                      <w:color w:val="4472C4"/>
                    </w:rPr>
                    <w:t>2</w:t>
                  </w:r>
                </w:p>
              </w:tc>
              <w:tc>
                <w:tcPr>
                  <w:tcW w:w="6007" w:type="dxa"/>
                  <w:tcBorders>
                    <w:top w:val="nil"/>
                    <w:left w:val="nil"/>
                    <w:bottom w:val="single" w:sz="8" w:space="0" w:color="000000"/>
                    <w:right w:val="single" w:sz="8" w:space="0" w:color="000000"/>
                  </w:tcBorders>
                </w:tcPr>
                <w:p w14:paraId="00000372" w14:textId="77777777" w:rsidR="00416D85" w:rsidRPr="007C60AF" w:rsidRDefault="00130320">
                  <w:pPr>
                    <w:spacing w:before="60" w:after="60"/>
                    <w:ind w:left="57"/>
                    <w:rPr>
                      <w:color w:val="4472C4"/>
                    </w:rPr>
                  </w:pPr>
                  <w:r w:rsidRPr="007C60AF">
                    <w:rPr>
                      <w:color w:val="4472C4"/>
                    </w:rPr>
                    <w:t>Higher than or equal to 0 but lower than or equal to +9 </w:t>
                  </w:r>
                </w:p>
              </w:tc>
            </w:tr>
            <w:tr w:rsidR="00416D85" w:rsidRPr="007C60AF" w14:paraId="4AB38384" w14:textId="77777777">
              <w:trPr>
                <w:trHeight w:val="360"/>
              </w:trPr>
              <w:tc>
                <w:tcPr>
                  <w:tcW w:w="1770" w:type="dxa"/>
                  <w:vMerge/>
                  <w:tcBorders>
                    <w:top w:val="nil"/>
                    <w:left w:val="single" w:sz="8" w:space="0" w:color="000000"/>
                    <w:bottom w:val="single" w:sz="8" w:space="0" w:color="000000"/>
                    <w:right w:val="single" w:sz="8" w:space="0" w:color="000000"/>
                  </w:tcBorders>
                </w:tcPr>
                <w:p w14:paraId="00000373"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74" w14:textId="77777777" w:rsidR="00416D85" w:rsidRPr="007C60AF" w:rsidRDefault="00130320">
                  <w:pPr>
                    <w:spacing w:before="60" w:after="60"/>
                    <w:ind w:left="57"/>
                    <w:rPr>
                      <w:color w:val="4472C4"/>
                    </w:rPr>
                  </w:pPr>
                  <w:r w:rsidRPr="007C60AF">
                    <w:rPr>
                      <w:color w:val="4472C4"/>
                    </w:rPr>
                    <w:t>3 </w:t>
                  </w:r>
                </w:p>
              </w:tc>
              <w:tc>
                <w:tcPr>
                  <w:tcW w:w="6007" w:type="dxa"/>
                  <w:tcBorders>
                    <w:top w:val="nil"/>
                    <w:left w:val="nil"/>
                    <w:bottom w:val="single" w:sz="8" w:space="0" w:color="000000"/>
                    <w:right w:val="single" w:sz="8" w:space="0" w:color="000000"/>
                  </w:tcBorders>
                </w:tcPr>
                <w:p w14:paraId="00000375" w14:textId="77777777" w:rsidR="00416D85" w:rsidRPr="007C60AF" w:rsidRDefault="00130320">
                  <w:pPr>
                    <w:spacing w:before="60" w:after="60"/>
                    <w:ind w:left="57"/>
                    <w:rPr>
                      <w:color w:val="4472C4"/>
                    </w:rPr>
                  </w:pPr>
                  <w:r w:rsidRPr="007C60AF">
                    <w:rPr>
                      <w:color w:val="4472C4"/>
                    </w:rPr>
                    <w:t>Lower than 0 but higher than or equal to -9 </w:t>
                  </w:r>
                </w:p>
                <w:p w14:paraId="00000376" w14:textId="77777777" w:rsidR="00416D85" w:rsidRPr="007C60AF" w:rsidRDefault="00130320">
                  <w:pPr>
                    <w:spacing w:before="60" w:after="60"/>
                    <w:ind w:left="57"/>
                    <w:rPr>
                      <w:color w:val="4472C4"/>
                    </w:rPr>
                  </w:pPr>
                  <w:r w:rsidRPr="007C60AF">
                    <w:rPr>
                      <w:color w:val="4472C4"/>
                    </w:rPr>
                    <w:t> </w:t>
                  </w:r>
                </w:p>
              </w:tc>
            </w:tr>
            <w:tr w:rsidR="00416D85" w:rsidRPr="007C60AF" w14:paraId="63C93831" w14:textId="77777777">
              <w:trPr>
                <w:trHeight w:val="360"/>
              </w:trPr>
              <w:tc>
                <w:tcPr>
                  <w:tcW w:w="1770" w:type="dxa"/>
                  <w:vMerge/>
                  <w:tcBorders>
                    <w:top w:val="nil"/>
                    <w:left w:val="single" w:sz="8" w:space="0" w:color="000000"/>
                    <w:bottom w:val="single" w:sz="8" w:space="0" w:color="000000"/>
                    <w:right w:val="single" w:sz="8" w:space="0" w:color="000000"/>
                  </w:tcBorders>
                </w:tcPr>
                <w:p w14:paraId="00000377"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78" w14:textId="77777777" w:rsidR="00416D85" w:rsidRPr="007C60AF" w:rsidRDefault="00130320">
                  <w:pPr>
                    <w:spacing w:before="60" w:after="60"/>
                    <w:ind w:left="57"/>
                    <w:rPr>
                      <w:color w:val="4472C4"/>
                    </w:rPr>
                  </w:pPr>
                  <w:r w:rsidRPr="007C60AF">
                    <w:rPr>
                      <w:color w:val="4472C4"/>
                    </w:rPr>
                    <w:t>4 </w:t>
                  </w:r>
                </w:p>
              </w:tc>
              <w:tc>
                <w:tcPr>
                  <w:tcW w:w="6007" w:type="dxa"/>
                  <w:tcBorders>
                    <w:top w:val="nil"/>
                    <w:left w:val="nil"/>
                    <w:bottom w:val="single" w:sz="8" w:space="0" w:color="000000"/>
                    <w:right w:val="single" w:sz="8" w:space="0" w:color="000000"/>
                  </w:tcBorders>
                </w:tcPr>
                <w:p w14:paraId="00000379" w14:textId="77777777" w:rsidR="00416D85" w:rsidRPr="007C60AF" w:rsidRDefault="00130320">
                  <w:pPr>
                    <w:spacing w:before="60" w:after="60"/>
                    <w:ind w:left="57"/>
                    <w:rPr>
                      <w:color w:val="4472C4"/>
                    </w:rPr>
                  </w:pPr>
                  <w:r w:rsidRPr="007C60AF">
                    <w:rPr>
                      <w:color w:val="4472C4"/>
                    </w:rPr>
                    <w:t>Lower than -9 but higher than or equal to -40 </w:t>
                  </w:r>
                </w:p>
                <w:p w14:paraId="0000037A" w14:textId="77777777" w:rsidR="00416D85" w:rsidRPr="007C60AF" w:rsidRDefault="00416D85">
                  <w:pPr>
                    <w:spacing w:before="60" w:after="60"/>
                    <w:ind w:left="57"/>
                    <w:rPr>
                      <w:color w:val="4472C4"/>
                    </w:rPr>
                  </w:pPr>
                </w:p>
              </w:tc>
            </w:tr>
            <w:tr w:rsidR="00416D85" w:rsidRPr="007C60AF" w14:paraId="397D9674" w14:textId="77777777">
              <w:trPr>
                <w:trHeight w:val="390"/>
              </w:trPr>
              <w:tc>
                <w:tcPr>
                  <w:tcW w:w="1770" w:type="dxa"/>
                  <w:vMerge/>
                  <w:tcBorders>
                    <w:top w:val="nil"/>
                    <w:left w:val="single" w:sz="8" w:space="0" w:color="000000"/>
                    <w:bottom w:val="single" w:sz="8" w:space="0" w:color="000000"/>
                    <w:right w:val="single" w:sz="8" w:space="0" w:color="000000"/>
                  </w:tcBorders>
                </w:tcPr>
                <w:p w14:paraId="0000037B"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7C" w14:textId="77777777" w:rsidR="00416D85" w:rsidRPr="007C60AF" w:rsidRDefault="00130320">
                  <w:pPr>
                    <w:spacing w:before="60" w:after="60"/>
                    <w:ind w:left="57"/>
                    <w:rPr>
                      <w:color w:val="4472C4"/>
                    </w:rPr>
                  </w:pPr>
                  <w:r w:rsidRPr="007C60AF">
                    <w:rPr>
                      <w:color w:val="4472C4"/>
                    </w:rPr>
                    <w:t>5</w:t>
                  </w:r>
                </w:p>
              </w:tc>
              <w:tc>
                <w:tcPr>
                  <w:tcW w:w="6007" w:type="dxa"/>
                  <w:tcBorders>
                    <w:top w:val="nil"/>
                    <w:left w:val="nil"/>
                    <w:bottom w:val="single" w:sz="8" w:space="0" w:color="000000"/>
                    <w:right w:val="single" w:sz="8" w:space="0" w:color="000000"/>
                  </w:tcBorders>
                </w:tcPr>
                <w:p w14:paraId="0000037D" w14:textId="77777777" w:rsidR="00416D85" w:rsidRPr="007C60AF" w:rsidRDefault="00130320">
                  <w:pPr>
                    <w:spacing w:before="60" w:after="60"/>
                    <w:ind w:left="57"/>
                    <w:rPr>
                      <w:color w:val="4472C4"/>
                    </w:rPr>
                  </w:pPr>
                  <w:r w:rsidRPr="007C60AF">
                    <w:rPr>
                      <w:color w:val="4472C4"/>
                    </w:rPr>
                    <w:t>Lower than -40 </w:t>
                  </w:r>
                </w:p>
              </w:tc>
            </w:tr>
            <w:tr w:rsidR="00416D85" w:rsidRPr="007C60AF" w14:paraId="2201B423" w14:textId="77777777">
              <w:trPr>
                <w:trHeight w:val="525"/>
              </w:trPr>
              <w:tc>
                <w:tcPr>
                  <w:tcW w:w="1770" w:type="dxa"/>
                  <w:vMerge w:val="restart"/>
                  <w:tcBorders>
                    <w:top w:val="nil"/>
                    <w:left w:val="single" w:sz="8" w:space="0" w:color="000000"/>
                    <w:bottom w:val="single" w:sz="8" w:space="0" w:color="000000"/>
                    <w:right w:val="single" w:sz="8" w:space="0" w:color="000000"/>
                  </w:tcBorders>
                </w:tcPr>
                <w:p w14:paraId="0000037E" w14:textId="77777777" w:rsidR="00416D85" w:rsidRPr="007C60AF" w:rsidRDefault="00130320">
                  <w:pPr>
                    <w:spacing w:before="60" w:after="60"/>
                    <w:ind w:left="57"/>
                    <w:rPr>
                      <w:color w:val="4472C4"/>
                    </w:rPr>
                  </w:pPr>
                  <w:r w:rsidRPr="007C60AF">
                    <w:rPr>
                      <w:color w:val="4472C4"/>
                    </w:rPr>
                    <w:t>Feedstock </w:t>
                  </w:r>
                </w:p>
              </w:tc>
              <w:tc>
                <w:tcPr>
                  <w:tcW w:w="1134" w:type="dxa"/>
                  <w:tcBorders>
                    <w:top w:val="nil"/>
                    <w:left w:val="nil"/>
                    <w:bottom w:val="single" w:sz="8" w:space="0" w:color="000000"/>
                    <w:right w:val="single" w:sz="8" w:space="0" w:color="000000"/>
                  </w:tcBorders>
                </w:tcPr>
                <w:p w14:paraId="0000037F" w14:textId="77777777" w:rsidR="00416D85" w:rsidRPr="007C60AF" w:rsidRDefault="00130320">
                  <w:pPr>
                    <w:spacing w:before="60" w:after="60"/>
                    <w:ind w:left="57"/>
                    <w:rPr>
                      <w:color w:val="4472C4"/>
                    </w:rPr>
                  </w:pPr>
                  <w:r w:rsidRPr="007C60AF">
                    <w:rPr>
                      <w:color w:val="4472C4"/>
                    </w:rPr>
                    <w:t>1</w:t>
                  </w:r>
                </w:p>
                <w:p w14:paraId="00000380" w14:textId="77777777" w:rsidR="00416D85" w:rsidRPr="007C60AF" w:rsidRDefault="00416D85">
                  <w:pPr>
                    <w:spacing w:before="60" w:after="60"/>
                    <w:ind w:left="57"/>
                    <w:rPr>
                      <w:color w:val="4472C4"/>
                    </w:rPr>
                  </w:pPr>
                </w:p>
              </w:tc>
              <w:tc>
                <w:tcPr>
                  <w:tcW w:w="6007" w:type="dxa"/>
                  <w:tcBorders>
                    <w:top w:val="nil"/>
                    <w:left w:val="nil"/>
                    <w:bottom w:val="single" w:sz="8" w:space="0" w:color="000000"/>
                    <w:right w:val="single" w:sz="8" w:space="0" w:color="000000"/>
                  </w:tcBorders>
                </w:tcPr>
                <w:p w14:paraId="00000381" w14:textId="77777777" w:rsidR="00416D85" w:rsidRPr="007C60AF" w:rsidRDefault="00130320">
                  <w:pPr>
                    <w:spacing w:before="60" w:after="60"/>
                    <w:ind w:left="57"/>
                    <w:rPr>
                      <w:color w:val="4472C4"/>
                    </w:rPr>
                  </w:pPr>
                  <w:r w:rsidRPr="007C60AF">
                    <w:rPr>
                      <w:color w:val="4472C4"/>
                    </w:rPr>
                    <w:t xml:space="preserve">biodiesel from feedstocks subject to incentives (singled counted according to </w:t>
                  </w:r>
                  <w:hyperlink r:id="rId25">
                    <w:r w:rsidRPr="007C60AF">
                      <w:rPr>
                        <w:color w:val="4472C4"/>
                        <w:u w:val="single"/>
                      </w:rPr>
                      <w:t>UK RTFO categories</w:t>
                    </w:r>
                  </w:hyperlink>
                  <w:r w:rsidRPr="007C60AF">
                    <w:rPr>
                      <w:color w:val="4472C4"/>
                    </w:rPr>
                    <w:t>) </w:t>
                  </w:r>
                </w:p>
              </w:tc>
            </w:tr>
            <w:tr w:rsidR="00416D85" w:rsidRPr="007C60AF" w14:paraId="36686DF2" w14:textId="77777777">
              <w:trPr>
                <w:trHeight w:val="540"/>
              </w:trPr>
              <w:tc>
                <w:tcPr>
                  <w:tcW w:w="1770" w:type="dxa"/>
                  <w:vMerge/>
                  <w:tcBorders>
                    <w:top w:val="nil"/>
                    <w:left w:val="single" w:sz="8" w:space="0" w:color="000000"/>
                    <w:bottom w:val="single" w:sz="8" w:space="0" w:color="000000"/>
                    <w:right w:val="single" w:sz="8" w:space="0" w:color="000000"/>
                  </w:tcBorders>
                </w:tcPr>
                <w:p w14:paraId="00000382"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83" w14:textId="77777777" w:rsidR="00416D85" w:rsidRPr="007C60AF" w:rsidRDefault="00130320">
                  <w:pPr>
                    <w:spacing w:before="60" w:after="60"/>
                    <w:ind w:left="57"/>
                    <w:rPr>
                      <w:color w:val="4472C4"/>
                    </w:rPr>
                  </w:pPr>
                  <w:r w:rsidRPr="007C60AF">
                    <w:rPr>
                      <w:color w:val="4472C4"/>
                    </w:rPr>
                    <w:t>2</w:t>
                  </w:r>
                </w:p>
              </w:tc>
              <w:tc>
                <w:tcPr>
                  <w:tcW w:w="6007" w:type="dxa"/>
                  <w:tcBorders>
                    <w:top w:val="nil"/>
                    <w:left w:val="nil"/>
                    <w:bottom w:val="single" w:sz="8" w:space="0" w:color="000000"/>
                    <w:right w:val="single" w:sz="8" w:space="0" w:color="000000"/>
                  </w:tcBorders>
                </w:tcPr>
                <w:p w14:paraId="00000384" w14:textId="77777777" w:rsidR="00416D85" w:rsidRPr="007C60AF" w:rsidRDefault="00130320">
                  <w:pPr>
                    <w:spacing w:before="60" w:after="60"/>
                    <w:ind w:left="57"/>
                    <w:rPr>
                      <w:color w:val="4472C4"/>
                    </w:rPr>
                  </w:pPr>
                  <w:r w:rsidRPr="007C60AF">
                    <w:rPr>
                      <w:color w:val="4472C4"/>
                    </w:rPr>
                    <w:t xml:space="preserve">biodiesel from feedstocks subject to incentives (double counted according to </w:t>
                  </w:r>
                  <w:hyperlink r:id="rId26">
                    <w:r w:rsidRPr="007C60AF">
                      <w:rPr>
                        <w:color w:val="4472C4"/>
                        <w:u w:val="single"/>
                      </w:rPr>
                      <w:t>UK RTFO categories</w:t>
                    </w:r>
                  </w:hyperlink>
                  <w:r w:rsidRPr="007C60AF">
                    <w:rPr>
                      <w:color w:val="4472C4"/>
                    </w:rPr>
                    <w:t>) </w:t>
                  </w:r>
                </w:p>
              </w:tc>
            </w:tr>
            <w:tr w:rsidR="00416D85" w:rsidRPr="007C60AF" w14:paraId="5F4E9E7A" w14:textId="77777777">
              <w:trPr>
                <w:trHeight w:val="540"/>
              </w:trPr>
              <w:tc>
                <w:tcPr>
                  <w:tcW w:w="1770" w:type="dxa"/>
                  <w:vMerge/>
                  <w:tcBorders>
                    <w:top w:val="nil"/>
                    <w:left w:val="single" w:sz="8" w:space="0" w:color="000000"/>
                    <w:bottom w:val="single" w:sz="8" w:space="0" w:color="000000"/>
                    <w:right w:val="single" w:sz="8" w:space="0" w:color="000000"/>
                  </w:tcBorders>
                </w:tcPr>
                <w:p w14:paraId="00000385"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86" w14:textId="77777777" w:rsidR="00416D85" w:rsidRPr="007C60AF" w:rsidRDefault="00130320">
                  <w:pPr>
                    <w:spacing w:before="60" w:after="60"/>
                    <w:ind w:left="57"/>
                    <w:rPr>
                      <w:color w:val="4472C4"/>
                    </w:rPr>
                  </w:pPr>
                  <w:r w:rsidRPr="007C60AF">
                    <w:rPr>
                      <w:color w:val="4472C4"/>
                    </w:rPr>
                    <w:t>0</w:t>
                  </w:r>
                </w:p>
              </w:tc>
              <w:tc>
                <w:tcPr>
                  <w:tcW w:w="6007" w:type="dxa"/>
                  <w:tcBorders>
                    <w:top w:val="nil"/>
                    <w:left w:val="nil"/>
                    <w:bottom w:val="single" w:sz="8" w:space="0" w:color="000000"/>
                    <w:right w:val="single" w:sz="8" w:space="0" w:color="000000"/>
                  </w:tcBorders>
                </w:tcPr>
                <w:p w14:paraId="00000387" w14:textId="77777777" w:rsidR="00416D85" w:rsidRPr="007C60AF" w:rsidRDefault="00130320">
                  <w:pPr>
                    <w:spacing w:before="60" w:after="60"/>
                    <w:ind w:left="57"/>
                    <w:rPr>
                      <w:color w:val="4472C4"/>
                    </w:rPr>
                  </w:pPr>
                  <w:r w:rsidRPr="007C60AF">
                    <w:rPr>
                      <w:color w:val="4472C4"/>
                    </w:rPr>
                    <w:t>other/special purpose sold without any certificate </w:t>
                  </w:r>
                </w:p>
              </w:tc>
            </w:tr>
            <w:tr w:rsidR="00416D85" w:rsidRPr="007C60AF" w14:paraId="662285AF" w14:textId="77777777">
              <w:trPr>
                <w:trHeight w:val="585"/>
              </w:trPr>
              <w:tc>
                <w:tcPr>
                  <w:tcW w:w="1770" w:type="dxa"/>
                  <w:vMerge w:val="restart"/>
                  <w:tcBorders>
                    <w:top w:val="nil"/>
                    <w:left w:val="single" w:sz="8" w:space="0" w:color="000000"/>
                    <w:bottom w:val="single" w:sz="8" w:space="0" w:color="000000"/>
                    <w:right w:val="single" w:sz="8" w:space="0" w:color="000000"/>
                  </w:tcBorders>
                </w:tcPr>
                <w:p w14:paraId="00000388" w14:textId="77777777" w:rsidR="00416D85" w:rsidRPr="007C60AF" w:rsidRDefault="00130320">
                  <w:pPr>
                    <w:spacing w:before="60" w:after="60"/>
                    <w:ind w:left="57"/>
                    <w:rPr>
                      <w:color w:val="4472C4"/>
                    </w:rPr>
                  </w:pPr>
                  <w:r w:rsidRPr="007C60AF">
                    <w:rPr>
                      <w:color w:val="4472C4"/>
                    </w:rPr>
                    <w:t>Form </w:t>
                  </w:r>
                </w:p>
              </w:tc>
              <w:tc>
                <w:tcPr>
                  <w:tcW w:w="1134" w:type="dxa"/>
                  <w:tcBorders>
                    <w:top w:val="nil"/>
                    <w:left w:val="nil"/>
                    <w:bottom w:val="single" w:sz="8" w:space="0" w:color="000000"/>
                    <w:right w:val="single" w:sz="8" w:space="0" w:color="000000"/>
                  </w:tcBorders>
                </w:tcPr>
                <w:p w14:paraId="00000389" w14:textId="77777777" w:rsidR="00416D85" w:rsidRPr="007C60AF" w:rsidRDefault="00130320">
                  <w:pPr>
                    <w:spacing w:before="60" w:after="60"/>
                    <w:ind w:left="57"/>
                    <w:rPr>
                      <w:color w:val="4472C4"/>
                    </w:rPr>
                  </w:pPr>
                  <w:r w:rsidRPr="007C60AF">
                    <w:rPr>
                      <w:color w:val="4472C4"/>
                    </w:rPr>
                    <w:t>R(100)</w:t>
                  </w:r>
                </w:p>
              </w:tc>
              <w:tc>
                <w:tcPr>
                  <w:tcW w:w="6007" w:type="dxa"/>
                  <w:tcBorders>
                    <w:top w:val="nil"/>
                    <w:left w:val="nil"/>
                    <w:bottom w:val="single" w:sz="8" w:space="0" w:color="000000"/>
                    <w:right w:val="single" w:sz="8" w:space="0" w:color="000000"/>
                  </w:tcBorders>
                </w:tcPr>
                <w:p w14:paraId="0000038A" w14:textId="77777777" w:rsidR="00416D85" w:rsidRPr="007C60AF" w:rsidRDefault="00130320">
                  <w:pPr>
                    <w:spacing w:before="60" w:after="60"/>
                    <w:ind w:left="57"/>
                    <w:rPr>
                      <w:color w:val="4472C4"/>
                    </w:rPr>
                  </w:pPr>
                  <w:r w:rsidRPr="007C60AF">
                    <w:rPr>
                      <w:color w:val="4472C4"/>
                    </w:rPr>
                    <w:t>Pure form </w:t>
                  </w:r>
                </w:p>
              </w:tc>
            </w:tr>
            <w:tr w:rsidR="00416D85" w:rsidRPr="007C60AF" w14:paraId="556F82D5" w14:textId="77777777">
              <w:trPr>
                <w:trHeight w:val="585"/>
              </w:trPr>
              <w:tc>
                <w:tcPr>
                  <w:tcW w:w="1770" w:type="dxa"/>
                  <w:vMerge/>
                  <w:tcBorders>
                    <w:top w:val="nil"/>
                    <w:left w:val="single" w:sz="8" w:space="0" w:color="000000"/>
                    <w:bottom w:val="single" w:sz="8" w:space="0" w:color="000000"/>
                    <w:right w:val="single" w:sz="8" w:space="0" w:color="000000"/>
                  </w:tcBorders>
                </w:tcPr>
                <w:p w14:paraId="0000038B"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8C" w14:textId="77777777" w:rsidR="00416D85" w:rsidRPr="007C60AF" w:rsidRDefault="00130320">
                  <w:pPr>
                    <w:spacing w:before="60" w:after="60"/>
                    <w:ind w:left="57"/>
                    <w:rPr>
                      <w:color w:val="4472C4"/>
                    </w:rPr>
                  </w:pPr>
                  <w:r w:rsidRPr="007C60AF">
                    <w:rPr>
                      <w:color w:val="4472C4"/>
                    </w:rPr>
                    <w:t>B(XX)</w:t>
                  </w:r>
                </w:p>
              </w:tc>
              <w:tc>
                <w:tcPr>
                  <w:tcW w:w="6007" w:type="dxa"/>
                  <w:tcBorders>
                    <w:top w:val="nil"/>
                    <w:left w:val="nil"/>
                    <w:bottom w:val="single" w:sz="8" w:space="0" w:color="000000"/>
                    <w:right w:val="single" w:sz="8" w:space="0" w:color="000000"/>
                  </w:tcBorders>
                </w:tcPr>
                <w:p w14:paraId="0000038D" w14:textId="77777777" w:rsidR="00416D85" w:rsidRPr="007C60AF" w:rsidRDefault="00130320">
                  <w:pPr>
                    <w:spacing w:before="60" w:after="60"/>
                    <w:ind w:left="57"/>
                    <w:rPr>
                      <w:color w:val="4472C4"/>
                    </w:rPr>
                  </w:pPr>
                  <w:r w:rsidRPr="007C60AF">
                    <w:rPr>
                      <w:color w:val="4472C4"/>
                    </w:rPr>
                    <w:t>XX equals percentage of biodiesel blended with mineral diesel (The nearest percentage rounded down to a whole number) </w:t>
                  </w:r>
                </w:p>
              </w:tc>
            </w:tr>
          </w:tbl>
          <w:p w14:paraId="0000038E" w14:textId="77777777" w:rsidR="00416D85" w:rsidRPr="007C60AF" w:rsidRDefault="00416D85">
            <w:pPr>
              <w:jc w:val="both"/>
              <w:rPr>
                <w:color w:val="4472C4"/>
              </w:rPr>
            </w:pPr>
          </w:p>
        </w:tc>
      </w:tr>
    </w:tbl>
    <w:p w14:paraId="0000038F" w14:textId="77777777" w:rsidR="00416D85" w:rsidRPr="007C60AF" w:rsidRDefault="00416D85">
      <w:pPr>
        <w:widowControl w:val="0"/>
        <w:pBdr>
          <w:top w:val="nil"/>
          <w:left w:val="nil"/>
          <w:bottom w:val="nil"/>
          <w:right w:val="nil"/>
          <w:between w:val="nil"/>
        </w:pBdr>
        <w:spacing w:after="0" w:line="276" w:lineRule="auto"/>
        <w:rPr>
          <w:color w:val="4472C4"/>
        </w:rPr>
      </w:pP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082E95B7" w14:textId="77777777">
        <w:tc>
          <w:tcPr>
            <w:tcW w:w="4508" w:type="dxa"/>
            <w:tcBorders>
              <w:top w:val="single" w:sz="4" w:space="0" w:color="FFFFFF"/>
              <w:left w:val="nil"/>
              <w:bottom w:val="nil"/>
              <w:right w:val="single" w:sz="4" w:space="0" w:color="000000"/>
            </w:tcBorders>
          </w:tcPr>
          <w:p w14:paraId="00000390" w14:textId="77777777" w:rsidR="00416D85" w:rsidRPr="007C60AF" w:rsidRDefault="00416D85">
            <w:pPr>
              <w:jc w:val="both"/>
            </w:pPr>
          </w:p>
        </w:tc>
        <w:tc>
          <w:tcPr>
            <w:tcW w:w="4508" w:type="dxa"/>
            <w:tcBorders>
              <w:left w:val="single" w:sz="4" w:space="0" w:color="000000"/>
            </w:tcBorders>
          </w:tcPr>
          <w:p w14:paraId="00000391" w14:textId="77777777" w:rsidR="00416D85" w:rsidRPr="007C60AF" w:rsidRDefault="00130320">
            <w:pPr>
              <w:jc w:val="both"/>
            </w:pPr>
            <w:r w:rsidRPr="007C60AF">
              <w:t xml:space="preserve">Appendix reference: </w:t>
            </w:r>
            <w:r w:rsidRPr="007C60AF">
              <w:rPr>
                <w:color w:val="4472C4"/>
              </w:rPr>
              <w:t>N/A</w:t>
            </w:r>
          </w:p>
        </w:tc>
      </w:tr>
    </w:tbl>
    <w:p w14:paraId="00000392" w14:textId="77777777" w:rsidR="00416D85" w:rsidRPr="007C60AF" w:rsidRDefault="00130320">
      <w:pPr>
        <w:pBdr>
          <w:top w:val="nil"/>
          <w:left w:val="nil"/>
          <w:bottom w:val="nil"/>
          <w:right w:val="nil"/>
          <w:between w:val="nil"/>
        </w:pBdr>
        <w:spacing w:before="360" w:after="120" w:line="360" w:lineRule="auto"/>
        <w:jc w:val="both"/>
        <w:rPr>
          <w:rFonts w:eastAsia="Arial"/>
          <w:color w:val="000000"/>
          <w:sz w:val="36"/>
          <w:szCs w:val="36"/>
        </w:rPr>
      </w:pPr>
      <w:r w:rsidRPr="007C60AF">
        <w:br w:type="page"/>
      </w:r>
    </w:p>
    <w:p w14:paraId="00000393"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29" w:name="_heading=h.whop89f2ko2x" w:colFirst="0" w:colLast="0"/>
      <w:bookmarkEnd w:id="29"/>
      <w:r w:rsidRPr="007C60AF">
        <w:rPr>
          <w:rFonts w:eastAsia="Arial"/>
          <w:b/>
          <w:color w:val="4472C4"/>
          <w:sz w:val="36"/>
          <w:szCs w:val="36"/>
        </w:rPr>
        <w:lastRenderedPageBreak/>
        <w:t xml:space="preserve">SECTION B: </w:t>
      </w:r>
      <w:r w:rsidRPr="007C60AF">
        <w:rPr>
          <w:rFonts w:eastAsia="Arial"/>
          <w:b/>
          <w:color w:val="000000"/>
          <w:sz w:val="36"/>
          <w:szCs w:val="36"/>
        </w:rPr>
        <w:t>About the Application</w:t>
      </w:r>
    </w:p>
    <w:p w14:paraId="00000394"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Individuals or groupings of companies, individuals and trade bodies can all be applicants. Generally, an industry that is concerned about a set of imported goods should make only one application to us for an investigation. When we assess your application, we will consider information about all the companies which make up the group that is applying. When you are answering questions about the goods you produce, please include information about the goods produced by all the companies and individuals who are submitting this application. </w:t>
      </w:r>
    </w:p>
    <w:p w14:paraId="00000395"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bookmarkStart w:id="30" w:name="_heading=h.ru4omaqkx0sj" w:colFirst="0" w:colLast="0"/>
      <w:bookmarkEnd w:id="30"/>
      <w:r w:rsidRPr="007C60AF">
        <w:rPr>
          <w:rFonts w:eastAsia="Arial"/>
          <w:b/>
          <w:color w:val="4472C4"/>
          <w:sz w:val="28"/>
          <w:szCs w:val="28"/>
        </w:rPr>
        <w:t xml:space="preserve">B.1. </w:t>
      </w:r>
      <w:r w:rsidRPr="007C60AF">
        <w:rPr>
          <w:rFonts w:eastAsia="Arial"/>
          <w:b/>
          <w:color w:val="000000"/>
          <w:sz w:val="28"/>
          <w:szCs w:val="28"/>
        </w:rPr>
        <w:t>Applicant Information</w:t>
      </w:r>
    </w:p>
    <w:p w14:paraId="00000396"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b/>
          <w:color w:val="4472C4"/>
        </w:rPr>
      </w:pPr>
      <w:r w:rsidRPr="007C60AF">
        <w:rPr>
          <w:rFonts w:eastAsia="Arial"/>
          <w:b/>
          <w:color w:val="4472C4"/>
        </w:rPr>
        <w:t>Applicant 1:</w:t>
      </w:r>
    </w:p>
    <w:p w14:paraId="00000397"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Name of Applicant</w:t>
      </w:r>
    </w:p>
    <w:tbl>
      <w:tblPr>
        <w:tblStyle w:val="af7"/>
        <w:tblW w:w="9016" w:type="dxa"/>
        <w:tblLayout w:type="fixed"/>
        <w:tblLook w:val="0400" w:firstRow="0" w:lastRow="0" w:firstColumn="0" w:lastColumn="0" w:noHBand="0" w:noVBand="1"/>
      </w:tblPr>
      <w:tblGrid>
        <w:gridCol w:w="9016"/>
      </w:tblGrid>
      <w:tr w:rsidR="00416D85" w:rsidRPr="007C60AF" w14:paraId="7E3233FD"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98" w14:textId="77777777" w:rsidR="00416D85" w:rsidRPr="007C60AF" w:rsidRDefault="00130320">
            <w:pPr>
              <w:spacing w:after="0"/>
              <w:jc w:val="both"/>
              <w:rPr>
                <w:color w:val="4472C4"/>
              </w:rPr>
            </w:pPr>
            <w:r w:rsidRPr="007C60AF">
              <w:rPr>
                <w:color w:val="4472C4"/>
              </w:rPr>
              <w:t>Renewable Transport Fuel Association ("</w:t>
            </w:r>
            <w:r w:rsidRPr="007C60AF">
              <w:rPr>
                <w:b/>
                <w:color w:val="4472C4"/>
              </w:rPr>
              <w:t>RTFA</w:t>
            </w:r>
            <w:r w:rsidRPr="007C60AF">
              <w:rPr>
                <w:color w:val="4472C4"/>
              </w:rPr>
              <w:t>")</w:t>
            </w:r>
          </w:p>
        </w:tc>
      </w:tr>
    </w:tbl>
    <w:p w14:paraId="00000399"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Address</w:t>
      </w:r>
    </w:p>
    <w:tbl>
      <w:tblPr>
        <w:tblStyle w:val="af8"/>
        <w:tblW w:w="9016" w:type="dxa"/>
        <w:tblLayout w:type="fixed"/>
        <w:tblLook w:val="0400" w:firstRow="0" w:lastRow="0" w:firstColumn="0" w:lastColumn="0" w:noHBand="0" w:noVBand="1"/>
      </w:tblPr>
      <w:tblGrid>
        <w:gridCol w:w="9016"/>
      </w:tblGrid>
      <w:tr w:rsidR="00416D85" w:rsidRPr="007C60AF" w14:paraId="67017F0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9A" w14:textId="77777777" w:rsidR="00416D85" w:rsidRPr="007C60AF" w:rsidRDefault="00130320">
            <w:pPr>
              <w:spacing w:after="0"/>
              <w:jc w:val="both"/>
            </w:pPr>
            <w:proofErr w:type="spellStart"/>
            <w:r w:rsidRPr="007C60AF">
              <w:rPr>
                <w:color w:val="4472C4"/>
              </w:rPr>
              <w:t>Ensus</w:t>
            </w:r>
            <w:proofErr w:type="spellEnd"/>
            <w:r w:rsidRPr="007C60AF">
              <w:rPr>
                <w:color w:val="4472C4"/>
              </w:rPr>
              <w:t xml:space="preserve"> UK Ltd, Middleway, Wilton Site, Redcar, TS10 4RG</w:t>
            </w:r>
          </w:p>
        </w:tc>
      </w:tr>
    </w:tbl>
    <w:p w14:paraId="0000039B"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Email </w:t>
      </w:r>
    </w:p>
    <w:tbl>
      <w:tblPr>
        <w:tblStyle w:val="af9"/>
        <w:tblW w:w="9016" w:type="dxa"/>
        <w:tblLayout w:type="fixed"/>
        <w:tblLook w:val="0400" w:firstRow="0" w:lastRow="0" w:firstColumn="0" w:lastColumn="0" w:noHBand="0" w:noVBand="1"/>
      </w:tblPr>
      <w:tblGrid>
        <w:gridCol w:w="9016"/>
      </w:tblGrid>
      <w:tr w:rsidR="00416D85" w:rsidRPr="007C60AF" w14:paraId="3F73DF3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9C" w14:textId="77777777" w:rsidR="00416D85" w:rsidRPr="007C60AF" w:rsidRDefault="00130320">
            <w:pPr>
              <w:spacing w:after="0"/>
              <w:jc w:val="both"/>
              <w:rPr>
                <w:color w:val="4472C4"/>
              </w:rPr>
            </w:pPr>
            <w:r w:rsidRPr="007C60AF">
              <w:rPr>
                <w:b/>
                <w:color w:val="4472C4"/>
              </w:rPr>
              <w:t>[SENSITIVE – CONTAINS PERSONAL INFORMATION]</w:t>
            </w:r>
          </w:p>
        </w:tc>
      </w:tr>
    </w:tbl>
    <w:p w14:paraId="0000039D"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Telephone </w:t>
      </w:r>
    </w:p>
    <w:tbl>
      <w:tblPr>
        <w:tblStyle w:val="afa"/>
        <w:tblW w:w="9016" w:type="dxa"/>
        <w:tblLayout w:type="fixed"/>
        <w:tblLook w:val="0400" w:firstRow="0" w:lastRow="0" w:firstColumn="0" w:lastColumn="0" w:noHBand="0" w:noVBand="1"/>
      </w:tblPr>
      <w:tblGrid>
        <w:gridCol w:w="9016"/>
      </w:tblGrid>
      <w:tr w:rsidR="00416D85" w:rsidRPr="007C60AF" w14:paraId="5B47952D"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9E" w14:textId="77777777" w:rsidR="00416D85" w:rsidRPr="007C60AF" w:rsidRDefault="00130320">
            <w:pPr>
              <w:spacing w:after="0"/>
              <w:jc w:val="both"/>
              <w:rPr>
                <w:color w:val="4472C4"/>
              </w:rPr>
            </w:pPr>
            <w:r w:rsidRPr="007C60AF">
              <w:rPr>
                <w:b/>
                <w:color w:val="4472C4"/>
              </w:rPr>
              <w:t>[SENSITIVE – CONTAINS PERSONAL INFORMATION]</w:t>
            </w:r>
          </w:p>
        </w:tc>
      </w:tr>
    </w:tbl>
    <w:p w14:paraId="0000039F"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Contact Name  </w:t>
      </w:r>
    </w:p>
    <w:tbl>
      <w:tblPr>
        <w:tblStyle w:val="afb"/>
        <w:tblW w:w="9016" w:type="dxa"/>
        <w:tblLayout w:type="fixed"/>
        <w:tblLook w:val="0400" w:firstRow="0" w:lastRow="0" w:firstColumn="0" w:lastColumn="0" w:noHBand="0" w:noVBand="1"/>
      </w:tblPr>
      <w:tblGrid>
        <w:gridCol w:w="9016"/>
      </w:tblGrid>
      <w:tr w:rsidR="00416D85" w:rsidRPr="007C60AF" w14:paraId="6432C8C5"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0" w14:textId="77777777" w:rsidR="00416D85" w:rsidRPr="007C60AF" w:rsidRDefault="00130320">
            <w:pPr>
              <w:spacing w:after="0"/>
              <w:jc w:val="both"/>
            </w:pPr>
            <w:r w:rsidRPr="007C60AF">
              <w:rPr>
                <w:b/>
                <w:color w:val="4472C4"/>
              </w:rPr>
              <w:t>[SENSITIVE – CONTAINS PERSONAL INFORMATION]</w:t>
            </w:r>
          </w:p>
        </w:tc>
      </w:tr>
    </w:tbl>
    <w:p w14:paraId="000003A1"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Company Ownership (provide broad details of shareholding)</w:t>
      </w:r>
    </w:p>
    <w:tbl>
      <w:tblPr>
        <w:tblStyle w:val="afc"/>
        <w:tblW w:w="9016" w:type="dxa"/>
        <w:tblLayout w:type="fixed"/>
        <w:tblLook w:val="0400" w:firstRow="0" w:lastRow="0" w:firstColumn="0" w:lastColumn="0" w:noHBand="0" w:noVBand="1"/>
      </w:tblPr>
      <w:tblGrid>
        <w:gridCol w:w="9016"/>
      </w:tblGrid>
      <w:tr w:rsidR="00416D85" w:rsidRPr="007C60AF" w14:paraId="0B4D1D3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2" w14:textId="77777777" w:rsidR="00416D85" w:rsidRPr="007C60AF" w:rsidRDefault="00130320">
            <w:pPr>
              <w:spacing w:after="0"/>
              <w:jc w:val="both"/>
              <w:rPr>
                <w:color w:val="4472C4"/>
              </w:rPr>
            </w:pPr>
            <w:r w:rsidRPr="007C60AF">
              <w:rPr>
                <w:color w:val="4472C4"/>
              </w:rPr>
              <w:t>The RTFA is a trade association representing the producers (and prospective producers) of sustainable renewable and recycled carbon fuel ("</w:t>
            </w:r>
            <w:r w:rsidRPr="007C60AF">
              <w:rPr>
                <w:b/>
                <w:color w:val="4472C4"/>
              </w:rPr>
              <w:t>Renewable Fuels</w:t>
            </w:r>
            <w:r w:rsidRPr="007C60AF">
              <w:rPr>
                <w:color w:val="4472C4"/>
              </w:rPr>
              <w:t>"). Renewable Fuels companies comprise companies producing liquid Renewable Fuels, together with suppliers of gaseous fuels such as biomethane to transport.</w:t>
            </w:r>
          </w:p>
          <w:p w14:paraId="000003A3" w14:textId="77777777" w:rsidR="00416D85" w:rsidRPr="007C60AF" w:rsidRDefault="00416D85">
            <w:pPr>
              <w:spacing w:after="0"/>
              <w:jc w:val="both"/>
              <w:rPr>
                <w:color w:val="4472C4"/>
              </w:rPr>
            </w:pPr>
          </w:p>
          <w:p w14:paraId="000003A4" w14:textId="77777777" w:rsidR="00416D85" w:rsidRPr="007C60AF" w:rsidRDefault="00130320">
            <w:pPr>
              <w:spacing w:after="0"/>
              <w:jc w:val="both"/>
              <w:rPr>
                <w:color w:val="4472C4"/>
              </w:rPr>
            </w:pPr>
            <w:r w:rsidRPr="007C60AF">
              <w:rPr>
                <w:color w:val="4472C4"/>
              </w:rPr>
              <w:t>All firms, companies, and other entities engaged in the business of the production and supply of Renewable Fuels are eligible in principle to apply for membership of the RTFA. The affairs of the RTFA shall not be conducted for profit.</w:t>
            </w:r>
          </w:p>
          <w:p w14:paraId="000003A5" w14:textId="77777777" w:rsidR="00416D85" w:rsidRPr="007C60AF" w:rsidRDefault="00416D85">
            <w:pPr>
              <w:spacing w:after="0"/>
              <w:jc w:val="both"/>
              <w:rPr>
                <w:color w:val="4472C4"/>
              </w:rPr>
            </w:pPr>
          </w:p>
          <w:p w14:paraId="000003A6" w14:textId="77777777" w:rsidR="00416D85" w:rsidRPr="007C60AF" w:rsidRDefault="00130320">
            <w:pPr>
              <w:spacing w:after="0"/>
              <w:jc w:val="both"/>
              <w:rPr>
                <w:color w:val="4472C4"/>
              </w:rPr>
            </w:pPr>
            <w:r w:rsidRPr="007C60AF">
              <w:rPr>
                <w:color w:val="4472C4"/>
              </w:rPr>
              <w:lastRenderedPageBreak/>
              <w:t xml:space="preserve">Members are eligible to stand for election to the Board. Each Member entitled to vote shall be entitled to exercise </w:t>
            </w:r>
            <w:proofErr w:type="gramStart"/>
            <w:r w:rsidRPr="007C60AF">
              <w:rPr>
                <w:color w:val="4472C4"/>
              </w:rPr>
              <w:t>a number of</w:t>
            </w:r>
            <w:proofErr w:type="gramEnd"/>
            <w:r w:rsidRPr="007C60AF">
              <w:rPr>
                <w:color w:val="4472C4"/>
              </w:rPr>
              <w:t xml:space="preserve"> votes equal to the number of vacancies for Directors.</w:t>
            </w:r>
          </w:p>
        </w:tc>
      </w:tr>
    </w:tbl>
    <w:p w14:paraId="000003A7"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b/>
          <w:color w:val="4472C4"/>
        </w:rPr>
      </w:pPr>
      <w:r w:rsidRPr="007C60AF">
        <w:rPr>
          <w:rFonts w:eastAsia="Arial"/>
          <w:b/>
          <w:color w:val="4472C4"/>
        </w:rPr>
        <w:lastRenderedPageBreak/>
        <w:t>Applicant 2:</w:t>
      </w:r>
    </w:p>
    <w:p w14:paraId="000003A8"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Name of Applicant</w:t>
      </w:r>
    </w:p>
    <w:tbl>
      <w:tblPr>
        <w:tblStyle w:val="afd"/>
        <w:tblW w:w="9016" w:type="dxa"/>
        <w:tblLayout w:type="fixed"/>
        <w:tblLook w:val="0400" w:firstRow="0" w:lastRow="0" w:firstColumn="0" w:lastColumn="0" w:noHBand="0" w:noVBand="1"/>
      </w:tblPr>
      <w:tblGrid>
        <w:gridCol w:w="9016"/>
      </w:tblGrid>
      <w:tr w:rsidR="00416D85" w:rsidRPr="007C60AF" w14:paraId="28666CD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9" w14:textId="77777777" w:rsidR="00416D85" w:rsidRPr="007C60AF" w:rsidRDefault="00130320">
            <w:pPr>
              <w:spacing w:after="0"/>
              <w:jc w:val="both"/>
              <w:rPr>
                <w:color w:val="4472C4"/>
              </w:rPr>
            </w:pPr>
            <w:proofErr w:type="spellStart"/>
            <w:r w:rsidRPr="007C60AF">
              <w:rPr>
                <w:color w:val="4472C4"/>
              </w:rPr>
              <w:t>Greenergy</w:t>
            </w:r>
            <w:proofErr w:type="spellEnd"/>
            <w:r w:rsidRPr="007C60AF">
              <w:rPr>
                <w:color w:val="4472C4"/>
              </w:rPr>
              <w:t xml:space="preserve"> Fuels Limited ("</w:t>
            </w:r>
            <w:proofErr w:type="spellStart"/>
            <w:r w:rsidRPr="007C60AF">
              <w:rPr>
                <w:b/>
                <w:color w:val="4472C4"/>
              </w:rPr>
              <w:t>Greenergy</w:t>
            </w:r>
            <w:proofErr w:type="spellEnd"/>
            <w:r w:rsidRPr="007C60AF">
              <w:rPr>
                <w:color w:val="4472C4"/>
              </w:rPr>
              <w:t>")</w:t>
            </w:r>
          </w:p>
        </w:tc>
      </w:tr>
    </w:tbl>
    <w:p w14:paraId="000003AA"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Address</w:t>
      </w:r>
    </w:p>
    <w:tbl>
      <w:tblPr>
        <w:tblStyle w:val="afe"/>
        <w:tblW w:w="9016" w:type="dxa"/>
        <w:tblLayout w:type="fixed"/>
        <w:tblLook w:val="0400" w:firstRow="0" w:lastRow="0" w:firstColumn="0" w:lastColumn="0" w:noHBand="0" w:noVBand="1"/>
      </w:tblPr>
      <w:tblGrid>
        <w:gridCol w:w="9016"/>
      </w:tblGrid>
      <w:tr w:rsidR="00416D85" w:rsidRPr="007C60AF" w14:paraId="7C6983B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B" w14:textId="77777777" w:rsidR="00416D85" w:rsidRPr="007C60AF" w:rsidRDefault="00130320">
            <w:pPr>
              <w:spacing w:after="0"/>
              <w:jc w:val="both"/>
            </w:pPr>
            <w:r w:rsidRPr="007C60AF">
              <w:rPr>
                <w:color w:val="4472C4"/>
              </w:rPr>
              <w:t>198 High Holborn, London, WC1V 7BD</w:t>
            </w:r>
          </w:p>
        </w:tc>
      </w:tr>
    </w:tbl>
    <w:p w14:paraId="000003AC"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Email </w:t>
      </w:r>
    </w:p>
    <w:tbl>
      <w:tblPr>
        <w:tblStyle w:val="aff"/>
        <w:tblW w:w="9016" w:type="dxa"/>
        <w:tblLayout w:type="fixed"/>
        <w:tblLook w:val="0400" w:firstRow="0" w:lastRow="0" w:firstColumn="0" w:lastColumn="0" w:noHBand="0" w:noVBand="1"/>
      </w:tblPr>
      <w:tblGrid>
        <w:gridCol w:w="9016"/>
      </w:tblGrid>
      <w:tr w:rsidR="00416D85" w:rsidRPr="007C60AF" w14:paraId="76EECBA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D" w14:textId="77777777" w:rsidR="00416D85" w:rsidRPr="007C60AF" w:rsidRDefault="00130320">
            <w:pPr>
              <w:spacing w:after="0"/>
              <w:jc w:val="both"/>
              <w:rPr>
                <w:color w:val="4472C4"/>
              </w:rPr>
            </w:pPr>
            <w:r w:rsidRPr="007C60AF">
              <w:rPr>
                <w:b/>
                <w:color w:val="4472C4"/>
              </w:rPr>
              <w:t>[SENSITIVE – CONTAINS PERSONAL INFORMATION]</w:t>
            </w:r>
          </w:p>
        </w:tc>
      </w:tr>
    </w:tbl>
    <w:p w14:paraId="000003AE"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Telephone </w:t>
      </w:r>
    </w:p>
    <w:tbl>
      <w:tblPr>
        <w:tblStyle w:val="aff0"/>
        <w:tblW w:w="9016" w:type="dxa"/>
        <w:tblLayout w:type="fixed"/>
        <w:tblLook w:val="0400" w:firstRow="0" w:lastRow="0" w:firstColumn="0" w:lastColumn="0" w:noHBand="0" w:noVBand="1"/>
      </w:tblPr>
      <w:tblGrid>
        <w:gridCol w:w="9016"/>
      </w:tblGrid>
      <w:tr w:rsidR="00416D85" w:rsidRPr="007C60AF" w14:paraId="4207030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F" w14:textId="77777777" w:rsidR="00416D85" w:rsidRPr="007C60AF" w:rsidRDefault="00130320">
            <w:pPr>
              <w:spacing w:after="0"/>
              <w:jc w:val="both"/>
              <w:rPr>
                <w:color w:val="4472C4"/>
              </w:rPr>
            </w:pPr>
            <w:r w:rsidRPr="007C60AF">
              <w:rPr>
                <w:b/>
                <w:color w:val="4472C4"/>
              </w:rPr>
              <w:t>[SENSITIVE – CONTAINS PERSONAL INFORMATION]</w:t>
            </w:r>
          </w:p>
        </w:tc>
      </w:tr>
    </w:tbl>
    <w:p w14:paraId="000003B0"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Contact Name  </w:t>
      </w:r>
    </w:p>
    <w:tbl>
      <w:tblPr>
        <w:tblStyle w:val="aff1"/>
        <w:tblW w:w="9016" w:type="dxa"/>
        <w:tblLayout w:type="fixed"/>
        <w:tblLook w:val="0400" w:firstRow="0" w:lastRow="0" w:firstColumn="0" w:lastColumn="0" w:noHBand="0" w:noVBand="1"/>
      </w:tblPr>
      <w:tblGrid>
        <w:gridCol w:w="9016"/>
      </w:tblGrid>
      <w:tr w:rsidR="00416D85" w:rsidRPr="007C60AF" w14:paraId="220D1E0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1" w14:textId="77777777" w:rsidR="00416D85" w:rsidRPr="007C60AF" w:rsidRDefault="00130320">
            <w:pPr>
              <w:spacing w:after="0"/>
              <w:jc w:val="both"/>
            </w:pPr>
            <w:r w:rsidRPr="007C60AF">
              <w:rPr>
                <w:b/>
                <w:color w:val="4472C4"/>
              </w:rPr>
              <w:t>[SENSITIVE – CONTAINS PERSONAL INFORMATION]</w:t>
            </w:r>
          </w:p>
        </w:tc>
      </w:tr>
    </w:tbl>
    <w:p w14:paraId="000003B2"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Company Ownership (provide broad details of shareholding)</w:t>
      </w:r>
    </w:p>
    <w:tbl>
      <w:tblPr>
        <w:tblStyle w:val="aff2"/>
        <w:tblW w:w="9016" w:type="dxa"/>
        <w:tblLayout w:type="fixed"/>
        <w:tblLook w:val="0400" w:firstRow="0" w:lastRow="0" w:firstColumn="0" w:lastColumn="0" w:noHBand="0" w:noVBand="1"/>
      </w:tblPr>
      <w:tblGrid>
        <w:gridCol w:w="9016"/>
      </w:tblGrid>
      <w:tr w:rsidR="00416D85" w:rsidRPr="007C60AF" w14:paraId="6C44F81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3" w14:textId="77777777" w:rsidR="00416D85" w:rsidRPr="007C60AF" w:rsidRDefault="00130320">
            <w:pPr>
              <w:spacing w:after="0"/>
              <w:jc w:val="both"/>
              <w:rPr>
                <w:color w:val="4472C4"/>
              </w:rPr>
            </w:pPr>
            <w:proofErr w:type="spellStart"/>
            <w:r w:rsidRPr="007C60AF">
              <w:rPr>
                <w:color w:val="4472C4"/>
              </w:rPr>
              <w:t>Greenergy</w:t>
            </w:r>
            <w:proofErr w:type="spellEnd"/>
            <w:r w:rsidRPr="007C60AF">
              <w:rPr>
                <w:color w:val="4472C4"/>
              </w:rPr>
              <w:t xml:space="preserve"> Fuels Limited is a private limited company </w:t>
            </w:r>
            <w:r w:rsidRPr="007C60AF">
              <w:rPr>
                <w:b/>
                <w:color w:val="4472C4"/>
              </w:rPr>
              <w:t>[SENSITIVE COMMERCIAL INFORMATION]</w:t>
            </w:r>
            <w:r w:rsidRPr="007C60AF">
              <w:rPr>
                <w:color w:val="4472C4"/>
              </w:rPr>
              <w:t>. Please refer to the structure chart in Appendix B.1 for further details.</w:t>
            </w:r>
          </w:p>
        </w:tc>
      </w:tr>
    </w:tbl>
    <w:p w14:paraId="000003B4"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b/>
          <w:color w:val="4472C4"/>
        </w:rPr>
      </w:pPr>
      <w:r w:rsidRPr="007C60AF">
        <w:rPr>
          <w:rFonts w:eastAsia="Arial"/>
          <w:b/>
          <w:color w:val="4472C4"/>
        </w:rPr>
        <w:t>Applicant 3:</w:t>
      </w:r>
    </w:p>
    <w:p w14:paraId="000003B5"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Name of Applicant</w:t>
      </w:r>
    </w:p>
    <w:tbl>
      <w:tblPr>
        <w:tblStyle w:val="aff3"/>
        <w:tblW w:w="9016" w:type="dxa"/>
        <w:tblLayout w:type="fixed"/>
        <w:tblLook w:val="0400" w:firstRow="0" w:lastRow="0" w:firstColumn="0" w:lastColumn="0" w:noHBand="0" w:noVBand="1"/>
      </w:tblPr>
      <w:tblGrid>
        <w:gridCol w:w="9016"/>
      </w:tblGrid>
      <w:tr w:rsidR="00416D85" w:rsidRPr="007C60AF" w14:paraId="2CEF2BA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6" w14:textId="77777777" w:rsidR="00416D85" w:rsidRPr="007C60AF" w:rsidRDefault="00130320">
            <w:pPr>
              <w:spacing w:after="0"/>
              <w:jc w:val="both"/>
              <w:rPr>
                <w:color w:val="4472C4"/>
              </w:rPr>
            </w:pPr>
            <w:r w:rsidRPr="007C60AF">
              <w:rPr>
                <w:color w:val="4472C4"/>
              </w:rPr>
              <w:t>Argent Energy Limited ("</w:t>
            </w:r>
            <w:r w:rsidRPr="007C60AF">
              <w:rPr>
                <w:b/>
                <w:color w:val="4472C4"/>
              </w:rPr>
              <w:t>Argent</w:t>
            </w:r>
            <w:r w:rsidRPr="007C60AF">
              <w:rPr>
                <w:color w:val="4472C4"/>
              </w:rPr>
              <w:t>")</w:t>
            </w:r>
          </w:p>
        </w:tc>
      </w:tr>
    </w:tbl>
    <w:p w14:paraId="000003B7"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Address</w:t>
      </w:r>
    </w:p>
    <w:tbl>
      <w:tblPr>
        <w:tblStyle w:val="aff4"/>
        <w:tblW w:w="9016" w:type="dxa"/>
        <w:tblLayout w:type="fixed"/>
        <w:tblLook w:val="0400" w:firstRow="0" w:lastRow="0" w:firstColumn="0" w:lastColumn="0" w:noHBand="0" w:noVBand="1"/>
      </w:tblPr>
      <w:tblGrid>
        <w:gridCol w:w="9016"/>
      </w:tblGrid>
      <w:tr w:rsidR="00416D85" w:rsidRPr="007C60AF" w14:paraId="6E6A8BA5"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8" w14:textId="77777777" w:rsidR="00416D85" w:rsidRPr="007C60AF" w:rsidRDefault="00130320">
            <w:pPr>
              <w:spacing w:after="0"/>
              <w:jc w:val="both"/>
            </w:pPr>
            <w:proofErr w:type="spellStart"/>
            <w:r w:rsidRPr="007C60AF">
              <w:rPr>
                <w:color w:val="4472C4"/>
              </w:rPr>
              <w:t>Aldford</w:t>
            </w:r>
            <w:proofErr w:type="spellEnd"/>
            <w:r w:rsidRPr="007C60AF">
              <w:rPr>
                <w:color w:val="4472C4"/>
              </w:rPr>
              <w:t xml:space="preserve"> House, Lloyd Drive, Cheshire Oaks Business Park, Ellesmere Port, CH5 9HQ</w:t>
            </w:r>
          </w:p>
        </w:tc>
      </w:tr>
    </w:tbl>
    <w:p w14:paraId="000003B9"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Email </w:t>
      </w:r>
    </w:p>
    <w:tbl>
      <w:tblPr>
        <w:tblStyle w:val="aff5"/>
        <w:tblW w:w="9016" w:type="dxa"/>
        <w:tblLayout w:type="fixed"/>
        <w:tblLook w:val="0400" w:firstRow="0" w:lastRow="0" w:firstColumn="0" w:lastColumn="0" w:noHBand="0" w:noVBand="1"/>
      </w:tblPr>
      <w:tblGrid>
        <w:gridCol w:w="9016"/>
      </w:tblGrid>
      <w:tr w:rsidR="00416D85" w:rsidRPr="007C60AF" w14:paraId="087C1AF4"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A" w14:textId="77777777" w:rsidR="00416D85" w:rsidRPr="007C60AF" w:rsidRDefault="00130320">
            <w:pPr>
              <w:spacing w:after="0"/>
              <w:jc w:val="both"/>
              <w:rPr>
                <w:color w:val="4472C4"/>
              </w:rPr>
            </w:pPr>
            <w:r w:rsidRPr="007C60AF">
              <w:rPr>
                <w:b/>
                <w:color w:val="4472C4"/>
              </w:rPr>
              <w:t>[SENSITIVE – CONTAINS PERSONAL INFORMATION]</w:t>
            </w:r>
          </w:p>
        </w:tc>
      </w:tr>
    </w:tbl>
    <w:p w14:paraId="000003BB"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Telephone </w:t>
      </w:r>
    </w:p>
    <w:tbl>
      <w:tblPr>
        <w:tblStyle w:val="aff6"/>
        <w:tblW w:w="9016" w:type="dxa"/>
        <w:tblLayout w:type="fixed"/>
        <w:tblLook w:val="0400" w:firstRow="0" w:lastRow="0" w:firstColumn="0" w:lastColumn="0" w:noHBand="0" w:noVBand="1"/>
      </w:tblPr>
      <w:tblGrid>
        <w:gridCol w:w="9016"/>
      </w:tblGrid>
      <w:tr w:rsidR="00416D85" w:rsidRPr="007C60AF" w14:paraId="1C22A63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C" w14:textId="77777777" w:rsidR="00416D85" w:rsidRPr="007C60AF" w:rsidRDefault="00130320">
            <w:pPr>
              <w:spacing w:after="0"/>
              <w:jc w:val="both"/>
              <w:rPr>
                <w:color w:val="4472C4"/>
              </w:rPr>
            </w:pPr>
            <w:r w:rsidRPr="007C60AF">
              <w:rPr>
                <w:b/>
                <w:color w:val="4472C4"/>
              </w:rPr>
              <w:t>[SENSITIVE – CONTAINS PERSONAL INFORMATION]</w:t>
            </w:r>
          </w:p>
        </w:tc>
      </w:tr>
    </w:tbl>
    <w:p w14:paraId="000003BD"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Contact Name  </w:t>
      </w:r>
    </w:p>
    <w:tbl>
      <w:tblPr>
        <w:tblStyle w:val="aff7"/>
        <w:tblW w:w="9016" w:type="dxa"/>
        <w:tblLayout w:type="fixed"/>
        <w:tblLook w:val="0400" w:firstRow="0" w:lastRow="0" w:firstColumn="0" w:lastColumn="0" w:noHBand="0" w:noVBand="1"/>
      </w:tblPr>
      <w:tblGrid>
        <w:gridCol w:w="9016"/>
      </w:tblGrid>
      <w:tr w:rsidR="00416D85" w:rsidRPr="007C60AF" w14:paraId="785009F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E" w14:textId="77777777" w:rsidR="00416D85" w:rsidRPr="007C60AF" w:rsidRDefault="00130320">
            <w:pPr>
              <w:spacing w:after="0"/>
              <w:jc w:val="both"/>
            </w:pPr>
            <w:r w:rsidRPr="007C60AF">
              <w:rPr>
                <w:b/>
                <w:color w:val="4472C4"/>
              </w:rPr>
              <w:lastRenderedPageBreak/>
              <w:t>[SENSITIVE – CONTAINS PERSONAL INFORMATION]</w:t>
            </w:r>
          </w:p>
        </w:tc>
      </w:tr>
    </w:tbl>
    <w:p w14:paraId="000003BF"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Company Ownership (provide broad details of shareholding)</w:t>
      </w:r>
    </w:p>
    <w:tbl>
      <w:tblPr>
        <w:tblStyle w:val="aff8"/>
        <w:tblW w:w="9016" w:type="dxa"/>
        <w:tblLayout w:type="fixed"/>
        <w:tblLook w:val="0400" w:firstRow="0" w:lastRow="0" w:firstColumn="0" w:lastColumn="0" w:noHBand="0" w:noVBand="1"/>
      </w:tblPr>
      <w:tblGrid>
        <w:gridCol w:w="9016"/>
      </w:tblGrid>
      <w:tr w:rsidR="00416D85" w:rsidRPr="007C60AF" w14:paraId="319BFF9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0" w14:textId="77777777" w:rsidR="00416D85" w:rsidRPr="007C60AF" w:rsidRDefault="00130320">
            <w:pPr>
              <w:spacing w:after="0"/>
              <w:jc w:val="both"/>
              <w:rPr>
                <w:color w:val="4472C4"/>
              </w:rPr>
            </w:pPr>
            <w:r w:rsidRPr="007C60AF">
              <w:rPr>
                <w:color w:val="4472C4"/>
              </w:rPr>
              <w:t xml:space="preserve">Argent Energy Limited is a private limited company </w:t>
            </w:r>
            <w:r w:rsidRPr="007C60AF">
              <w:rPr>
                <w:b/>
                <w:color w:val="4472C4"/>
              </w:rPr>
              <w:t>[SENSITIVE COMMERCIAL INFORMATION]</w:t>
            </w:r>
            <w:r w:rsidRPr="007C60AF">
              <w:rPr>
                <w:color w:val="4472C4"/>
              </w:rPr>
              <w:t>. Please refer to the structure chart in Appendix B.2 for further details.</w:t>
            </w:r>
          </w:p>
        </w:tc>
      </w:tr>
    </w:tbl>
    <w:p w14:paraId="000003C1"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b/>
          <w:color w:val="4472C4"/>
        </w:rPr>
      </w:pPr>
      <w:r w:rsidRPr="007C60AF">
        <w:rPr>
          <w:rFonts w:eastAsia="Arial"/>
          <w:b/>
          <w:color w:val="4472C4"/>
        </w:rPr>
        <w:t>Applicant 4:</w:t>
      </w:r>
    </w:p>
    <w:p w14:paraId="000003C2"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Name of Applicant</w:t>
      </w:r>
    </w:p>
    <w:tbl>
      <w:tblPr>
        <w:tblStyle w:val="aff9"/>
        <w:tblW w:w="9016" w:type="dxa"/>
        <w:tblLayout w:type="fixed"/>
        <w:tblLook w:val="0400" w:firstRow="0" w:lastRow="0" w:firstColumn="0" w:lastColumn="0" w:noHBand="0" w:noVBand="1"/>
      </w:tblPr>
      <w:tblGrid>
        <w:gridCol w:w="9016"/>
      </w:tblGrid>
      <w:tr w:rsidR="00416D85" w:rsidRPr="007C60AF" w14:paraId="48A9CF4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3" w14:textId="77777777" w:rsidR="00416D85" w:rsidRPr="007C60AF" w:rsidRDefault="00130320">
            <w:pPr>
              <w:spacing w:after="0"/>
              <w:jc w:val="both"/>
              <w:rPr>
                <w:color w:val="4472C4"/>
              </w:rPr>
            </w:pPr>
            <w:proofErr w:type="spellStart"/>
            <w:r w:rsidRPr="007C60AF">
              <w:rPr>
                <w:color w:val="4472C4"/>
              </w:rPr>
              <w:t>Olleco</w:t>
            </w:r>
            <w:proofErr w:type="spellEnd"/>
          </w:p>
        </w:tc>
      </w:tr>
    </w:tbl>
    <w:p w14:paraId="000003C4"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Address</w:t>
      </w:r>
    </w:p>
    <w:tbl>
      <w:tblPr>
        <w:tblStyle w:val="affa"/>
        <w:tblW w:w="9016" w:type="dxa"/>
        <w:tblLayout w:type="fixed"/>
        <w:tblLook w:val="0400" w:firstRow="0" w:lastRow="0" w:firstColumn="0" w:lastColumn="0" w:noHBand="0" w:noVBand="1"/>
      </w:tblPr>
      <w:tblGrid>
        <w:gridCol w:w="9016"/>
      </w:tblGrid>
      <w:tr w:rsidR="00416D85" w:rsidRPr="007C60AF" w14:paraId="358194D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5" w14:textId="77777777" w:rsidR="00416D85" w:rsidRPr="007C60AF" w:rsidRDefault="00130320">
            <w:pPr>
              <w:spacing w:after="0"/>
              <w:jc w:val="both"/>
            </w:pPr>
            <w:r w:rsidRPr="007C60AF">
              <w:rPr>
                <w:color w:val="4472C4"/>
              </w:rPr>
              <w:t>Battlefield Road, Shrewsbury, Shropshire, SY1 4AH</w:t>
            </w:r>
          </w:p>
        </w:tc>
      </w:tr>
    </w:tbl>
    <w:p w14:paraId="000003C6"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Email </w:t>
      </w:r>
    </w:p>
    <w:tbl>
      <w:tblPr>
        <w:tblStyle w:val="affb"/>
        <w:tblW w:w="9016" w:type="dxa"/>
        <w:tblLayout w:type="fixed"/>
        <w:tblLook w:val="0400" w:firstRow="0" w:lastRow="0" w:firstColumn="0" w:lastColumn="0" w:noHBand="0" w:noVBand="1"/>
      </w:tblPr>
      <w:tblGrid>
        <w:gridCol w:w="9016"/>
      </w:tblGrid>
      <w:tr w:rsidR="00416D85" w:rsidRPr="007C60AF" w14:paraId="47379881"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7" w14:textId="77777777" w:rsidR="00416D85" w:rsidRPr="007C60AF" w:rsidRDefault="00130320">
            <w:pPr>
              <w:spacing w:after="0"/>
              <w:jc w:val="both"/>
              <w:rPr>
                <w:color w:val="4472C4"/>
              </w:rPr>
            </w:pPr>
            <w:r w:rsidRPr="007C60AF">
              <w:rPr>
                <w:b/>
                <w:color w:val="4472C4"/>
              </w:rPr>
              <w:t>[SENSITIVE – CONTAINS PERSONAL INFORMATION]</w:t>
            </w:r>
          </w:p>
        </w:tc>
      </w:tr>
    </w:tbl>
    <w:p w14:paraId="000003C8"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Telephone </w:t>
      </w:r>
    </w:p>
    <w:tbl>
      <w:tblPr>
        <w:tblStyle w:val="affc"/>
        <w:tblW w:w="9016" w:type="dxa"/>
        <w:tblLayout w:type="fixed"/>
        <w:tblLook w:val="0400" w:firstRow="0" w:lastRow="0" w:firstColumn="0" w:lastColumn="0" w:noHBand="0" w:noVBand="1"/>
      </w:tblPr>
      <w:tblGrid>
        <w:gridCol w:w="9016"/>
      </w:tblGrid>
      <w:tr w:rsidR="00416D85" w:rsidRPr="007C60AF" w14:paraId="3AE260A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9" w14:textId="77777777" w:rsidR="00416D85" w:rsidRPr="007C60AF" w:rsidRDefault="00130320">
            <w:pPr>
              <w:spacing w:after="0"/>
              <w:jc w:val="both"/>
              <w:rPr>
                <w:color w:val="4472C4"/>
              </w:rPr>
            </w:pPr>
            <w:r w:rsidRPr="007C60AF">
              <w:rPr>
                <w:b/>
                <w:color w:val="4472C4"/>
              </w:rPr>
              <w:t>[SENSITIVE – CONTAINS PERSONAL INFORMATION]</w:t>
            </w:r>
          </w:p>
        </w:tc>
      </w:tr>
    </w:tbl>
    <w:p w14:paraId="000003CA"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Contact Name  </w:t>
      </w:r>
    </w:p>
    <w:tbl>
      <w:tblPr>
        <w:tblStyle w:val="affd"/>
        <w:tblW w:w="9016" w:type="dxa"/>
        <w:tblLayout w:type="fixed"/>
        <w:tblLook w:val="0400" w:firstRow="0" w:lastRow="0" w:firstColumn="0" w:lastColumn="0" w:noHBand="0" w:noVBand="1"/>
      </w:tblPr>
      <w:tblGrid>
        <w:gridCol w:w="9016"/>
      </w:tblGrid>
      <w:tr w:rsidR="00416D85" w:rsidRPr="007C60AF" w14:paraId="19A2038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B" w14:textId="77777777" w:rsidR="00416D85" w:rsidRPr="007C60AF" w:rsidRDefault="00130320">
            <w:pPr>
              <w:spacing w:after="0"/>
              <w:jc w:val="both"/>
            </w:pPr>
            <w:r w:rsidRPr="007C60AF">
              <w:rPr>
                <w:b/>
                <w:color w:val="4472C4"/>
              </w:rPr>
              <w:t>[SENSITIVE – CONTAINS PERSONAL INFORMATION]</w:t>
            </w:r>
          </w:p>
        </w:tc>
      </w:tr>
    </w:tbl>
    <w:p w14:paraId="000003CC"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Company Ownership (provide broad details of shareholding)</w:t>
      </w:r>
    </w:p>
    <w:tbl>
      <w:tblPr>
        <w:tblStyle w:val="affe"/>
        <w:tblW w:w="9016" w:type="dxa"/>
        <w:tblLayout w:type="fixed"/>
        <w:tblLook w:val="0400" w:firstRow="0" w:lastRow="0" w:firstColumn="0" w:lastColumn="0" w:noHBand="0" w:noVBand="1"/>
      </w:tblPr>
      <w:tblGrid>
        <w:gridCol w:w="9016"/>
      </w:tblGrid>
      <w:tr w:rsidR="00416D85" w:rsidRPr="007C60AF" w14:paraId="776E930E"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D" w14:textId="77777777" w:rsidR="00416D85" w:rsidRPr="007C60AF" w:rsidRDefault="00130320">
            <w:pPr>
              <w:spacing w:after="0"/>
              <w:jc w:val="both"/>
              <w:rPr>
                <w:color w:val="4472C4"/>
              </w:rPr>
            </w:pPr>
            <w:proofErr w:type="spellStart"/>
            <w:r w:rsidRPr="007C60AF">
              <w:rPr>
                <w:color w:val="4472C4"/>
              </w:rPr>
              <w:t>Olleco</w:t>
            </w:r>
            <w:proofErr w:type="spellEnd"/>
            <w:r w:rsidRPr="007C60AF">
              <w:rPr>
                <w:color w:val="4472C4"/>
              </w:rPr>
              <w:t xml:space="preserve"> is a private unlimited company </w:t>
            </w:r>
            <w:r w:rsidRPr="007C60AF">
              <w:rPr>
                <w:b/>
                <w:color w:val="4472C4"/>
              </w:rPr>
              <w:t>[SENSITIVE COMMERCIAL INFORMATION]</w:t>
            </w:r>
            <w:r w:rsidRPr="007C60AF">
              <w:rPr>
                <w:color w:val="4472C4"/>
              </w:rPr>
              <w:t xml:space="preserve">. </w:t>
            </w:r>
            <w:proofErr w:type="spellStart"/>
            <w:r w:rsidRPr="007C60AF">
              <w:rPr>
                <w:color w:val="4472C4"/>
              </w:rPr>
              <w:t>Olleco</w:t>
            </w:r>
            <w:proofErr w:type="spellEnd"/>
            <w:r w:rsidRPr="007C60AF">
              <w:rPr>
                <w:color w:val="4472C4"/>
              </w:rPr>
              <w:t xml:space="preserve"> is the renewables arm of ABP Food Group. Please refer to the structure chart in Appendix B.3 for further details.</w:t>
            </w:r>
          </w:p>
        </w:tc>
      </w:tr>
    </w:tbl>
    <w:p w14:paraId="000003CE" w14:textId="77777777" w:rsidR="00416D85" w:rsidRPr="007C60AF" w:rsidRDefault="00416D85">
      <w:pPr>
        <w:jc w:val="both"/>
      </w:pPr>
    </w:p>
    <w:p w14:paraId="000003CF"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Name of Lawyer/Representative</w:t>
      </w:r>
    </w:p>
    <w:tbl>
      <w:tblPr>
        <w:tblStyle w:val="afff"/>
        <w:tblW w:w="9016" w:type="dxa"/>
        <w:tblLayout w:type="fixed"/>
        <w:tblLook w:val="0400" w:firstRow="0" w:lastRow="0" w:firstColumn="0" w:lastColumn="0" w:noHBand="0" w:noVBand="1"/>
      </w:tblPr>
      <w:tblGrid>
        <w:gridCol w:w="9016"/>
      </w:tblGrid>
      <w:tr w:rsidR="00416D85" w:rsidRPr="007C60AF" w14:paraId="680C7CB1"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D0" w14:textId="77777777" w:rsidR="00416D85" w:rsidRPr="007C60AF" w:rsidRDefault="00130320">
            <w:pPr>
              <w:spacing w:after="0"/>
              <w:jc w:val="both"/>
              <w:rPr>
                <w:b/>
                <w:color w:val="4472C4"/>
              </w:rPr>
            </w:pPr>
            <w:r w:rsidRPr="007C60AF">
              <w:rPr>
                <w:b/>
                <w:color w:val="4472C4"/>
              </w:rPr>
              <w:t>[SENSITIVE – CONTAINS PERSONAL INFORMATION]</w:t>
            </w:r>
          </w:p>
          <w:p w14:paraId="000003D1" w14:textId="77777777" w:rsidR="00416D85" w:rsidRPr="007C60AF" w:rsidRDefault="00416D85">
            <w:pPr>
              <w:spacing w:after="0"/>
              <w:jc w:val="both"/>
              <w:rPr>
                <w:b/>
                <w:color w:val="4472C4"/>
              </w:rPr>
            </w:pPr>
          </w:p>
          <w:p w14:paraId="000003D2" w14:textId="77777777" w:rsidR="00416D85" w:rsidRPr="007C60AF" w:rsidRDefault="00130320">
            <w:pPr>
              <w:spacing w:after="0"/>
              <w:jc w:val="both"/>
              <w:rPr>
                <w:color w:val="4472C4"/>
              </w:rPr>
            </w:pPr>
            <w:r w:rsidRPr="007C60AF">
              <w:rPr>
                <w:color w:val="4472C4"/>
              </w:rPr>
              <w:t>Fieldfisher LLP</w:t>
            </w:r>
          </w:p>
          <w:p w14:paraId="000003D3" w14:textId="77777777" w:rsidR="00416D85" w:rsidRPr="007C60AF" w:rsidRDefault="00130320">
            <w:pPr>
              <w:spacing w:after="0"/>
              <w:jc w:val="both"/>
              <w:rPr>
                <w:color w:val="4472C4"/>
              </w:rPr>
            </w:pPr>
            <w:r w:rsidRPr="007C60AF">
              <w:rPr>
                <w:color w:val="4472C4"/>
              </w:rPr>
              <w:t>Riverbank House</w:t>
            </w:r>
          </w:p>
          <w:p w14:paraId="000003D4" w14:textId="77777777" w:rsidR="00416D85" w:rsidRPr="007C60AF" w:rsidRDefault="00130320">
            <w:pPr>
              <w:spacing w:after="0"/>
              <w:jc w:val="both"/>
              <w:rPr>
                <w:color w:val="4472C4"/>
              </w:rPr>
            </w:pPr>
            <w:r w:rsidRPr="007C60AF">
              <w:rPr>
                <w:color w:val="4472C4"/>
              </w:rPr>
              <w:t>2 Swan Lane</w:t>
            </w:r>
          </w:p>
          <w:p w14:paraId="000003D5" w14:textId="77777777" w:rsidR="00416D85" w:rsidRPr="007C60AF" w:rsidRDefault="00130320">
            <w:pPr>
              <w:spacing w:after="0"/>
              <w:jc w:val="both"/>
              <w:rPr>
                <w:color w:val="4472C4"/>
              </w:rPr>
            </w:pPr>
            <w:r w:rsidRPr="007C60AF">
              <w:rPr>
                <w:color w:val="4472C4"/>
              </w:rPr>
              <w:t>London EC4R 3TT</w:t>
            </w:r>
          </w:p>
          <w:p w14:paraId="000003D6" w14:textId="77777777" w:rsidR="00416D85" w:rsidRPr="007C60AF" w:rsidRDefault="00416D85">
            <w:pPr>
              <w:spacing w:after="0"/>
              <w:jc w:val="both"/>
              <w:rPr>
                <w:color w:val="4472C4"/>
              </w:rPr>
            </w:pPr>
          </w:p>
          <w:p w14:paraId="000003D7" w14:textId="77777777" w:rsidR="00416D85" w:rsidRPr="007C60AF" w:rsidRDefault="00130320">
            <w:pPr>
              <w:spacing w:after="0"/>
              <w:jc w:val="both"/>
              <w:rPr>
                <w:color w:val="4472C4"/>
              </w:rPr>
            </w:pPr>
            <w:r w:rsidRPr="007C60AF">
              <w:rPr>
                <w:color w:val="4472C4"/>
              </w:rPr>
              <w:t>Email: info@fieldfisher.com</w:t>
            </w:r>
          </w:p>
          <w:p w14:paraId="000003D8" w14:textId="77777777" w:rsidR="00416D85" w:rsidRPr="007C60AF" w:rsidRDefault="00130320">
            <w:pPr>
              <w:spacing w:after="0"/>
              <w:jc w:val="both"/>
              <w:rPr>
                <w:color w:val="4472C4"/>
              </w:rPr>
            </w:pPr>
            <w:r w:rsidRPr="007C60AF">
              <w:rPr>
                <w:color w:val="4472C4"/>
              </w:rPr>
              <w:t>Telephone: +44 330 460 7000</w:t>
            </w:r>
          </w:p>
        </w:tc>
      </w:tr>
    </w:tbl>
    <w:p w14:paraId="000003D9" w14:textId="77777777" w:rsidR="00416D85" w:rsidRPr="007C60AF" w:rsidRDefault="00416D85">
      <w:pPr>
        <w:jc w:val="both"/>
      </w:pPr>
    </w:p>
    <w:p w14:paraId="000003DA"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lastRenderedPageBreak/>
        <w:t>B.2. Supporter of the Application</w:t>
      </w:r>
    </w:p>
    <w:tbl>
      <w:tblPr>
        <w:tblStyle w:val="afff0"/>
        <w:tblW w:w="9016" w:type="dxa"/>
        <w:tblLayout w:type="fixed"/>
        <w:tblLook w:val="0400" w:firstRow="0" w:lastRow="0" w:firstColumn="0" w:lastColumn="0" w:noHBand="0" w:noVBand="1"/>
      </w:tblPr>
      <w:tblGrid>
        <w:gridCol w:w="9016"/>
      </w:tblGrid>
      <w:tr w:rsidR="00416D85" w:rsidRPr="007C60AF" w14:paraId="42186ED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DB" w14:textId="77777777" w:rsidR="00416D85" w:rsidRPr="007C60AF" w:rsidRDefault="00130320">
            <w:pPr>
              <w:spacing w:after="0"/>
              <w:jc w:val="both"/>
              <w:rPr>
                <w:color w:val="4472C4"/>
              </w:rPr>
            </w:pPr>
            <w:r w:rsidRPr="007C60AF">
              <w:rPr>
                <w:color w:val="4472C4"/>
              </w:rPr>
              <w:t>Neste Corporation is the largest HVO producer in Europe and supports this Application. Please find contact details for Neste below:</w:t>
            </w:r>
          </w:p>
          <w:p w14:paraId="000003DC" w14:textId="77777777" w:rsidR="00416D85" w:rsidRPr="007C60AF" w:rsidRDefault="00416D85">
            <w:pPr>
              <w:spacing w:after="0"/>
              <w:jc w:val="both"/>
              <w:rPr>
                <w:color w:val="4472C4"/>
              </w:rPr>
            </w:pPr>
          </w:p>
          <w:p w14:paraId="000003DD" w14:textId="77777777" w:rsidR="00416D85" w:rsidRPr="007C60AF" w:rsidRDefault="00130320">
            <w:pPr>
              <w:spacing w:after="0"/>
              <w:jc w:val="both"/>
              <w:rPr>
                <w:color w:val="4472C4"/>
              </w:rPr>
            </w:pPr>
            <w:r w:rsidRPr="007C60AF">
              <w:rPr>
                <w:color w:val="4472C4"/>
              </w:rPr>
              <w:t>Address: Rond-Point Robert Schuman 6, B-1040 Brussels, Belgium</w:t>
            </w:r>
          </w:p>
          <w:p w14:paraId="000003DE" w14:textId="77777777" w:rsidR="00416D85" w:rsidRPr="007C60AF" w:rsidRDefault="00130320">
            <w:pPr>
              <w:spacing w:after="0"/>
              <w:jc w:val="both"/>
              <w:rPr>
                <w:b/>
                <w:color w:val="4472C4"/>
              </w:rPr>
            </w:pPr>
            <w:r w:rsidRPr="007C60AF">
              <w:rPr>
                <w:b/>
                <w:color w:val="4472C4"/>
              </w:rPr>
              <w:t>[SENSITIVE – CONTAINS PERSONAL INFORMATION]</w:t>
            </w:r>
          </w:p>
        </w:tc>
      </w:tr>
    </w:tbl>
    <w:p w14:paraId="000003DF" w14:textId="77777777" w:rsidR="00416D85" w:rsidRPr="007C60AF" w:rsidRDefault="00416D85">
      <w:pPr>
        <w:pBdr>
          <w:top w:val="nil"/>
          <w:left w:val="nil"/>
          <w:bottom w:val="nil"/>
          <w:right w:val="nil"/>
          <w:between w:val="nil"/>
        </w:pBdr>
        <w:spacing w:before="120" w:line="360" w:lineRule="auto"/>
        <w:jc w:val="both"/>
        <w:rPr>
          <w:rFonts w:eastAsia="Arial"/>
          <w:b/>
          <w:color w:val="000000"/>
          <w:sz w:val="28"/>
          <w:szCs w:val="28"/>
        </w:rPr>
      </w:pPr>
    </w:p>
    <w:p w14:paraId="000003E0"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t xml:space="preserve">B.3. </w:t>
      </w:r>
      <w:r w:rsidRPr="007C60AF">
        <w:rPr>
          <w:rFonts w:eastAsia="Arial"/>
          <w:b/>
          <w:color w:val="000000"/>
          <w:sz w:val="28"/>
          <w:szCs w:val="28"/>
        </w:rPr>
        <w:t>Period of Investigation</w:t>
      </w:r>
    </w:p>
    <w:p w14:paraId="000003E1" w14:textId="77777777" w:rsidR="00416D85" w:rsidRPr="007C60AF" w:rsidRDefault="00130320">
      <w:pPr>
        <w:jc w:val="both"/>
      </w:pPr>
      <w:r w:rsidRPr="007C60AF">
        <w:t>For the subsequent sections, please use the same 12-month period for every question and indicate below which 12-month period you are using. This period should not end more than six months before the date this application is submitted. This period will be referred to as ‘the period of investigation (POI)’ for the rest of the application. The 36-month period preceding the POI, will be referred to as the injury period. Please indicate the 12-month POI in the box below.</w:t>
      </w:r>
    </w:p>
    <w:tbl>
      <w:tblPr>
        <w:tblStyle w:val="afff1"/>
        <w:tblW w:w="9016" w:type="dxa"/>
        <w:tblLayout w:type="fixed"/>
        <w:tblLook w:val="0400" w:firstRow="0" w:lastRow="0" w:firstColumn="0" w:lastColumn="0" w:noHBand="0" w:noVBand="1"/>
      </w:tblPr>
      <w:tblGrid>
        <w:gridCol w:w="9016"/>
      </w:tblGrid>
      <w:tr w:rsidR="00416D85" w:rsidRPr="007C60AF" w14:paraId="3E60EE1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E2" w14:textId="77777777" w:rsidR="00416D85" w:rsidRPr="007C60AF" w:rsidRDefault="00130320">
            <w:pPr>
              <w:spacing w:after="0"/>
              <w:jc w:val="both"/>
              <w:rPr>
                <w:color w:val="4472C4"/>
              </w:rPr>
            </w:pPr>
            <w:r w:rsidRPr="007C60AF">
              <w:rPr>
                <w:color w:val="4472C4"/>
              </w:rPr>
              <w:t>The period of investigation is Q2 2023 to Q1 2024.</w:t>
            </w:r>
          </w:p>
          <w:p w14:paraId="000003E3" w14:textId="77777777" w:rsidR="00416D85" w:rsidRPr="007C60AF" w:rsidRDefault="00416D85">
            <w:pPr>
              <w:spacing w:after="0"/>
              <w:jc w:val="both"/>
              <w:rPr>
                <w:color w:val="4472C4"/>
              </w:rPr>
            </w:pPr>
          </w:p>
          <w:p w14:paraId="000003E4" w14:textId="77777777" w:rsidR="00416D85" w:rsidRPr="007C60AF" w:rsidRDefault="00130320">
            <w:pPr>
              <w:spacing w:after="0"/>
              <w:jc w:val="both"/>
              <w:rPr>
                <w:color w:val="4472C4"/>
              </w:rPr>
            </w:pPr>
            <w:r w:rsidRPr="007C60AF">
              <w:rPr>
                <w:color w:val="4472C4"/>
              </w:rPr>
              <w:t xml:space="preserve">The injury period is Q2 2020 – Q1 2023. </w:t>
            </w:r>
          </w:p>
        </w:tc>
      </w:tr>
    </w:tbl>
    <w:p w14:paraId="000003E5" w14:textId="77777777" w:rsidR="00416D85" w:rsidRPr="007C60AF" w:rsidRDefault="00416D85">
      <w:pPr>
        <w:pBdr>
          <w:top w:val="nil"/>
          <w:left w:val="nil"/>
          <w:bottom w:val="nil"/>
          <w:right w:val="nil"/>
          <w:between w:val="nil"/>
        </w:pBdr>
        <w:spacing w:before="120" w:after="0"/>
        <w:ind w:left="567" w:hanging="567"/>
        <w:jc w:val="both"/>
        <w:rPr>
          <w:rFonts w:eastAsia="Arial"/>
          <w:color w:val="000000"/>
        </w:rPr>
      </w:pPr>
    </w:p>
    <w:p w14:paraId="000003E6" w14:textId="77777777" w:rsidR="00416D85" w:rsidRPr="007C60AF" w:rsidRDefault="00130320">
      <w:pPr>
        <w:pBdr>
          <w:top w:val="nil"/>
          <w:left w:val="nil"/>
          <w:bottom w:val="nil"/>
          <w:right w:val="nil"/>
          <w:between w:val="nil"/>
        </w:pBdr>
        <w:ind w:left="567" w:hanging="567"/>
        <w:jc w:val="both"/>
        <w:rPr>
          <w:rFonts w:eastAsia="Arial"/>
          <w:color w:val="000000"/>
        </w:rPr>
      </w:pPr>
      <w:r w:rsidRPr="007C60AF">
        <w:rPr>
          <w:rFonts w:eastAsia="Arial"/>
          <w:color w:val="000000"/>
        </w:rPr>
        <w:t>Please give the volume and value of like goods you produced in the UK for the POI.</w:t>
      </w:r>
    </w:p>
    <w:tbl>
      <w:tblPr>
        <w:tblStyle w:val="afff2"/>
        <w:tblW w:w="9016" w:type="dxa"/>
        <w:tblLayout w:type="fixed"/>
        <w:tblLook w:val="0400" w:firstRow="0" w:lastRow="0" w:firstColumn="0" w:lastColumn="0" w:noHBand="0" w:noVBand="1"/>
      </w:tblPr>
      <w:tblGrid>
        <w:gridCol w:w="9016"/>
      </w:tblGrid>
      <w:tr w:rsidR="00416D85" w:rsidRPr="007C60AF" w14:paraId="7F85C7F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E7" w14:textId="77777777" w:rsidR="00416D85" w:rsidRPr="007C60AF" w:rsidRDefault="00130320">
            <w:pPr>
              <w:spacing w:after="0"/>
              <w:jc w:val="both"/>
              <w:rPr>
                <w:color w:val="4472C4"/>
              </w:rPr>
            </w:pPr>
            <w:r w:rsidRPr="007C60AF">
              <w:rPr>
                <w:color w:val="4472C4"/>
              </w:rPr>
              <w:t>The UK industry produced the following volume and value of like goods during the POI:</w:t>
            </w:r>
          </w:p>
          <w:p w14:paraId="000003E8" w14:textId="77777777" w:rsidR="00416D85" w:rsidRPr="007C60AF" w:rsidRDefault="00416D85">
            <w:pPr>
              <w:spacing w:after="0"/>
              <w:jc w:val="both"/>
              <w:rPr>
                <w:color w:val="4472C4"/>
              </w:rPr>
            </w:pPr>
          </w:p>
          <w:tbl>
            <w:tblPr>
              <w:tblStyle w:val="afff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416D85" w:rsidRPr="007C60AF" w14:paraId="279AED35" w14:textId="77777777">
              <w:tc>
                <w:tcPr>
                  <w:tcW w:w="8921" w:type="dxa"/>
                  <w:gridSpan w:val="3"/>
                  <w:shd w:val="clear" w:color="auto" w:fill="D0CECE"/>
                </w:tcPr>
                <w:p w14:paraId="000003E9" w14:textId="77777777" w:rsidR="00416D85" w:rsidRPr="007C60AF" w:rsidRDefault="00130320">
                  <w:pPr>
                    <w:spacing w:before="60" w:after="60"/>
                    <w:jc w:val="center"/>
                    <w:rPr>
                      <w:b/>
                      <w:color w:val="4472C4"/>
                    </w:rPr>
                  </w:pPr>
                  <w:r w:rsidRPr="007C60AF">
                    <w:rPr>
                      <w:b/>
                      <w:color w:val="4472C4"/>
                    </w:rPr>
                    <w:t>PRODUCTION FOR THE POI (Q2 2023 – Q1 2024)</w:t>
                  </w:r>
                </w:p>
              </w:tc>
            </w:tr>
            <w:tr w:rsidR="00416D85" w:rsidRPr="007C60AF" w14:paraId="7D8ABF99" w14:textId="77777777">
              <w:tc>
                <w:tcPr>
                  <w:tcW w:w="2973" w:type="dxa"/>
                  <w:shd w:val="clear" w:color="auto" w:fill="D0CECE"/>
                </w:tcPr>
                <w:p w14:paraId="000003EC" w14:textId="77777777" w:rsidR="00416D85" w:rsidRPr="007C60AF" w:rsidRDefault="00416D85">
                  <w:pPr>
                    <w:spacing w:before="60" w:after="60"/>
                    <w:jc w:val="both"/>
                    <w:rPr>
                      <w:b/>
                      <w:color w:val="4472C4"/>
                    </w:rPr>
                  </w:pPr>
                </w:p>
              </w:tc>
              <w:tc>
                <w:tcPr>
                  <w:tcW w:w="2974" w:type="dxa"/>
                  <w:shd w:val="clear" w:color="auto" w:fill="D0CECE"/>
                </w:tcPr>
                <w:p w14:paraId="000003ED" w14:textId="77777777" w:rsidR="00416D85" w:rsidRPr="007C60AF" w:rsidRDefault="00130320">
                  <w:pPr>
                    <w:spacing w:before="60" w:after="60"/>
                    <w:jc w:val="center"/>
                    <w:rPr>
                      <w:b/>
                      <w:color w:val="4472C4"/>
                    </w:rPr>
                  </w:pPr>
                  <w:r w:rsidRPr="007C60AF">
                    <w:rPr>
                      <w:b/>
                      <w:color w:val="4472C4"/>
                    </w:rPr>
                    <w:t>Volume (MT)</w:t>
                  </w:r>
                </w:p>
              </w:tc>
              <w:tc>
                <w:tcPr>
                  <w:tcW w:w="2974" w:type="dxa"/>
                  <w:shd w:val="clear" w:color="auto" w:fill="D0CECE"/>
                </w:tcPr>
                <w:p w14:paraId="000003EE" w14:textId="77777777" w:rsidR="00416D85" w:rsidRPr="007C60AF" w:rsidRDefault="00130320">
                  <w:pPr>
                    <w:spacing w:before="60" w:after="60"/>
                    <w:jc w:val="center"/>
                    <w:rPr>
                      <w:b/>
                      <w:color w:val="4472C4"/>
                    </w:rPr>
                  </w:pPr>
                  <w:r w:rsidRPr="007C60AF">
                    <w:rPr>
                      <w:b/>
                      <w:color w:val="4472C4"/>
                    </w:rPr>
                    <w:t>Value (GBP)</w:t>
                  </w:r>
                </w:p>
              </w:tc>
            </w:tr>
            <w:tr w:rsidR="00416D85" w:rsidRPr="007C60AF" w14:paraId="4EE55D5F" w14:textId="77777777">
              <w:tc>
                <w:tcPr>
                  <w:tcW w:w="2973" w:type="dxa"/>
                  <w:shd w:val="clear" w:color="auto" w:fill="D0CECE"/>
                </w:tcPr>
                <w:p w14:paraId="000003EF" w14:textId="77777777" w:rsidR="00416D85" w:rsidRPr="007C60AF" w:rsidRDefault="00130320">
                  <w:pPr>
                    <w:spacing w:before="60" w:after="60"/>
                    <w:jc w:val="both"/>
                    <w:rPr>
                      <w:b/>
                      <w:color w:val="4472C4"/>
                    </w:rPr>
                  </w:pPr>
                  <w:proofErr w:type="spellStart"/>
                  <w:r w:rsidRPr="007C60AF">
                    <w:rPr>
                      <w:b/>
                      <w:color w:val="4472C4"/>
                    </w:rPr>
                    <w:t>Greenergy</w:t>
                  </w:r>
                  <w:proofErr w:type="spellEnd"/>
                </w:p>
              </w:tc>
              <w:tc>
                <w:tcPr>
                  <w:tcW w:w="2974" w:type="dxa"/>
                </w:tcPr>
                <w:p w14:paraId="000003F0" w14:textId="77777777" w:rsidR="00416D85" w:rsidRPr="007C60AF" w:rsidRDefault="00130320">
                  <w:pPr>
                    <w:spacing w:before="60" w:after="60"/>
                    <w:jc w:val="center"/>
                    <w:rPr>
                      <w:color w:val="4472C4"/>
                    </w:rPr>
                  </w:pPr>
                  <w:r w:rsidRPr="007C60AF">
                    <w:rPr>
                      <w:b/>
                      <w:color w:val="4472C4"/>
                    </w:rPr>
                    <w:t>[SENSITIVE]</w:t>
                  </w:r>
                </w:p>
              </w:tc>
              <w:tc>
                <w:tcPr>
                  <w:tcW w:w="2974" w:type="dxa"/>
                </w:tcPr>
                <w:p w14:paraId="000003F1" w14:textId="77777777" w:rsidR="00416D85" w:rsidRPr="007C60AF" w:rsidRDefault="00130320">
                  <w:pPr>
                    <w:spacing w:before="60" w:after="60"/>
                    <w:jc w:val="center"/>
                    <w:rPr>
                      <w:color w:val="4472C4"/>
                    </w:rPr>
                  </w:pPr>
                  <w:r w:rsidRPr="007C60AF">
                    <w:rPr>
                      <w:b/>
                      <w:color w:val="4472C4"/>
                    </w:rPr>
                    <w:t>[SENSITIVE]</w:t>
                  </w:r>
                </w:p>
              </w:tc>
            </w:tr>
            <w:tr w:rsidR="00416D85" w:rsidRPr="007C60AF" w14:paraId="503BEB0A" w14:textId="77777777">
              <w:tc>
                <w:tcPr>
                  <w:tcW w:w="2973" w:type="dxa"/>
                  <w:shd w:val="clear" w:color="auto" w:fill="D0CECE"/>
                </w:tcPr>
                <w:p w14:paraId="000003F2" w14:textId="77777777" w:rsidR="00416D85" w:rsidRPr="007C60AF" w:rsidRDefault="00130320">
                  <w:pPr>
                    <w:spacing w:before="60" w:after="60"/>
                    <w:jc w:val="both"/>
                    <w:rPr>
                      <w:b/>
                      <w:color w:val="4472C4"/>
                    </w:rPr>
                  </w:pPr>
                  <w:r w:rsidRPr="007C60AF">
                    <w:rPr>
                      <w:b/>
                      <w:color w:val="4472C4"/>
                    </w:rPr>
                    <w:t>Argent</w:t>
                  </w:r>
                </w:p>
              </w:tc>
              <w:tc>
                <w:tcPr>
                  <w:tcW w:w="2974" w:type="dxa"/>
                </w:tcPr>
                <w:p w14:paraId="000003F3" w14:textId="77777777" w:rsidR="00416D85" w:rsidRPr="007C60AF" w:rsidRDefault="00130320">
                  <w:pPr>
                    <w:spacing w:before="60" w:after="60"/>
                    <w:jc w:val="center"/>
                    <w:rPr>
                      <w:color w:val="4472C4"/>
                    </w:rPr>
                  </w:pPr>
                  <w:r w:rsidRPr="007C60AF">
                    <w:rPr>
                      <w:b/>
                      <w:color w:val="4472C4"/>
                    </w:rPr>
                    <w:t>[SENSITIVE]</w:t>
                  </w:r>
                </w:p>
              </w:tc>
              <w:tc>
                <w:tcPr>
                  <w:tcW w:w="2974" w:type="dxa"/>
                </w:tcPr>
                <w:p w14:paraId="000003F4" w14:textId="77777777" w:rsidR="00416D85" w:rsidRPr="007C60AF" w:rsidRDefault="00130320">
                  <w:pPr>
                    <w:spacing w:before="60" w:after="60"/>
                    <w:jc w:val="center"/>
                    <w:rPr>
                      <w:color w:val="4472C4"/>
                    </w:rPr>
                  </w:pPr>
                  <w:r w:rsidRPr="007C60AF">
                    <w:rPr>
                      <w:b/>
                      <w:color w:val="4472C4"/>
                    </w:rPr>
                    <w:t>[SENSITIVE]</w:t>
                  </w:r>
                </w:p>
              </w:tc>
            </w:tr>
            <w:tr w:rsidR="00416D85" w:rsidRPr="007C60AF" w14:paraId="25B4BD32" w14:textId="77777777">
              <w:tc>
                <w:tcPr>
                  <w:tcW w:w="2973" w:type="dxa"/>
                  <w:shd w:val="clear" w:color="auto" w:fill="D0CECE"/>
                </w:tcPr>
                <w:p w14:paraId="000003F5" w14:textId="77777777" w:rsidR="00416D85" w:rsidRPr="007C60AF" w:rsidRDefault="00130320">
                  <w:pPr>
                    <w:spacing w:before="60" w:after="60"/>
                    <w:jc w:val="both"/>
                    <w:rPr>
                      <w:b/>
                      <w:color w:val="4472C4"/>
                    </w:rPr>
                  </w:pPr>
                  <w:proofErr w:type="spellStart"/>
                  <w:r w:rsidRPr="007C60AF">
                    <w:rPr>
                      <w:b/>
                      <w:color w:val="4472C4"/>
                    </w:rPr>
                    <w:t>Olleco</w:t>
                  </w:r>
                  <w:proofErr w:type="spellEnd"/>
                </w:p>
              </w:tc>
              <w:tc>
                <w:tcPr>
                  <w:tcW w:w="2974" w:type="dxa"/>
                </w:tcPr>
                <w:p w14:paraId="000003F6" w14:textId="77777777" w:rsidR="00416D85" w:rsidRPr="007C60AF" w:rsidRDefault="00130320">
                  <w:pPr>
                    <w:spacing w:before="60" w:after="60"/>
                    <w:jc w:val="center"/>
                    <w:rPr>
                      <w:color w:val="4472C4"/>
                    </w:rPr>
                  </w:pPr>
                  <w:r w:rsidRPr="007C60AF">
                    <w:rPr>
                      <w:b/>
                      <w:color w:val="4472C4"/>
                    </w:rPr>
                    <w:t>[SENSITIVE]</w:t>
                  </w:r>
                </w:p>
              </w:tc>
              <w:tc>
                <w:tcPr>
                  <w:tcW w:w="2974" w:type="dxa"/>
                </w:tcPr>
                <w:p w14:paraId="000003F7" w14:textId="77777777" w:rsidR="00416D85" w:rsidRPr="007C60AF" w:rsidRDefault="00130320">
                  <w:pPr>
                    <w:spacing w:before="60" w:after="60"/>
                    <w:jc w:val="center"/>
                    <w:rPr>
                      <w:color w:val="4472C4"/>
                    </w:rPr>
                  </w:pPr>
                  <w:r w:rsidRPr="007C60AF">
                    <w:rPr>
                      <w:b/>
                      <w:color w:val="4472C4"/>
                    </w:rPr>
                    <w:t>[SENSITIVE]</w:t>
                  </w:r>
                </w:p>
              </w:tc>
            </w:tr>
            <w:tr w:rsidR="00416D85" w:rsidRPr="007C60AF" w14:paraId="21CAE37C" w14:textId="77777777">
              <w:tc>
                <w:tcPr>
                  <w:tcW w:w="2973" w:type="dxa"/>
                  <w:shd w:val="clear" w:color="auto" w:fill="D0CECE"/>
                </w:tcPr>
                <w:p w14:paraId="000003F8" w14:textId="77777777" w:rsidR="00416D85" w:rsidRPr="007C60AF" w:rsidRDefault="00130320">
                  <w:pPr>
                    <w:spacing w:before="60" w:after="60"/>
                    <w:jc w:val="both"/>
                    <w:rPr>
                      <w:b/>
                      <w:color w:val="4472C4"/>
                    </w:rPr>
                  </w:pPr>
                  <w:r w:rsidRPr="007C60AF">
                    <w:rPr>
                      <w:b/>
                      <w:color w:val="4472C4"/>
                    </w:rPr>
                    <w:t>UK industry</w:t>
                  </w:r>
                </w:p>
              </w:tc>
              <w:tc>
                <w:tcPr>
                  <w:tcW w:w="2974" w:type="dxa"/>
                </w:tcPr>
                <w:p w14:paraId="000003F9" w14:textId="6D6871A0" w:rsidR="00416D85" w:rsidRPr="007C60AF" w:rsidRDefault="00130320">
                  <w:pPr>
                    <w:spacing w:before="60" w:after="60"/>
                    <w:jc w:val="center"/>
                    <w:rPr>
                      <w:color w:val="4472C4"/>
                    </w:rPr>
                  </w:pPr>
                  <w:r w:rsidRPr="007C60AF">
                    <w:rPr>
                      <w:b/>
                      <w:color w:val="4472C4"/>
                    </w:rPr>
                    <w:t>[</w:t>
                  </w:r>
                  <w:r w:rsidR="007472AF" w:rsidRPr="007C60AF">
                    <w:rPr>
                      <w:b/>
                      <w:color w:val="4472C4"/>
                    </w:rPr>
                    <w:t>400,000</w:t>
                  </w:r>
                  <w:r w:rsidRPr="007C60AF">
                    <w:rPr>
                      <w:b/>
                      <w:color w:val="4472C4"/>
                    </w:rPr>
                    <w:t>-</w:t>
                  </w:r>
                  <w:r w:rsidR="007472AF" w:rsidRPr="007C60AF">
                    <w:rPr>
                      <w:b/>
                      <w:color w:val="4472C4"/>
                    </w:rPr>
                    <w:t>500</w:t>
                  </w:r>
                  <w:r w:rsidRPr="007C60AF">
                    <w:rPr>
                      <w:b/>
                      <w:color w:val="4472C4"/>
                    </w:rPr>
                    <w:t>,000]</w:t>
                  </w:r>
                </w:p>
              </w:tc>
              <w:tc>
                <w:tcPr>
                  <w:tcW w:w="2974" w:type="dxa"/>
                </w:tcPr>
                <w:p w14:paraId="000003FA" w14:textId="635B2D34" w:rsidR="00416D85" w:rsidRPr="007C60AF" w:rsidRDefault="00130320">
                  <w:pPr>
                    <w:spacing w:before="60" w:after="60"/>
                    <w:jc w:val="center"/>
                    <w:rPr>
                      <w:color w:val="4472C4"/>
                    </w:rPr>
                  </w:pPr>
                  <w:r w:rsidRPr="007C60AF">
                    <w:rPr>
                      <w:b/>
                      <w:color w:val="4472C4"/>
                    </w:rPr>
                    <w:t>[</w:t>
                  </w:r>
                  <w:r w:rsidR="001B3490" w:rsidRPr="007C60AF">
                    <w:rPr>
                      <w:b/>
                      <w:color w:val="4472C4"/>
                    </w:rPr>
                    <w:t>400</w:t>
                  </w:r>
                  <w:r w:rsidRPr="007C60AF">
                    <w:rPr>
                      <w:b/>
                      <w:color w:val="4472C4"/>
                    </w:rPr>
                    <w:t>-</w:t>
                  </w:r>
                  <w:r w:rsidR="001B3490" w:rsidRPr="007C60AF">
                    <w:rPr>
                      <w:b/>
                      <w:color w:val="4472C4"/>
                    </w:rPr>
                    <w:t>600</w:t>
                  </w:r>
                  <w:r w:rsidRPr="007C60AF">
                    <w:rPr>
                      <w:b/>
                      <w:color w:val="4472C4"/>
                    </w:rPr>
                    <w:t>m]</w:t>
                  </w:r>
                </w:p>
              </w:tc>
            </w:tr>
          </w:tbl>
          <w:p w14:paraId="000003FB" w14:textId="77777777" w:rsidR="00416D85" w:rsidRPr="007C60AF" w:rsidRDefault="00416D85">
            <w:pPr>
              <w:spacing w:after="0"/>
              <w:jc w:val="both"/>
            </w:pPr>
          </w:p>
          <w:p w14:paraId="000003FC" w14:textId="77777777" w:rsidR="00416D85" w:rsidRPr="007C60AF" w:rsidRDefault="00130320">
            <w:pPr>
              <w:spacing w:after="0"/>
              <w:jc w:val="both"/>
            </w:pPr>
            <w:r w:rsidRPr="007C60AF">
              <w:rPr>
                <w:color w:val="4472C4"/>
              </w:rPr>
              <w:t>Please refer to Appendix G.1 for the consolidated injury questionnaire of the UK industry, which is the source of the information provided above.</w:t>
            </w:r>
          </w:p>
        </w:tc>
      </w:tr>
    </w:tbl>
    <w:p w14:paraId="000003FD" w14:textId="77777777" w:rsidR="00416D85" w:rsidRPr="007C60AF" w:rsidRDefault="00416D85">
      <w:pPr>
        <w:pBdr>
          <w:top w:val="nil"/>
          <w:left w:val="nil"/>
          <w:bottom w:val="nil"/>
          <w:right w:val="nil"/>
          <w:between w:val="nil"/>
        </w:pBdr>
        <w:spacing w:after="0" w:line="276" w:lineRule="auto"/>
        <w:jc w:val="both"/>
        <w:rPr>
          <w:color w:val="000000"/>
        </w:rPr>
      </w:pPr>
    </w:p>
    <w:p w14:paraId="000003FE" w14:textId="77777777" w:rsidR="00416D85" w:rsidRPr="007C60AF" w:rsidRDefault="00130320">
      <w:pPr>
        <w:jc w:val="both"/>
        <w:rPr>
          <w:b/>
          <w:sz w:val="36"/>
          <w:szCs w:val="36"/>
        </w:rPr>
      </w:pPr>
      <w:bookmarkStart w:id="31" w:name="_heading=h.ok6hu31ly4eq" w:colFirst="0" w:colLast="0"/>
      <w:bookmarkEnd w:id="31"/>
      <w:r w:rsidRPr="007C60AF">
        <w:br w:type="page"/>
      </w:r>
    </w:p>
    <w:p w14:paraId="000003FF"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32" w:name="_heading=h.wzwjbp8dvh59" w:colFirst="0" w:colLast="0"/>
      <w:bookmarkEnd w:id="32"/>
      <w:r w:rsidRPr="007C60AF">
        <w:rPr>
          <w:rFonts w:eastAsia="Arial"/>
          <w:b/>
          <w:color w:val="4472C4"/>
          <w:sz w:val="36"/>
          <w:szCs w:val="36"/>
        </w:rPr>
        <w:lastRenderedPageBreak/>
        <w:t xml:space="preserve">SECTION C: </w:t>
      </w:r>
      <w:r w:rsidRPr="007C60AF">
        <w:rPr>
          <w:rFonts w:eastAsia="Arial"/>
          <w:b/>
          <w:color w:val="000000"/>
          <w:sz w:val="36"/>
          <w:szCs w:val="36"/>
        </w:rPr>
        <w:t>About Other Interested Parties</w:t>
      </w:r>
    </w:p>
    <w:p w14:paraId="00000400"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C.1. </w:t>
      </w:r>
      <w:r w:rsidRPr="007C60AF">
        <w:rPr>
          <w:rFonts w:eastAsia="Arial"/>
          <w:b/>
          <w:color w:val="000000"/>
          <w:sz w:val="28"/>
          <w:szCs w:val="28"/>
        </w:rPr>
        <w:t>UK Producers</w:t>
      </w:r>
    </w:p>
    <w:p w14:paraId="00000401" w14:textId="77777777" w:rsidR="00416D85" w:rsidRPr="007C60AF" w:rsidRDefault="00130320">
      <w:pPr>
        <w:jc w:val="both"/>
        <w:rPr>
          <w:b/>
          <w:color w:val="000000"/>
        </w:rPr>
      </w:pPr>
      <w:r w:rsidRPr="007C60AF">
        <w:t xml:space="preserve">Your application must be supported by other UK producers who represent at least 25% of total UK production. This is based on production physically located in the UK. The level of support for the application must be greater than the level of opposition among UK producers. </w:t>
      </w:r>
    </w:p>
    <w:p w14:paraId="00000402" w14:textId="77777777" w:rsidR="00416D85" w:rsidRPr="007C60AF" w:rsidRDefault="00130320">
      <w:pPr>
        <w:jc w:val="both"/>
      </w:pPr>
      <w:r w:rsidRPr="007C60AF">
        <w:t>If there are other UK producers, you will need to contact them and ask them whether they support or oppose this application. Please attach their written responses to your application OR their details should be provided below. Use a separate table for each producer.</w:t>
      </w:r>
    </w:p>
    <w:p w14:paraId="00000403" w14:textId="77777777" w:rsidR="00416D85" w:rsidRPr="007C60AF" w:rsidRDefault="00130320">
      <w:pPr>
        <w:pBdr>
          <w:top w:val="nil"/>
          <w:left w:val="nil"/>
          <w:bottom w:val="nil"/>
          <w:right w:val="nil"/>
          <w:between w:val="nil"/>
        </w:pBdr>
        <w:spacing w:after="0" w:line="276" w:lineRule="auto"/>
        <w:jc w:val="both"/>
      </w:pPr>
      <w:r w:rsidRPr="007C60AF">
        <w:t xml:space="preserve">We understand that other producers may be concerned about providing confidential information for this form. If necessary, you can ask an independent third party to confidentially combine information from the individual companies. Alternatively, the other producers can send the information separately to the TRA for us to combine. </w:t>
      </w:r>
    </w:p>
    <w:p w14:paraId="00000404" w14:textId="77777777" w:rsidR="00416D85" w:rsidRPr="007C60AF" w:rsidRDefault="00416D85">
      <w:pPr>
        <w:pBdr>
          <w:top w:val="nil"/>
          <w:left w:val="nil"/>
          <w:bottom w:val="nil"/>
          <w:right w:val="nil"/>
          <w:between w:val="nil"/>
        </w:pBdr>
        <w:spacing w:after="0" w:line="276" w:lineRule="auto"/>
        <w:jc w:val="both"/>
        <w:rPr>
          <w:color w:val="000000"/>
        </w:rPr>
      </w:pPr>
    </w:p>
    <w:tbl>
      <w:tblPr>
        <w:tblStyle w:val="afff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476"/>
      </w:tblGrid>
      <w:tr w:rsidR="00416D85" w:rsidRPr="007C60AF" w14:paraId="4A561ABD" w14:textId="77777777">
        <w:tc>
          <w:tcPr>
            <w:tcW w:w="9015" w:type="dxa"/>
            <w:gridSpan w:val="2"/>
          </w:tcPr>
          <w:p w14:paraId="00000405" w14:textId="77777777" w:rsidR="00416D85" w:rsidRPr="007C60AF" w:rsidRDefault="00130320">
            <w:pPr>
              <w:spacing w:after="0"/>
              <w:jc w:val="both"/>
              <w:rPr>
                <w:b/>
              </w:rPr>
            </w:pPr>
            <w:r w:rsidRPr="007C60AF">
              <w:rPr>
                <w:b/>
              </w:rPr>
              <w:t xml:space="preserve">UK producer  </w:t>
            </w:r>
          </w:p>
        </w:tc>
      </w:tr>
      <w:tr w:rsidR="00416D85" w:rsidRPr="007C60AF" w14:paraId="644C98CE" w14:textId="77777777">
        <w:tc>
          <w:tcPr>
            <w:tcW w:w="3539" w:type="dxa"/>
          </w:tcPr>
          <w:p w14:paraId="00000407" w14:textId="77777777" w:rsidR="00416D85" w:rsidRPr="007C60AF" w:rsidRDefault="00130320">
            <w:pPr>
              <w:spacing w:after="0"/>
              <w:jc w:val="both"/>
            </w:pPr>
            <w:r w:rsidRPr="007C60AF">
              <w:t>Legal name of company:</w:t>
            </w:r>
          </w:p>
        </w:tc>
        <w:tc>
          <w:tcPr>
            <w:tcW w:w="5476" w:type="dxa"/>
          </w:tcPr>
          <w:p w14:paraId="00000408" w14:textId="77777777" w:rsidR="00416D85" w:rsidRPr="007C60AF" w:rsidRDefault="00130320">
            <w:pPr>
              <w:spacing w:after="0"/>
              <w:jc w:val="both"/>
              <w:rPr>
                <w:color w:val="4472C4"/>
              </w:rPr>
            </w:pPr>
            <w:r w:rsidRPr="007C60AF">
              <w:rPr>
                <w:color w:val="4472C4"/>
              </w:rPr>
              <w:t xml:space="preserve">Not applicable, as </w:t>
            </w:r>
            <w:proofErr w:type="gramStart"/>
            <w:r w:rsidRPr="007C60AF">
              <w:rPr>
                <w:color w:val="4472C4"/>
              </w:rPr>
              <w:t>all of</w:t>
            </w:r>
            <w:proofErr w:type="gramEnd"/>
            <w:r w:rsidRPr="007C60AF">
              <w:rPr>
                <w:color w:val="4472C4"/>
              </w:rPr>
              <w:t xml:space="preserve"> the UK producers that form the UK industry are Applicants.</w:t>
            </w:r>
          </w:p>
        </w:tc>
      </w:tr>
      <w:tr w:rsidR="00416D85" w:rsidRPr="007C60AF" w14:paraId="698EF000" w14:textId="77777777">
        <w:tc>
          <w:tcPr>
            <w:tcW w:w="3539" w:type="dxa"/>
          </w:tcPr>
          <w:p w14:paraId="00000409" w14:textId="77777777" w:rsidR="00416D85" w:rsidRPr="007C60AF" w:rsidRDefault="00130320">
            <w:pPr>
              <w:spacing w:after="0"/>
              <w:jc w:val="both"/>
            </w:pPr>
            <w:r w:rsidRPr="007C60AF">
              <w:t>Name (point of contact):</w:t>
            </w:r>
          </w:p>
        </w:tc>
        <w:tc>
          <w:tcPr>
            <w:tcW w:w="5476" w:type="dxa"/>
          </w:tcPr>
          <w:p w14:paraId="0000040A" w14:textId="77777777" w:rsidR="00416D85" w:rsidRPr="007C60AF" w:rsidRDefault="00416D85">
            <w:pPr>
              <w:spacing w:after="0"/>
              <w:jc w:val="both"/>
            </w:pPr>
          </w:p>
        </w:tc>
      </w:tr>
      <w:tr w:rsidR="00416D85" w:rsidRPr="007C60AF" w14:paraId="2B9A0FAF" w14:textId="77777777">
        <w:tc>
          <w:tcPr>
            <w:tcW w:w="3539" w:type="dxa"/>
          </w:tcPr>
          <w:p w14:paraId="0000040B" w14:textId="77777777" w:rsidR="00416D85" w:rsidRPr="007C60AF" w:rsidRDefault="00130320">
            <w:pPr>
              <w:spacing w:after="0"/>
              <w:jc w:val="both"/>
            </w:pPr>
            <w:r w:rsidRPr="007C60AF">
              <w:t>Role:</w:t>
            </w:r>
          </w:p>
        </w:tc>
        <w:tc>
          <w:tcPr>
            <w:tcW w:w="5476" w:type="dxa"/>
          </w:tcPr>
          <w:p w14:paraId="0000040C" w14:textId="77777777" w:rsidR="00416D85" w:rsidRPr="007C60AF" w:rsidRDefault="00416D85">
            <w:pPr>
              <w:spacing w:after="0"/>
              <w:jc w:val="both"/>
            </w:pPr>
          </w:p>
        </w:tc>
      </w:tr>
      <w:tr w:rsidR="00416D85" w:rsidRPr="007C60AF" w14:paraId="505884B0" w14:textId="77777777">
        <w:tc>
          <w:tcPr>
            <w:tcW w:w="3539" w:type="dxa"/>
          </w:tcPr>
          <w:p w14:paraId="0000040D" w14:textId="77777777" w:rsidR="00416D85" w:rsidRPr="007C60AF" w:rsidRDefault="00130320">
            <w:pPr>
              <w:spacing w:after="0"/>
              <w:jc w:val="both"/>
            </w:pPr>
            <w:r w:rsidRPr="007C60AF">
              <w:t>Address:</w:t>
            </w:r>
          </w:p>
        </w:tc>
        <w:tc>
          <w:tcPr>
            <w:tcW w:w="5476" w:type="dxa"/>
          </w:tcPr>
          <w:p w14:paraId="0000040E" w14:textId="77777777" w:rsidR="00416D85" w:rsidRPr="007C60AF" w:rsidRDefault="00416D85">
            <w:pPr>
              <w:spacing w:after="0"/>
              <w:jc w:val="both"/>
            </w:pPr>
          </w:p>
        </w:tc>
      </w:tr>
      <w:tr w:rsidR="00416D85" w:rsidRPr="007C60AF" w14:paraId="6EE74527" w14:textId="77777777">
        <w:tc>
          <w:tcPr>
            <w:tcW w:w="3539" w:type="dxa"/>
          </w:tcPr>
          <w:p w14:paraId="0000040F" w14:textId="77777777" w:rsidR="00416D85" w:rsidRPr="007C60AF" w:rsidRDefault="00130320">
            <w:pPr>
              <w:spacing w:after="0"/>
              <w:jc w:val="both"/>
            </w:pPr>
            <w:r w:rsidRPr="007C60AF">
              <w:t>Telephone No:</w:t>
            </w:r>
          </w:p>
        </w:tc>
        <w:tc>
          <w:tcPr>
            <w:tcW w:w="5476" w:type="dxa"/>
          </w:tcPr>
          <w:p w14:paraId="00000410" w14:textId="77777777" w:rsidR="00416D85" w:rsidRPr="007C60AF" w:rsidRDefault="00416D85">
            <w:pPr>
              <w:spacing w:after="0"/>
              <w:jc w:val="both"/>
            </w:pPr>
          </w:p>
        </w:tc>
      </w:tr>
      <w:tr w:rsidR="00416D85" w:rsidRPr="007C60AF" w14:paraId="3954D49E" w14:textId="77777777">
        <w:tc>
          <w:tcPr>
            <w:tcW w:w="3539" w:type="dxa"/>
          </w:tcPr>
          <w:p w14:paraId="00000411" w14:textId="77777777" w:rsidR="00416D85" w:rsidRPr="007C60AF" w:rsidRDefault="00130320">
            <w:pPr>
              <w:spacing w:after="0"/>
              <w:jc w:val="both"/>
            </w:pPr>
            <w:r w:rsidRPr="007C60AF">
              <w:t>Email:</w:t>
            </w:r>
          </w:p>
        </w:tc>
        <w:tc>
          <w:tcPr>
            <w:tcW w:w="5476" w:type="dxa"/>
          </w:tcPr>
          <w:p w14:paraId="00000412" w14:textId="77777777" w:rsidR="00416D85" w:rsidRPr="007C60AF" w:rsidRDefault="00416D85">
            <w:pPr>
              <w:spacing w:after="0"/>
              <w:jc w:val="both"/>
            </w:pPr>
          </w:p>
        </w:tc>
      </w:tr>
      <w:tr w:rsidR="00416D85" w:rsidRPr="007C60AF" w14:paraId="066D7729" w14:textId="77777777">
        <w:tc>
          <w:tcPr>
            <w:tcW w:w="3539" w:type="dxa"/>
          </w:tcPr>
          <w:p w14:paraId="00000413" w14:textId="77777777" w:rsidR="00416D85" w:rsidRPr="007C60AF" w:rsidRDefault="00130320">
            <w:pPr>
              <w:spacing w:after="0"/>
              <w:jc w:val="both"/>
            </w:pPr>
            <w:r w:rsidRPr="007C60AF">
              <w:t>Company website:</w:t>
            </w:r>
          </w:p>
        </w:tc>
        <w:tc>
          <w:tcPr>
            <w:tcW w:w="5476" w:type="dxa"/>
          </w:tcPr>
          <w:p w14:paraId="00000414" w14:textId="77777777" w:rsidR="00416D85" w:rsidRPr="007C60AF" w:rsidRDefault="00416D85">
            <w:pPr>
              <w:spacing w:after="0"/>
              <w:jc w:val="both"/>
            </w:pPr>
          </w:p>
        </w:tc>
      </w:tr>
      <w:tr w:rsidR="00416D85" w:rsidRPr="007C60AF" w14:paraId="3081177E" w14:textId="77777777">
        <w:tc>
          <w:tcPr>
            <w:tcW w:w="9015" w:type="dxa"/>
            <w:gridSpan w:val="2"/>
          </w:tcPr>
          <w:p w14:paraId="00000415" w14:textId="77777777" w:rsidR="00416D85" w:rsidRPr="007C60AF" w:rsidRDefault="00130320">
            <w:pPr>
              <w:spacing w:after="0"/>
              <w:jc w:val="both"/>
              <w:rPr>
                <w:b/>
                <w:color w:val="000000"/>
              </w:rPr>
            </w:pPr>
            <w:r w:rsidRPr="007C60AF">
              <w:rPr>
                <w:b/>
                <w:color w:val="000000"/>
              </w:rPr>
              <w:t>Goods produced</w:t>
            </w:r>
          </w:p>
          <w:p w14:paraId="00000416" w14:textId="77777777" w:rsidR="00416D85" w:rsidRPr="007C60AF" w:rsidRDefault="00130320">
            <w:pPr>
              <w:spacing w:after="0"/>
              <w:jc w:val="both"/>
            </w:pPr>
            <w:r w:rsidRPr="007C60AF">
              <w:rPr>
                <w:color w:val="000000"/>
              </w:rPr>
              <w:t>Please list all the UK-made goods this producer makes which are sold on the UK market and are like the imports this application is about</w:t>
            </w:r>
          </w:p>
        </w:tc>
      </w:tr>
      <w:tr w:rsidR="00416D85" w:rsidRPr="007C60AF" w14:paraId="636F0E12" w14:textId="77777777">
        <w:tc>
          <w:tcPr>
            <w:tcW w:w="9015" w:type="dxa"/>
            <w:gridSpan w:val="2"/>
          </w:tcPr>
          <w:p w14:paraId="00000418" w14:textId="77777777" w:rsidR="00416D85" w:rsidRPr="007C60AF" w:rsidRDefault="00416D85">
            <w:pPr>
              <w:spacing w:after="0"/>
              <w:jc w:val="both"/>
              <w:rPr>
                <w:i/>
              </w:rPr>
            </w:pPr>
          </w:p>
        </w:tc>
      </w:tr>
      <w:tr w:rsidR="00416D85" w:rsidRPr="007C60AF" w14:paraId="367BA573" w14:textId="77777777">
        <w:tc>
          <w:tcPr>
            <w:tcW w:w="3539" w:type="dxa"/>
          </w:tcPr>
          <w:p w14:paraId="0000041A" w14:textId="77777777" w:rsidR="00416D85" w:rsidRPr="007C60AF" w:rsidRDefault="00130320">
            <w:pPr>
              <w:spacing w:after="0"/>
              <w:jc w:val="both"/>
            </w:pPr>
            <w:r w:rsidRPr="007C60AF">
              <w:rPr>
                <w:b/>
              </w:rPr>
              <w:t>Position regarding application</w:t>
            </w:r>
            <w:r w:rsidRPr="007C60AF">
              <w:t xml:space="preserve"> (delete as applicable) </w:t>
            </w:r>
          </w:p>
        </w:tc>
        <w:tc>
          <w:tcPr>
            <w:tcW w:w="5476" w:type="dxa"/>
          </w:tcPr>
          <w:p w14:paraId="0000041B" w14:textId="77777777" w:rsidR="00416D85" w:rsidRPr="007C60AF" w:rsidRDefault="00130320">
            <w:pPr>
              <w:spacing w:after="0"/>
              <w:jc w:val="both"/>
            </w:pPr>
            <w:r w:rsidRPr="007C60AF">
              <w:t>Support/oppose/undeclared</w:t>
            </w:r>
          </w:p>
        </w:tc>
      </w:tr>
    </w:tbl>
    <w:p w14:paraId="0000041C"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br w:type="page"/>
      </w:r>
      <w:r w:rsidRPr="007C60AF">
        <w:rPr>
          <w:rFonts w:eastAsia="Arial"/>
          <w:b/>
          <w:color w:val="4472C4"/>
          <w:sz w:val="28"/>
          <w:szCs w:val="28"/>
        </w:rPr>
        <w:lastRenderedPageBreak/>
        <w:t xml:space="preserve">C.2. </w:t>
      </w:r>
      <w:r w:rsidRPr="007C60AF">
        <w:rPr>
          <w:rFonts w:eastAsia="Arial"/>
          <w:b/>
          <w:color w:val="000000"/>
          <w:sz w:val="28"/>
          <w:szCs w:val="28"/>
        </w:rPr>
        <w:t>Other Parties</w:t>
      </w:r>
    </w:p>
    <w:p w14:paraId="0000041D" w14:textId="77777777" w:rsidR="00416D85" w:rsidRPr="007C60AF" w:rsidRDefault="00130320">
      <w:pPr>
        <w:numPr>
          <w:ilvl w:val="3"/>
          <w:numId w:val="74"/>
        </w:numPr>
        <w:pBdr>
          <w:top w:val="nil"/>
          <w:left w:val="nil"/>
          <w:bottom w:val="nil"/>
          <w:right w:val="nil"/>
          <w:between w:val="nil"/>
        </w:pBdr>
        <w:spacing w:before="120" w:line="276" w:lineRule="auto"/>
        <w:jc w:val="both"/>
      </w:pPr>
      <w:r w:rsidRPr="007C60AF">
        <w:rPr>
          <w:rFonts w:eastAsia="Arial"/>
          <w:color w:val="000000"/>
        </w:rPr>
        <w:t>Provide details of all known producers/exporters in the exporting country or producer/exporter associations in the exporting country, including:</w:t>
      </w:r>
    </w:p>
    <w:tbl>
      <w:tblPr>
        <w:tblStyle w:val="afff5"/>
        <w:tblW w:w="844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052"/>
      </w:tblGrid>
      <w:tr w:rsidR="00416D85" w:rsidRPr="007C60AF" w14:paraId="40870F9C" w14:textId="77777777">
        <w:tc>
          <w:tcPr>
            <w:tcW w:w="3397" w:type="dxa"/>
            <w:vAlign w:val="center"/>
          </w:tcPr>
          <w:p w14:paraId="0000041E" w14:textId="77777777" w:rsidR="00416D85" w:rsidRPr="007C60AF" w:rsidRDefault="00130320">
            <w:pPr>
              <w:pBdr>
                <w:top w:val="nil"/>
                <w:left w:val="nil"/>
                <w:bottom w:val="nil"/>
                <w:right w:val="nil"/>
                <w:between w:val="nil"/>
              </w:pBdr>
              <w:spacing w:after="0"/>
              <w:jc w:val="both"/>
            </w:pPr>
            <w:r w:rsidRPr="007C60AF">
              <w:t xml:space="preserve">Name: </w:t>
            </w:r>
          </w:p>
        </w:tc>
        <w:tc>
          <w:tcPr>
            <w:tcW w:w="5052" w:type="dxa"/>
            <w:vAlign w:val="center"/>
          </w:tcPr>
          <w:p w14:paraId="0000041F" w14:textId="77777777" w:rsidR="00416D85" w:rsidRPr="007C60AF" w:rsidRDefault="00416D85">
            <w:pPr>
              <w:pBdr>
                <w:top w:val="nil"/>
                <w:left w:val="nil"/>
                <w:bottom w:val="nil"/>
                <w:right w:val="nil"/>
                <w:between w:val="nil"/>
              </w:pBdr>
              <w:spacing w:after="0"/>
              <w:jc w:val="both"/>
            </w:pPr>
          </w:p>
        </w:tc>
      </w:tr>
      <w:tr w:rsidR="00416D85" w:rsidRPr="007C60AF" w14:paraId="186E9D8E" w14:textId="77777777">
        <w:tc>
          <w:tcPr>
            <w:tcW w:w="3397" w:type="dxa"/>
            <w:vAlign w:val="center"/>
          </w:tcPr>
          <w:p w14:paraId="00000420" w14:textId="77777777" w:rsidR="00416D85" w:rsidRPr="007C60AF" w:rsidRDefault="00130320">
            <w:pPr>
              <w:pBdr>
                <w:top w:val="nil"/>
                <w:left w:val="nil"/>
                <w:bottom w:val="nil"/>
                <w:right w:val="nil"/>
                <w:between w:val="nil"/>
              </w:pBdr>
              <w:spacing w:after="0"/>
              <w:jc w:val="both"/>
            </w:pPr>
            <w:r w:rsidRPr="007C60AF">
              <w:t>Address:</w:t>
            </w:r>
          </w:p>
        </w:tc>
        <w:tc>
          <w:tcPr>
            <w:tcW w:w="5052" w:type="dxa"/>
            <w:vAlign w:val="center"/>
          </w:tcPr>
          <w:p w14:paraId="00000421" w14:textId="77777777" w:rsidR="00416D85" w:rsidRPr="007C60AF" w:rsidRDefault="00416D85">
            <w:pPr>
              <w:pBdr>
                <w:top w:val="nil"/>
                <w:left w:val="nil"/>
                <w:bottom w:val="nil"/>
                <w:right w:val="nil"/>
                <w:between w:val="nil"/>
              </w:pBdr>
              <w:spacing w:after="0"/>
              <w:jc w:val="both"/>
            </w:pPr>
          </w:p>
        </w:tc>
      </w:tr>
      <w:tr w:rsidR="00416D85" w:rsidRPr="007C60AF" w14:paraId="669F07CE" w14:textId="77777777">
        <w:tc>
          <w:tcPr>
            <w:tcW w:w="3397" w:type="dxa"/>
            <w:vAlign w:val="center"/>
          </w:tcPr>
          <w:p w14:paraId="00000422" w14:textId="77777777" w:rsidR="00416D85" w:rsidRPr="007C60AF" w:rsidRDefault="00130320">
            <w:pPr>
              <w:pBdr>
                <w:top w:val="nil"/>
                <w:left w:val="nil"/>
                <w:bottom w:val="nil"/>
                <w:right w:val="nil"/>
                <w:between w:val="nil"/>
              </w:pBdr>
              <w:spacing w:after="0"/>
              <w:jc w:val="both"/>
            </w:pPr>
            <w:r w:rsidRPr="007C60AF">
              <w:t>Email:</w:t>
            </w:r>
          </w:p>
        </w:tc>
        <w:tc>
          <w:tcPr>
            <w:tcW w:w="5052" w:type="dxa"/>
            <w:vAlign w:val="center"/>
          </w:tcPr>
          <w:p w14:paraId="00000423" w14:textId="77777777" w:rsidR="00416D85" w:rsidRPr="007C60AF" w:rsidRDefault="00416D85">
            <w:pPr>
              <w:pBdr>
                <w:top w:val="nil"/>
                <w:left w:val="nil"/>
                <w:bottom w:val="nil"/>
                <w:right w:val="nil"/>
                <w:between w:val="nil"/>
              </w:pBdr>
              <w:spacing w:after="0"/>
              <w:jc w:val="both"/>
            </w:pPr>
          </w:p>
        </w:tc>
      </w:tr>
      <w:tr w:rsidR="00416D85" w:rsidRPr="007C60AF" w14:paraId="7DFB6504" w14:textId="77777777">
        <w:tc>
          <w:tcPr>
            <w:tcW w:w="3397" w:type="dxa"/>
            <w:vAlign w:val="center"/>
          </w:tcPr>
          <w:p w14:paraId="00000424" w14:textId="77777777" w:rsidR="00416D85" w:rsidRPr="007C60AF" w:rsidRDefault="00130320">
            <w:pPr>
              <w:pBdr>
                <w:top w:val="nil"/>
                <w:left w:val="nil"/>
                <w:bottom w:val="nil"/>
                <w:right w:val="nil"/>
                <w:between w:val="nil"/>
              </w:pBdr>
              <w:spacing w:after="0"/>
              <w:jc w:val="both"/>
            </w:pPr>
            <w:r w:rsidRPr="007C60AF">
              <w:t>Telephone Number:</w:t>
            </w:r>
          </w:p>
        </w:tc>
        <w:tc>
          <w:tcPr>
            <w:tcW w:w="5052" w:type="dxa"/>
            <w:vAlign w:val="center"/>
          </w:tcPr>
          <w:p w14:paraId="00000425" w14:textId="77777777" w:rsidR="00416D85" w:rsidRPr="007C60AF" w:rsidRDefault="00416D85">
            <w:pPr>
              <w:pBdr>
                <w:top w:val="nil"/>
                <w:left w:val="nil"/>
                <w:bottom w:val="nil"/>
                <w:right w:val="nil"/>
                <w:between w:val="nil"/>
              </w:pBdr>
              <w:spacing w:after="0"/>
              <w:jc w:val="both"/>
            </w:pPr>
          </w:p>
        </w:tc>
      </w:tr>
    </w:tbl>
    <w:p w14:paraId="00000426" w14:textId="77777777" w:rsidR="00416D85" w:rsidRPr="007C60AF" w:rsidRDefault="00416D85">
      <w:pPr>
        <w:pBdr>
          <w:top w:val="nil"/>
          <w:left w:val="nil"/>
          <w:bottom w:val="nil"/>
          <w:right w:val="nil"/>
          <w:between w:val="nil"/>
        </w:pBdr>
        <w:spacing w:after="0" w:line="276" w:lineRule="auto"/>
        <w:jc w:val="both"/>
        <w:rPr>
          <w:color w:val="000000"/>
        </w:rPr>
      </w:pPr>
    </w:p>
    <w:p w14:paraId="00000427" w14:textId="6B4BF9C4" w:rsidR="00416D85" w:rsidRPr="007C60AF" w:rsidRDefault="00130320">
      <w:pPr>
        <w:pBdr>
          <w:top w:val="nil"/>
          <w:left w:val="nil"/>
          <w:bottom w:val="nil"/>
          <w:right w:val="nil"/>
          <w:between w:val="nil"/>
        </w:pBdr>
        <w:spacing w:after="0" w:line="276" w:lineRule="auto"/>
        <w:jc w:val="both"/>
        <w:rPr>
          <w:color w:val="4472C4"/>
        </w:rPr>
      </w:pPr>
      <w:r w:rsidRPr="007C60AF">
        <w:rPr>
          <w:color w:val="4472C4"/>
        </w:rPr>
        <w:t xml:space="preserve">Please refer to Appendix C.1 for a list of known US HVO producers, and Appendix C.2 for an HVO/renewable diesel capacity map showing operational and planned facilities in North and South America and the capacities of those facilities. </w:t>
      </w:r>
      <w:r w:rsidR="00A931C4" w:rsidRPr="007C60AF">
        <w:rPr>
          <w:color w:val="4472C4"/>
        </w:rPr>
        <w:t>The capacity map has been prepared by Argus, an independent provider of market intelligence to the global energy and commodity markets.</w:t>
      </w:r>
      <w:r w:rsidR="00A931C4" w:rsidRPr="007C60AF">
        <w:rPr>
          <w:b/>
          <w:color w:val="4472C4"/>
        </w:rPr>
        <w:t xml:space="preserve"> </w:t>
      </w:r>
      <w:r w:rsidRPr="007C60AF">
        <w:rPr>
          <w:color w:val="4472C4"/>
        </w:rPr>
        <w:t xml:space="preserve">The Applicants are unable to determine based on publicly available information which of these </w:t>
      </w:r>
      <w:proofErr w:type="gramStart"/>
      <w:r w:rsidRPr="007C60AF">
        <w:rPr>
          <w:color w:val="4472C4"/>
        </w:rPr>
        <w:t>producers</w:t>
      </w:r>
      <w:proofErr w:type="gramEnd"/>
      <w:r w:rsidRPr="007C60AF">
        <w:rPr>
          <w:color w:val="4472C4"/>
        </w:rPr>
        <w:t xml:space="preserve"> export HVO to the UK (although it is understood that most of them do).</w:t>
      </w:r>
    </w:p>
    <w:p w14:paraId="00000428" w14:textId="77777777" w:rsidR="00416D85" w:rsidRPr="007C60AF" w:rsidRDefault="00416D85">
      <w:pPr>
        <w:pBdr>
          <w:top w:val="nil"/>
          <w:left w:val="nil"/>
          <w:bottom w:val="nil"/>
          <w:right w:val="nil"/>
          <w:between w:val="nil"/>
        </w:pBdr>
        <w:spacing w:after="0" w:line="276" w:lineRule="auto"/>
        <w:jc w:val="both"/>
        <w:rPr>
          <w:color w:val="000000"/>
        </w:rPr>
      </w:pPr>
    </w:p>
    <w:p w14:paraId="00000429" w14:textId="77777777" w:rsidR="00416D85" w:rsidRPr="007C60AF" w:rsidRDefault="00130320">
      <w:pPr>
        <w:numPr>
          <w:ilvl w:val="3"/>
          <w:numId w:val="74"/>
        </w:numPr>
        <w:pBdr>
          <w:top w:val="nil"/>
          <w:left w:val="nil"/>
          <w:bottom w:val="nil"/>
          <w:right w:val="nil"/>
          <w:between w:val="nil"/>
        </w:pBdr>
        <w:spacing w:before="120" w:line="276" w:lineRule="auto"/>
        <w:jc w:val="both"/>
      </w:pPr>
      <w:r w:rsidRPr="007C60AF">
        <w:rPr>
          <w:rFonts w:eastAsia="Arial"/>
          <w:color w:val="000000"/>
        </w:rPr>
        <w:t xml:space="preserve">Provide the details of all known importers of the goods in the UK or any associations of importers in the UK, including: </w:t>
      </w:r>
    </w:p>
    <w:tbl>
      <w:tblPr>
        <w:tblStyle w:val="afff6"/>
        <w:tblW w:w="844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052"/>
      </w:tblGrid>
      <w:tr w:rsidR="00416D85" w:rsidRPr="007C60AF" w14:paraId="0794F74A" w14:textId="77777777">
        <w:tc>
          <w:tcPr>
            <w:tcW w:w="3397" w:type="dxa"/>
            <w:vAlign w:val="center"/>
          </w:tcPr>
          <w:p w14:paraId="0000042A" w14:textId="77777777" w:rsidR="00416D85" w:rsidRPr="007C60AF" w:rsidRDefault="00130320">
            <w:pPr>
              <w:pBdr>
                <w:top w:val="nil"/>
                <w:left w:val="nil"/>
                <w:bottom w:val="nil"/>
                <w:right w:val="nil"/>
                <w:between w:val="nil"/>
              </w:pBdr>
              <w:spacing w:after="0"/>
              <w:jc w:val="both"/>
            </w:pPr>
            <w:r w:rsidRPr="007C60AF">
              <w:t>Name:</w:t>
            </w:r>
          </w:p>
        </w:tc>
        <w:tc>
          <w:tcPr>
            <w:tcW w:w="5052" w:type="dxa"/>
            <w:vAlign w:val="center"/>
          </w:tcPr>
          <w:p w14:paraId="0000042B" w14:textId="77777777" w:rsidR="00416D85" w:rsidRPr="007C60AF" w:rsidRDefault="00416D85">
            <w:pPr>
              <w:pBdr>
                <w:top w:val="nil"/>
                <w:left w:val="nil"/>
                <w:bottom w:val="nil"/>
                <w:right w:val="nil"/>
                <w:between w:val="nil"/>
              </w:pBdr>
              <w:spacing w:after="0"/>
              <w:jc w:val="both"/>
              <w:rPr>
                <w:color w:val="FF0000"/>
              </w:rPr>
            </w:pPr>
          </w:p>
        </w:tc>
      </w:tr>
      <w:tr w:rsidR="00416D85" w:rsidRPr="007C60AF" w14:paraId="78DF8069" w14:textId="77777777">
        <w:tc>
          <w:tcPr>
            <w:tcW w:w="3397" w:type="dxa"/>
            <w:vAlign w:val="center"/>
          </w:tcPr>
          <w:p w14:paraId="0000042C" w14:textId="77777777" w:rsidR="00416D85" w:rsidRPr="007C60AF" w:rsidRDefault="00130320">
            <w:pPr>
              <w:pBdr>
                <w:top w:val="nil"/>
                <w:left w:val="nil"/>
                <w:bottom w:val="nil"/>
                <w:right w:val="nil"/>
                <w:between w:val="nil"/>
              </w:pBdr>
              <w:spacing w:after="0"/>
              <w:jc w:val="both"/>
            </w:pPr>
            <w:r w:rsidRPr="007C60AF">
              <w:t>Address:</w:t>
            </w:r>
          </w:p>
        </w:tc>
        <w:tc>
          <w:tcPr>
            <w:tcW w:w="5052" w:type="dxa"/>
            <w:vAlign w:val="center"/>
          </w:tcPr>
          <w:p w14:paraId="0000042D" w14:textId="77777777" w:rsidR="00416D85" w:rsidRPr="007C60AF" w:rsidRDefault="00416D85">
            <w:pPr>
              <w:pBdr>
                <w:top w:val="nil"/>
                <w:left w:val="nil"/>
                <w:bottom w:val="nil"/>
                <w:right w:val="nil"/>
                <w:between w:val="nil"/>
              </w:pBdr>
              <w:spacing w:after="0"/>
              <w:jc w:val="both"/>
            </w:pPr>
          </w:p>
        </w:tc>
      </w:tr>
      <w:tr w:rsidR="00416D85" w:rsidRPr="007C60AF" w14:paraId="314E34A1" w14:textId="77777777">
        <w:tc>
          <w:tcPr>
            <w:tcW w:w="3397" w:type="dxa"/>
            <w:vAlign w:val="center"/>
          </w:tcPr>
          <w:p w14:paraId="0000042E" w14:textId="77777777" w:rsidR="00416D85" w:rsidRPr="007C60AF" w:rsidRDefault="00130320">
            <w:pPr>
              <w:pBdr>
                <w:top w:val="nil"/>
                <w:left w:val="nil"/>
                <w:bottom w:val="nil"/>
                <w:right w:val="nil"/>
                <w:between w:val="nil"/>
              </w:pBdr>
              <w:spacing w:after="0"/>
              <w:jc w:val="both"/>
            </w:pPr>
            <w:r w:rsidRPr="007C60AF">
              <w:t>Email:</w:t>
            </w:r>
          </w:p>
        </w:tc>
        <w:tc>
          <w:tcPr>
            <w:tcW w:w="5052" w:type="dxa"/>
            <w:vAlign w:val="center"/>
          </w:tcPr>
          <w:p w14:paraId="0000042F" w14:textId="77777777" w:rsidR="00416D85" w:rsidRPr="007C60AF" w:rsidRDefault="00416D85">
            <w:pPr>
              <w:pBdr>
                <w:top w:val="nil"/>
                <w:left w:val="nil"/>
                <w:bottom w:val="nil"/>
                <w:right w:val="nil"/>
                <w:between w:val="nil"/>
              </w:pBdr>
              <w:spacing w:after="0"/>
              <w:jc w:val="both"/>
            </w:pPr>
          </w:p>
        </w:tc>
      </w:tr>
      <w:tr w:rsidR="00416D85" w:rsidRPr="007C60AF" w14:paraId="2045E154" w14:textId="77777777">
        <w:tc>
          <w:tcPr>
            <w:tcW w:w="3397" w:type="dxa"/>
            <w:vAlign w:val="center"/>
          </w:tcPr>
          <w:p w14:paraId="00000430" w14:textId="77777777" w:rsidR="00416D85" w:rsidRPr="007C60AF" w:rsidRDefault="00130320">
            <w:pPr>
              <w:pBdr>
                <w:top w:val="nil"/>
                <w:left w:val="nil"/>
                <w:bottom w:val="nil"/>
                <w:right w:val="nil"/>
                <w:between w:val="nil"/>
              </w:pBdr>
              <w:spacing w:after="0"/>
              <w:jc w:val="both"/>
            </w:pPr>
            <w:r w:rsidRPr="007C60AF">
              <w:t>Telephone Number:</w:t>
            </w:r>
          </w:p>
        </w:tc>
        <w:tc>
          <w:tcPr>
            <w:tcW w:w="5052" w:type="dxa"/>
            <w:vAlign w:val="center"/>
          </w:tcPr>
          <w:p w14:paraId="00000431" w14:textId="77777777" w:rsidR="00416D85" w:rsidRPr="007C60AF" w:rsidRDefault="00416D85">
            <w:pPr>
              <w:pBdr>
                <w:top w:val="nil"/>
                <w:left w:val="nil"/>
                <w:bottom w:val="nil"/>
                <w:right w:val="nil"/>
                <w:between w:val="nil"/>
              </w:pBdr>
              <w:spacing w:after="0"/>
              <w:jc w:val="both"/>
            </w:pPr>
          </w:p>
        </w:tc>
      </w:tr>
      <w:tr w:rsidR="00416D85" w:rsidRPr="007C60AF" w14:paraId="33E20904" w14:textId="77777777">
        <w:tc>
          <w:tcPr>
            <w:tcW w:w="3397" w:type="dxa"/>
            <w:vAlign w:val="center"/>
          </w:tcPr>
          <w:p w14:paraId="00000432" w14:textId="77777777" w:rsidR="00416D85" w:rsidRPr="007C60AF" w:rsidRDefault="00130320">
            <w:pPr>
              <w:pBdr>
                <w:top w:val="nil"/>
                <w:left w:val="nil"/>
                <w:bottom w:val="nil"/>
                <w:right w:val="nil"/>
                <w:between w:val="nil"/>
              </w:pBdr>
              <w:spacing w:after="0"/>
              <w:jc w:val="both"/>
            </w:pPr>
            <w:r w:rsidRPr="007C60AF">
              <w:t>Contact person (if available)</w:t>
            </w:r>
          </w:p>
        </w:tc>
        <w:tc>
          <w:tcPr>
            <w:tcW w:w="5052" w:type="dxa"/>
            <w:vAlign w:val="center"/>
          </w:tcPr>
          <w:p w14:paraId="00000433" w14:textId="77777777" w:rsidR="00416D85" w:rsidRPr="007C60AF" w:rsidRDefault="00416D85">
            <w:pPr>
              <w:pBdr>
                <w:top w:val="nil"/>
                <w:left w:val="nil"/>
                <w:bottom w:val="nil"/>
                <w:right w:val="nil"/>
                <w:between w:val="nil"/>
              </w:pBdr>
              <w:spacing w:after="0"/>
              <w:jc w:val="both"/>
            </w:pPr>
          </w:p>
        </w:tc>
      </w:tr>
      <w:tr w:rsidR="00416D85" w:rsidRPr="007C60AF" w14:paraId="0180AC75" w14:textId="77777777">
        <w:tc>
          <w:tcPr>
            <w:tcW w:w="3397" w:type="dxa"/>
            <w:vAlign w:val="center"/>
          </w:tcPr>
          <w:p w14:paraId="00000434" w14:textId="77777777" w:rsidR="00416D85" w:rsidRPr="007C60AF" w:rsidRDefault="00130320">
            <w:pPr>
              <w:pBdr>
                <w:top w:val="nil"/>
                <w:left w:val="nil"/>
                <w:bottom w:val="nil"/>
                <w:right w:val="nil"/>
                <w:between w:val="nil"/>
              </w:pBdr>
              <w:spacing w:after="0"/>
              <w:jc w:val="both"/>
            </w:pPr>
            <w:r w:rsidRPr="007C60AF">
              <w:t>Nature of their business (retailer/agent etc)</w:t>
            </w:r>
          </w:p>
        </w:tc>
        <w:tc>
          <w:tcPr>
            <w:tcW w:w="5052" w:type="dxa"/>
            <w:vAlign w:val="center"/>
          </w:tcPr>
          <w:p w14:paraId="00000435" w14:textId="77777777" w:rsidR="00416D85" w:rsidRPr="007C60AF" w:rsidRDefault="00416D85">
            <w:pPr>
              <w:pBdr>
                <w:top w:val="nil"/>
                <w:left w:val="nil"/>
                <w:bottom w:val="nil"/>
                <w:right w:val="nil"/>
                <w:between w:val="nil"/>
              </w:pBdr>
              <w:spacing w:after="0"/>
              <w:jc w:val="both"/>
              <w:rPr>
                <w:color w:val="4472C4"/>
              </w:rPr>
            </w:pPr>
          </w:p>
        </w:tc>
      </w:tr>
    </w:tbl>
    <w:p w14:paraId="00000436" w14:textId="77777777" w:rsidR="00416D85" w:rsidRPr="007C60AF" w:rsidRDefault="00416D85">
      <w:pPr>
        <w:pBdr>
          <w:top w:val="nil"/>
          <w:left w:val="nil"/>
          <w:bottom w:val="nil"/>
          <w:right w:val="nil"/>
          <w:between w:val="nil"/>
        </w:pBdr>
        <w:spacing w:after="0" w:line="276" w:lineRule="auto"/>
        <w:jc w:val="both"/>
        <w:rPr>
          <w:color w:val="4472C4"/>
        </w:rPr>
      </w:pPr>
    </w:p>
    <w:p w14:paraId="00000437" w14:textId="0405FD69" w:rsidR="00416D85" w:rsidRPr="007C60AF" w:rsidRDefault="00130320">
      <w:pPr>
        <w:pBdr>
          <w:top w:val="nil"/>
          <w:left w:val="nil"/>
          <w:bottom w:val="nil"/>
          <w:right w:val="nil"/>
          <w:between w:val="nil"/>
        </w:pBdr>
        <w:spacing w:after="0" w:line="276" w:lineRule="auto"/>
        <w:jc w:val="both"/>
        <w:rPr>
          <w:color w:val="4472C4"/>
        </w:rPr>
      </w:pPr>
      <w:r w:rsidRPr="007C60AF">
        <w:rPr>
          <w:color w:val="4472C4"/>
        </w:rPr>
        <w:t xml:space="preserve">Please refer to Appendix C.3 for a list of known importers of HVO. The Applicants understand that </w:t>
      </w:r>
      <w:sdt>
        <w:sdtPr>
          <w:tag w:val="goog_rdk_7"/>
          <w:id w:val="-2134317337"/>
        </w:sdtPr>
        <w:sdtContent/>
      </w:sdt>
      <w:sdt>
        <w:sdtPr>
          <w:tag w:val="goog_rdk_8"/>
          <w:id w:val="-1664775225"/>
        </w:sdtPr>
        <w:sdtContent/>
      </w:sdt>
      <w:r w:rsidRPr="007C60AF">
        <w:rPr>
          <w:b/>
          <w:color w:val="4472C4"/>
        </w:rPr>
        <w:t xml:space="preserve">P66 and Valero </w:t>
      </w:r>
      <w:r w:rsidRPr="007C60AF">
        <w:rPr>
          <w:color w:val="4472C4"/>
        </w:rPr>
        <w:t xml:space="preserve">are the largest importers of HVO. </w:t>
      </w:r>
    </w:p>
    <w:p w14:paraId="00000438" w14:textId="77777777" w:rsidR="00416D85" w:rsidRPr="007C60AF" w:rsidRDefault="00416D85">
      <w:pPr>
        <w:pBdr>
          <w:top w:val="nil"/>
          <w:left w:val="nil"/>
          <w:bottom w:val="nil"/>
          <w:right w:val="nil"/>
          <w:between w:val="nil"/>
        </w:pBdr>
        <w:spacing w:after="0" w:line="276" w:lineRule="auto"/>
        <w:jc w:val="both"/>
        <w:rPr>
          <w:color w:val="4472C4"/>
        </w:rPr>
      </w:pPr>
    </w:p>
    <w:p w14:paraId="00000439" w14:textId="77777777" w:rsidR="00416D85" w:rsidRPr="007C60AF" w:rsidRDefault="00130320">
      <w:pPr>
        <w:numPr>
          <w:ilvl w:val="3"/>
          <w:numId w:val="74"/>
        </w:numPr>
        <w:pBdr>
          <w:top w:val="nil"/>
          <w:left w:val="nil"/>
          <w:bottom w:val="nil"/>
          <w:right w:val="nil"/>
          <w:between w:val="nil"/>
        </w:pBdr>
        <w:spacing w:before="120" w:line="276" w:lineRule="auto"/>
        <w:jc w:val="both"/>
      </w:pPr>
      <w:r w:rsidRPr="007C60AF">
        <w:rPr>
          <w:rFonts w:eastAsia="Arial"/>
          <w:color w:val="000000"/>
        </w:rPr>
        <w:t>Provide the details of all known suppliers, users and consumers of the goods in the UK, or associations of suppliers, users or consumers including:</w:t>
      </w:r>
    </w:p>
    <w:tbl>
      <w:tblPr>
        <w:tblStyle w:val="afff7"/>
        <w:tblW w:w="844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052"/>
      </w:tblGrid>
      <w:tr w:rsidR="00416D85" w:rsidRPr="007C60AF" w14:paraId="009EBE5F" w14:textId="77777777">
        <w:tc>
          <w:tcPr>
            <w:tcW w:w="3397" w:type="dxa"/>
            <w:vAlign w:val="center"/>
          </w:tcPr>
          <w:p w14:paraId="0000043A" w14:textId="77777777" w:rsidR="00416D85" w:rsidRPr="007C60AF" w:rsidRDefault="00130320">
            <w:pPr>
              <w:pBdr>
                <w:top w:val="nil"/>
                <w:left w:val="nil"/>
                <w:bottom w:val="nil"/>
                <w:right w:val="nil"/>
                <w:between w:val="nil"/>
              </w:pBdr>
              <w:spacing w:after="0"/>
              <w:jc w:val="both"/>
            </w:pPr>
            <w:r w:rsidRPr="007C60AF">
              <w:t xml:space="preserve">Name: </w:t>
            </w:r>
          </w:p>
        </w:tc>
        <w:tc>
          <w:tcPr>
            <w:tcW w:w="5052" w:type="dxa"/>
            <w:vAlign w:val="center"/>
          </w:tcPr>
          <w:p w14:paraId="0000043B" w14:textId="77777777" w:rsidR="00416D85" w:rsidRPr="007C60AF" w:rsidRDefault="00416D85">
            <w:pPr>
              <w:pBdr>
                <w:top w:val="nil"/>
                <w:left w:val="nil"/>
                <w:bottom w:val="nil"/>
                <w:right w:val="nil"/>
                <w:between w:val="nil"/>
              </w:pBdr>
              <w:spacing w:after="0"/>
              <w:jc w:val="both"/>
              <w:rPr>
                <w:color w:val="FF0000"/>
              </w:rPr>
            </w:pPr>
          </w:p>
        </w:tc>
      </w:tr>
      <w:tr w:rsidR="00416D85" w:rsidRPr="007C60AF" w14:paraId="64F9F396" w14:textId="77777777">
        <w:tc>
          <w:tcPr>
            <w:tcW w:w="3397" w:type="dxa"/>
            <w:vAlign w:val="center"/>
          </w:tcPr>
          <w:p w14:paraId="0000043C" w14:textId="77777777" w:rsidR="00416D85" w:rsidRPr="007C60AF" w:rsidRDefault="00130320">
            <w:pPr>
              <w:pBdr>
                <w:top w:val="nil"/>
                <w:left w:val="nil"/>
                <w:bottom w:val="nil"/>
                <w:right w:val="nil"/>
                <w:between w:val="nil"/>
              </w:pBdr>
              <w:spacing w:after="0"/>
              <w:jc w:val="both"/>
            </w:pPr>
            <w:r w:rsidRPr="007C60AF">
              <w:t>Address:</w:t>
            </w:r>
          </w:p>
        </w:tc>
        <w:tc>
          <w:tcPr>
            <w:tcW w:w="5052" w:type="dxa"/>
            <w:vAlign w:val="center"/>
          </w:tcPr>
          <w:p w14:paraId="0000043D" w14:textId="77777777" w:rsidR="00416D85" w:rsidRPr="007C60AF" w:rsidRDefault="00416D85">
            <w:pPr>
              <w:pBdr>
                <w:top w:val="nil"/>
                <w:left w:val="nil"/>
                <w:bottom w:val="nil"/>
                <w:right w:val="nil"/>
                <w:between w:val="nil"/>
              </w:pBdr>
              <w:spacing w:after="0"/>
              <w:jc w:val="both"/>
            </w:pPr>
          </w:p>
        </w:tc>
      </w:tr>
      <w:tr w:rsidR="00416D85" w:rsidRPr="007C60AF" w14:paraId="6402C0B8" w14:textId="77777777">
        <w:tc>
          <w:tcPr>
            <w:tcW w:w="3397" w:type="dxa"/>
            <w:vAlign w:val="center"/>
          </w:tcPr>
          <w:p w14:paraId="0000043E" w14:textId="77777777" w:rsidR="00416D85" w:rsidRPr="007C60AF" w:rsidRDefault="00130320">
            <w:pPr>
              <w:pBdr>
                <w:top w:val="nil"/>
                <w:left w:val="nil"/>
                <w:bottom w:val="nil"/>
                <w:right w:val="nil"/>
                <w:between w:val="nil"/>
              </w:pBdr>
              <w:spacing w:after="0"/>
              <w:jc w:val="both"/>
            </w:pPr>
            <w:r w:rsidRPr="007C60AF">
              <w:t>Email:</w:t>
            </w:r>
          </w:p>
        </w:tc>
        <w:tc>
          <w:tcPr>
            <w:tcW w:w="5052" w:type="dxa"/>
            <w:vAlign w:val="center"/>
          </w:tcPr>
          <w:p w14:paraId="0000043F" w14:textId="77777777" w:rsidR="00416D85" w:rsidRPr="007C60AF" w:rsidRDefault="00416D85">
            <w:pPr>
              <w:pBdr>
                <w:top w:val="nil"/>
                <w:left w:val="nil"/>
                <w:bottom w:val="nil"/>
                <w:right w:val="nil"/>
                <w:between w:val="nil"/>
              </w:pBdr>
              <w:spacing w:after="0"/>
              <w:jc w:val="both"/>
            </w:pPr>
          </w:p>
        </w:tc>
      </w:tr>
      <w:tr w:rsidR="00416D85" w:rsidRPr="007C60AF" w14:paraId="58A8487B" w14:textId="77777777">
        <w:tc>
          <w:tcPr>
            <w:tcW w:w="3397" w:type="dxa"/>
            <w:vAlign w:val="center"/>
          </w:tcPr>
          <w:p w14:paraId="00000440" w14:textId="77777777" w:rsidR="00416D85" w:rsidRPr="007C60AF" w:rsidRDefault="00130320">
            <w:pPr>
              <w:pBdr>
                <w:top w:val="nil"/>
                <w:left w:val="nil"/>
                <w:bottom w:val="nil"/>
                <w:right w:val="nil"/>
                <w:between w:val="nil"/>
              </w:pBdr>
              <w:spacing w:after="0"/>
              <w:jc w:val="both"/>
            </w:pPr>
            <w:r w:rsidRPr="007C60AF">
              <w:t>Telephone Number:</w:t>
            </w:r>
          </w:p>
        </w:tc>
        <w:tc>
          <w:tcPr>
            <w:tcW w:w="5052" w:type="dxa"/>
            <w:vAlign w:val="center"/>
          </w:tcPr>
          <w:p w14:paraId="00000441" w14:textId="77777777" w:rsidR="00416D85" w:rsidRPr="007C60AF" w:rsidRDefault="00416D85">
            <w:pPr>
              <w:pBdr>
                <w:top w:val="nil"/>
                <w:left w:val="nil"/>
                <w:bottom w:val="nil"/>
                <w:right w:val="nil"/>
                <w:between w:val="nil"/>
              </w:pBdr>
              <w:spacing w:after="0"/>
              <w:jc w:val="both"/>
            </w:pPr>
          </w:p>
        </w:tc>
      </w:tr>
      <w:tr w:rsidR="00416D85" w:rsidRPr="007C60AF" w14:paraId="4AF17744" w14:textId="77777777">
        <w:tc>
          <w:tcPr>
            <w:tcW w:w="3397" w:type="dxa"/>
            <w:vAlign w:val="center"/>
          </w:tcPr>
          <w:p w14:paraId="00000442" w14:textId="77777777" w:rsidR="00416D85" w:rsidRPr="007C60AF" w:rsidRDefault="00130320">
            <w:pPr>
              <w:pBdr>
                <w:top w:val="nil"/>
                <w:left w:val="nil"/>
                <w:bottom w:val="nil"/>
                <w:right w:val="nil"/>
                <w:between w:val="nil"/>
              </w:pBdr>
              <w:spacing w:after="0"/>
              <w:jc w:val="both"/>
            </w:pPr>
            <w:r w:rsidRPr="007C60AF">
              <w:t xml:space="preserve">Contact Person (if available) </w:t>
            </w:r>
          </w:p>
        </w:tc>
        <w:tc>
          <w:tcPr>
            <w:tcW w:w="5052" w:type="dxa"/>
            <w:vAlign w:val="center"/>
          </w:tcPr>
          <w:p w14:paraId="00000443" w14:textId="77777777" w:rsidR="00416D85" w:rsidRPr="007C60AF" w:rsidRDefault="00416D85">
            <w:pPr>
              <w:pBdr>
                <w:top w:val="nil"/>
                <w:left w:val="nil"/>
                <w:bottom w:val="nil"/>
                <w:right w:val="nil"/>
                <w:between w:val="nil"/>
              </w:pBdr>
              <w:spacing w:after="0"/>
              <w:jc w:val="both"/>
            </w:pPr>
          </w:p>
        </w:tc>
      </w:tr>
    </w:tbl>
    <w:p w14:paraId="00000444" w14:textId="77777777" w:rsidR="00416D85" w:rsidRPr="007C60AF" w:rsidRDefault="00416D85">
      <w:pPr>
        <w:pBdr>
          <w:top w:val="nil"/>
          <w:left w:val="nil"/>
          <w:bottom w:val="nil"/>
          <w:right w:val="nil"/>
          <w:between w:val="nil"/>
        </w:pBdr>
        <w:spacing w:after="0" w:line="276" w:lineRule="auto"/>
        <w:ind w:firstLine="284"/>
        <w:jc w:val="both"/>
        <w:rPr>
          <w:color w:val="000000"/>
        </w:rPr>
      </w:pPr>
    </w:p>
    <w:p w14:paraId="00000445" w14:textId="77777777" w:rsidR="00416D85" w:rsidRPr="007C60AF" w:rsidRDefault="00130320">
      <w:pPr>
        <w:pBdr>
          <w:top w:val="nil"/>
          <w:left w:val="nil"/>
          <w:bottom w:val="nil"/>
          <w:right w:val="nil"/>
          <w:between w:val="nil"/>
        </w:pBdr>
        <w:spacing w:before="120" w:line="276" w:lineRule="auto"/>
        <w:jc w:val="both"/>
        <w:rPr>
          <w:rFonts w:eastAsia="Arial"/>
          <w:color w:val="4472C4"/>
        </w:rPr>
      </w:pPr>
      <w:r w:rsidRPr="007C60AF">
        <w:rPr>
          <w:rFonts w:eastAsia="Arial"/>
          <w:color w:val="4472C4"/>
        </w:rPr>
        <w:lastRenderedPageBreak/>
        <w:t xml:space="preserve">Please refer to Appendix C.4 for a list of known suppliers, users and consumers of HVO in the UK. The Applicants are unable to determine based on publicly available information which of these </w:t>
      </w:r>
      <w:proofErr w:type="gramStart"/>
      <w:r w:rsidRPr="007C60AF">
        <w:rPr>
          <w:rFonts w:eastAsia="Arial"/>
          <w:color w:val="4472C4"/>
        </w:rPr>
        <w:t>companies</w:t>
      </w:r>
      <w:proofErr w:type="gramEnd"/>
      <w:r w:rsidRPr="007C60AF">
        <w:rPr>
          <w:rFonts w:eastAsia="Arial"/>
          <w:color w:val="4472C4"/>
        </w:rPr>
        <w:t xml:space="preserve"> supply, use and/or consume HVO from the US (although it is understood that most of them do).</w:t>
      </w:r>
      <w:r w:rsidRPr="007C60AF">
        <w:br w:type="page"/>
      </w:r>
    </w:p>
    <w:p w14:paraId="00000446"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28"/>
          <w:szCs w:val="28"/>
        </w:rPr>
      </w:pPr>
      <w:bookmarkStart w:id="33" w:name="_heading=h.52j8py8v9lpf" w:colFirst="0" w:colLast="0"/>
      <w:bookmarkEnd w:id="33"/>
      <w:r w:rsidRPr="007C60AF">
        <w:rPr>
          <w:rFonts w:eastAsia="Arial"/>
          <w:b/>
          <w:color w:val="4472C4"/>
          <w:sz w:val="36"/>
          <w:szCs w:val="36"/>
        </w:rPr>
        <w:lastRenderedPageBreak/>
        <w:t xml:space="preserve">SECTION D: </w:t>
      </w:r>
      <w:r w:rsidRPr="007C60AF">
        <w:rPr>
          <w:rFonts w:eastAsia="Arial"/>
          <w:b/>
          <w:color w:val="000000"/>
          <w:sz w:val="36"/>
          <w:szCs w:val="36"/>
        </w:rPr>
        <w:t>Representativeness</w:t>
      </w:r>
    </w:p>
    <w:p w14:paraId="00000447"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bookmarkStart w:id="34" w:name="_heading=h.2ila8a63082l" w:colFirst="0" w:colLast="0"/>
      <w:bookmarkEnd w:id="34"/>
      <w:r w:rsidRPr="007C60AF">
        <w:rPr>
          <w:rFonts w:eastAsia="Arial"/>
          <w:b/>
          <w:color w:val="4472C4"/>
          <w:sz w:val="28"/>
          <w:szCs w:val="28"/>
        </w:rPr>
        <w:t xml:space="preserve">D.1. </w:t>
      </w:r>
      <w:r w:rsidRPr="007C60AF">
        <w:rPr>
          <w:rFonts w:eastAsia="Arial"/>
          <w:b/>
          <w:color w:val="000000"/>
          <w:sz w:val="28"/>
          <w:szCs w:val="28"/>
        </w:rPr>
        <w:t>Summary of UK Producer support or opposition for this application</w:t>
      </w:r>
    </w:p>
    <w:p w14:paraId="00000448" w14:textId="77777777" w:rsidR="00416D85" w:rsidRPr="007C60AF" w:rsidRDefault="00130320">
      <w:pPr>
        <w:jc w:val="both"/>
      </w:pPr>
      <w:r w:rsidRPr="007C60AF">
        <w:t xml:space="preserve">We need to know about the total volume of UK production for UK markets by the producers who support your application. </w:t>
      </w:r>
      <w:r w:rsidRPr="007C60AF">
        <w:rPr>
          <w:b/>
        </w:rPr>
        <w:t>Please complete Annex 1</w:t>
      </w:r>
      <w:r w:rsidRPr="007C60AF">
        <w:t xml:space="preserve">, which will guide you through the calculation of whether representativeness requirement is met in terms of volume and value. If any figures are estimates, please explain how you worked out this information. </w:t>
      </w:r>
    </w:p>
    <w:tbl>
      <w:tblPr>
        <w:tblStyle w:val="afff8"/>
        <w:tblW w:w="9016" w:type="dxa"/>
        <w:tblLayout w:type="fixed"/>
        <w:tblLook w:val="0400" w:firstRow="0" w:lastRow="0" w:firstColumn="0" w:lastColumn="0" w:noHBand="0" w:noVBand="1"/>
      </w:tblPr>
      <w:tblGrid>
        <w:gridCol w:w="9016"/>
      </w:tblGrid>
      <w:tr w:rsidR="00416D85" w:rsidRPr="007C60AF" w14:paraId="2C794AB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49" w14:textId="77777777" w:rsidR="00416D85" w:rsidRPr="007C60AF" w:rsidRDefault="00130320">
            <w:pPr>
              <w:spacing w:after="0"/>
              <w:jc w:val="both"/>
              <w:rPr>
                <w:color w:val="4472C4"/>
              </w:rPr>
            </w:pPr>
            <w:r w:rsidRPr="007C60AF">
              <w:rPr>
                <w:color w:val="4472C4"/>
              </w:rPr>
              <w:t>The "standing requirement" in Regulation 52(2) of The Trade Remedies (Dumping and Subsidisation) (EU Exit) Regulations 2019 ("</w:t>
            </w:r>
            <w:r w:rsidRPr="007C60AF">
              <w:rPr>
                <w:b/>
                <w:color w:val="4472C4"/>
              </w:rPr>
              <w:t>D&amp;S Regulations</w:t>
            </w:r>
            <w:r w:rsidRPr="007C60AF">
              <w:rPr>
                <w:color w:val="4472C4"/>
              </w:rPr>
              <w:t>") is met because the collective output of the three supporting producers (</w:t>
            </w:r>
            <w:proofErr w:type="spellStart"/>
            <w:r w:rsidRPr="007C60AF">
              <w:rPr>
                <w:color w:val="4472C4"/>
              </w:rPr>
              <w:t>Greenergy</w:t>
            </w:r>
            <w:proofErr w:type="spellEnd"/>
            <w:r w:rsidRPr="007C60AF">
              <w:rPr>
                <w:color w:val="4472C4"/>
              </w:rPr>
              <w:t xml:space="preserve">, Argent and </w:t>
            </w:r>
            <w:proofErr w:type="spellStart"/>
            <w:r w:rsidRPr="007C60AF">
              <w:rPr>
                <w:color w:val="4472C4"/>
              </w:rPr>
              <w:t>Olleco</w:t>
            </w:r>
            <w:proofErr w:type="spellEnd"/>
            <w:r w:rsidRPr="007C60AF">
              <w:rPr>
                <w:color w:val="4472C4"/>
              </w:rPr>
              <w:t>) represents 100% of the total UK production.</w:t>
            </w:r>
          </w:p>
          <w:p w14:paraId="0000044A" w14:textId="77777777" w:rsidR="00416D85" w:rsidRPr="007C60AF" w:rsidRDefault="00416D85">
            <w:pPr>
              <w:spacing w:after="0"/>
              <w:jc w:val="both"/>
              <w:rPr>
                <w:color w:val="4472C4"/>
              </w:rPr>
            </w:pPr>
          </w:p>
          <w:p w14:paraId="0000044B" w14:textId="77777777" w:rsidR="00416D85" w:rsidRPr="007C60AF" w:rsidRDefault="00130320">
            <w:pPr>
              <w:spacing w:after="0"/>
              <w:jc w:val="both"/>
              <w:rPr>
                <w:color w:val="4472C4"/>
              </w:rPr>
            </w:pPr>
            <w:r w:rsidRPr="007C60AF">
              <w:rPr>
                <w:color w:val="4472C4"/>
              </w:rPr>
              <w:t>Please refer to Annex 1 in Appendix D.1.</w:t>
            </w:r>
          </w:p>
        </w:tc>
      </w:tr>
    </w:tbl>
    <w:p w14:paraId="0000044C" w14:textId="77777777" w:rsidR="00416D85" w:rsidRPr="007C60AF" w:rsidRDefault="00130320">
      <w:pPr>
        <w:pBdr>
          <w:top w:val="nil"/>
          <w:left w:val="nil"/>
          <w:bottom w:val="nil"/>
          <w:right w:val="nil"/>
          <w:between w:val="nil"/>
        </w:pBdr>
        <w:spacing w:before="160" w:line="360" w:lineRule="auto"/>
        <w:jc w:val="both"/>
        <w:rPr>
          <w:rFonts w:eastAsia="Arial"/>
          <w:color w:val="000000"/>
          <w:sz w:val="32"/>
          <w:szCs w:val="32"/>
        </w:rPr>
      </w:pPr>
      <w:bookmarkStart w:id="35" w:name="_heading=h.id8rlglh2xvg" w:colFirst="0" w:colLast="0"/>
      <w:bookmarkEnd w:id="35"/>
      <w:r w:rsidRPr="007C60AF">
        <w:rPr>
          <w:rFonts w:eastAsia="Arial"/>
          <w:b/>
          <w:color w:val="4472C4"/>
          <w:sz w:val="28"/>
          <w:szCs w:val="28"/>
        </w:rPr>
        <w:t xml:space="preserve">D.2. </w:t>
      </w:r>
      <w:r w:rsidRPr="007C60AF">
        <w:rPr>
          <w:rFonts w:eastAsia="Arial"/>
          <w:b/>
          <w:color w:val="000000"/>
          <w:sz w:val="28"/>
          <w:szCs w:val="28"/>
        </w:rPr>
        <w:t>Market Share</w:t>
      </w:r>
    </w:p>
    <w:p w14:paraId="0000044D" w14:textId="77777777" w:rsidR="00416D85" w:rsidRPr="007C60AF" w:rsidRDefault="00130320">
      <w:pPr>
        <w:numPr>
          <w:ilvl w:val="3"/>
          <w:numId w:val="5"/>
        </w:num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 applicant UK industry/industries should have at least a 1% share of the UK market for the goods, irrespective of where the goods were produced. Please demonstrate this by </w:t>
      </w:r>
      <w:r w:rsidRPr="007C60AF">
        <w:rPr>
          <w:rFonts w:eastAsia="Arial"/>
          <w:b/>
          <w:color w:val="000000"/>
        </w:rPr>
        <w:t>completing Annex 2</w:t>
      </w:r>
      <w:r w:rsidRPr="007C60AF">
        <w:rPr>
          <w:rFonts w:eastAsia="Arial"/>
          <w:color w:val="000000"/>
        </w:rPr>
        <w:t xml:space="preserve">. If you have other specific market share information, please also provide that. </w:t>
      </w:r>
    </w:p>
    <w:tbl>
      <w:tblPr>
        <w:tblStyle w:val="afff9"/>
        <w:tblW w:w="9016" w:type="dxa"/>
        <w:tblLayout w:type="fixed"/>
        <w:tblLook w:val="0400" w:firstRow="0" w:lastRow="0" w:firstColumn="0" w:lastColumn="0" w:noHBand="0" w:noVBand="1"/>
      </w:tblPr>
      <w:tblGrid>
        <w:gridCol w:w="9016"/>
      </w:tblGrid>
      <w:tr w:rsidR="00416D85" w:rsidRPr="007C60AF" w14:paraId="44340E3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4E" w14:textId="77777777" w:rsidR="00416D85" w:rsidRPr="007C60AF" w:rsidRDefault="00130320">
            <w:pPr>
              <w:numPr>
                <w:ilvl w:val="6"/>
                <w:numId w:val="57"/>
              </w:num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color w:val="4472C4"/>
              </w:rPr>
            </w:pPr>
            <w:r w:rsidRPr="007C60AF">
              <w:rPr>
                <w:rFonts w:eastAsia="Arial"/>
                <w:color w:val="4472C4"/>
              </w:rPr>
              <w:t xml:space="preserve">The Applicants satisfy the "market share requirement" in Regulation 51 of D&amp;S Regulations. Please refer to: </w:t>
            </w:r>
          </w:p>
          <w:p w14:paraId="0000044F" w14:textId="77777777" w:rsidR="00416D85" w:rsidRPr="007C60AF" w:rsidRDefault="00130320">
            <w:pPr>
              <w:numPr>
                <w:ilvl w:val="0"/>
                <w:numId w:val="33"/>
              </w:numPr>
              <w:pBdr>
                <w:top w:val="nil"/>
                <w:left w:val="nil"/>
                <w:bottom w:val="nil"/>
                <w:right w:val="nil"/>
                <w:between w:val="nil"/>
              </w:pBdr>
              <w:spacing w:before="240" w:after="0"/>
              <w:jc w:val="both"/>
              <w:rPr>
                <w:rFonts w:eastAsia="Arial"/>
                <w:color w:val="4472C4"/>
              </w:rPr>
            </w:pPr>
            <w:r w:rsidRPr="007C60AF">
              <w:rPr>
                <w:rFonts w:eastAsia="Arial"/>
                <w:color w:val="4472C4"/>
              </w:rPr>
              <w:t>the response to question G.1.1. below and Appendix G.2 for the market share of the UK industry, which has been calculated using actual demand figures of HVO and FAME from the RTFO statistics and actual sales data from the UK producers; and</w:t>
            </w:r>
          </w:p>
          <w:p w14:paraId="00000450" w14:textId="77777777" w:rsidR="00416D85" w:rsidRPr="007C60AF" w:rsidRDefault="00130320">
            <w:pPr>
              <w:numPr>
                <w:ilvl w:val="0"/>
                <w:numId w:val="33"/>
              </w:numPr>
              <w:pBdr>
                <w:top w:val="nil"/>
                <w:left w:val="nil"/>
                <w:bottom w:val="nil"/>
                <w:right w:val="nil"/>
                <w:between w:val="nil"/>
              </w:pBdr>
              <w:spacing w:before="240" w:after="0"/>
              <w:jc w:val="both"/>
              <w:rPr>
                <w:rFonts w:eastAsia="Arial"/>
                <w:color w:val="4472C4"/>
              </w:rPr>
            </w:pPr>
            <w:r w:rsidRPr="007C60AF">
              <w:rPr>
                <w:rFonts w:eastAsia="Arial"/>
                <w:color w:val="4472C4"/>
              </w:rPr>
              <w:t>Annex 2 in Appendix D.1, which assesses UK consumption of HVO and market shares.</w:t>
            </w:r>
          </w:p>
        </w:tc>
      </w:tr>
    </w:tbl>
    <w:p w14:paraId="00000451" w14:textId="77777777" w:rsidR="00416D85" w:rsidRPr="007C60AF" w:rsidRDefault="00416D85">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00000452" w14:textId="77777777" w:rsidR="00416D85" w:rsidRPr="007C60AF" w:rsidRDefault="00130320">
      <w:pPr>
        <w:numPr>
          <w:ilvl w:val="3"/>
          <w:numId w:val="5"/>
        </w:numPr>
        <w:pBdr>
          <w:top w:val="nil"/>
          <w:left w:val="nil"/>
          <w:bottom w:val="nil"/>
          <w:right w:val="nil"/>
          <w:between w:val="nil"/>
        </w:pBdr>
        <w:spacing w:before="120" w:line="276" w:lineRule="auto"/>
        <w:jc w:val="both"/>
      </w:pPr>
      <w:r w:rsidRPr="007C60AF">
        <w:rPr>
          <w:rFonts w:eastAsia="Arial"/>
          <w:color w:val="000000"/>
        </w:rPr>
        <w:t>Please note that the requirement can be waived in certain circumstances, for example if your application is about imports preventing a UK industry from being established for a 1% market share. If you think the requirement should be waived, explain why.</w:t>
      </w:r>
    </w:p>
    <w:tbl>
      <w:tblPr>
        <w:tblStyle w:val="afffa"/>
        <w:tblW w:w="9016" w:type="dxa"/>
        <w:tblLayout w:type="fixed"/>
        <w:tblLook w:val="0400" w:firstRow="0" w:lastRow="0" w:firstColumn="0" w:lastColumn="0" w:noHBand="0" w:noVBand="1"/>
      </w:tblPr>
      <w:tblGrid>
        <w:gridCol w:w="9016"/>
      </w:tblGrid>
      <w:tr w:rsidR="00416D85" w:rsidRPr="007C60AF" w14:paraId="1C13507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53" w14:textId="77777777" w:rsidR="00416D85" w:rsidRPr="007C60AF" w:rsidRDefault="00130320">
            <w:pPr>
              <w:spacing w:after="0"/>
              <w:jc w:val="both"/>
              <w:rPr>
                <w:color w:val="4472C4"/>
              </w:rPr>
            </w:pPr>
            <w:bookmarkStart w:id="36" w:name="_heading=h.gf9bhfnggywt" w:colFirst="0" w:colLast="0"/>
            <w:bookmarkEnd w:id="36"/>
            <w:r w:rsidRPr="007C60AF">
              <w:rPr>
                <w:color w:val="4472C4"/>
              </w:rPr>
              <w:lastRenderedPageBreak/>
              <w:t>Not applicable.</w:t>
            </w:r>
          </w:p>
        </w:tc>
      </w:tr>
    </w:tbl>
    <w:p w14:paraId="00000454"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bookmarkStart w:id="37" w:name="_heading=h.r0571si05vjw" w:colFirst="0" w:colLast="0"/>
      <w:bookmarkEnd w:id="37"/>
      <w:r w:rsidRPr="007C60AF">
        <w:rPr>
          <w:rFonts w:eastAsia="Arial"/>
          <w:b/>
          <w:color w:val="4472C4"/>
          <w:sz w:val="28"/>
          <w:szCs w:val="28"/>
        </w:rPr>
        <w:t xml:space="preserve">D.3. </w:t>
      </w:r>
      <w:r w:rsidRPr="007C60AF">
        <w:rPr>
          <w:rFonts w:eastAsia="Arial"/>
          <w:b/>
          <w:color w:val="000000"/>
          <w:sz w:val="28"/>
          <w:szCs w:val="28"/>
        </w:rPr>
        <w:t>Related Persons</w:t>
      </w:r>
    </w:p>
    <w:p w14:paraId="00000455" w14:textId="77777777" w:rsidR="00416D85" w:rsidRPr="007C60AF" w:rsidRDefault="00130320">
      <w:pPr>
        <w:jc w:val="both"/>
      </w:pPr>
      <w:r w:rsidRPr="007C60AF">
        <w:t xml:space="preserve">If you know that the Applicant or any other known UK producer of the goods is related (as defined under </w:t>
      </w:r>
      <w:hyperlink r:id="rId27">
        <w:r w:rsidRPr="007C60AF">
          <w:rPr>
            <w:color w:val="0563C1"/>
            <w:u w:val="single"/>
          </w:rPr>
          <w:t>Regulation 128</w:t>
        </w:r>
      </w:hyperlink>
      <w:r w:rsidRPr="007C60AF">
        <w:t xml:space="preserve"> of the Customs (Import Duty) (EU Exit) Regulations 2018 (a)) to an exporter or an importer of the goods, describe the company and the relationship. </w:t>
      </w:r>
    </w:p>
    <w:tbl>
      <w:tblPr>
        <w:tblStyle w:val="afffb"/>
        <w:tblW w:w="9016" w:type="dxa"/>
        <w:tblLayout w:type="fixed"/>
        <w:tblLook w:val="0400" w:firstRow="0" w:lastRow="0" w:firstColumn="0" w:lastColumn="0" w:noHBand="0" w:noVBand="1"/>
      </w:tblPr>
      <w:tblGrid>
        <w:gridCol w:w="9016"/>
      </w:tblGrid>
      <w:tr w:rsidR="00416D85" w:rsidRPr="007C60AF" w14:paraId="4FCC3130"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56" w14:textId="77777777" w:rsidR="00416D85" w:rsidRPr="007C60AF" w:rsidRDefault="00130320">
            <w:pPr>
              <w:numPr>
                <w:ilvl w:val="6"/>
                <w:numId w:val="7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In accordance with our responses to questions D.1. (regarding the "standing requirement") and D.2. (regarding the "market share requirement") above, the UK industry is comprised of three FAME producers, who are also Applicants: </w:t>
            </w:r>
            <w:proofErr w:type="spellStart"/>
            <w:r w:rsidRPr="007C60AF">
              <w:rPr>
                <w:rFonts w:eastAsia="Arial"/>
                <w:color w:val="4472C4"/>
              </w:rPr>
              <w:t>Greenergy</w:t>
            </w:r>
            <w:proofErr w:type="spellEnd"/>
            <w:r w:rsidRPr="007C60AF">
              <w:rPr>
                <w:rFonts w:eastAsia="Arial"/>
                <w:color w:val="4472C4"/>
              </w:rPr>
              <w:t xml:space="preserve">, Argent and </w:t>
            </w:r>
            <w:proofErr w:type="spellStart"/>
            <w:r w:rsidRPr="007C60AF">
              <w:rPr>
                <w:rFonts w:eastAsia="Arial"/>
                <w:color w:val="4472C4"/>
              </w:rPr>
              <w:t>Olleco</w:t>
            </w:r>
            <w:proofErr w:type="spellEnd"/>
            <w:r w:rsidRPr="007C60AF">
              <w:rPr>
                <w:rFonts w:eastAsia="Arial"/>
                <w:color w:val="4472C4"/>
              </w:rPr>
              <w:t xml:space="preserve">. </w:t>
            </w:r>
          </w:p>
          <w:p w14:paraId="0000045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58" w14:textId="77777777" w:rsidR="00416D85" w:rsidRPr="007C60AF" w:rsidRDefault="00130320">
            <w:pPr>
              <w:numPr>
                <w:ilvl w:val="6"/>
                <w:numId w:val="7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It is noted that Phillips 66 Limited ("</w:t>
            </w:r>
            <w:r w:rsidRPr="007C60AF">
              <w:rPr>
                <w:rFonts w:eastAsia="Arial"/>
                <w:b/>
                <w:color w:val="4472C4"/>
              </w:rPr>
              <w:t>P66</w:t>
            </w:r>
            <w:r w:rsidRPr="007C60AF">
              <w:rPr>
                <w:rFonts w:eastAsia="Arial"/>
                <w:color w:val="4472C4"/>
              </w:rPr>
              <w:t>") produces a broad range of lower-carbon products, from bio-propane to bio-gasoline and sustainable aviation fuel through co-processing</w:t>
            </w:r>
            <w:r w:rsidRPr="007C60AF">
              <w:rPr>
                <w:rFonts w:eastAsia="Arial"/>
                <w:color w:val="4472C4"/>
                <w:vertAlign w:val="superscript"/>
              </w:rPr>
              <w:footnoteReference w:id="114"/>
            </w:r>
            <w:r w:rsidRPr="007C60AF">
              <w:rPr>
                <w:rFonts w:eastAsia="Arial"/>
                <w:color w:val="4472C4"/>
              </w:rPr>
              <w:t xml:space="preserve"> waste oils at its Humber Refinery.</w:t>
            </w:r>
            <w:r w:rsidRPr="007C60AF">
              <w:rPr>
                <w:rFonts w:eastAsia="Arial"/>
                <w:color w:val="4472C4"/>
                <w:vertAlign w:val="superscript"/>
              </w:rPr>
              <w:footnoteReference w:id="115"/>
            </w:r>
            <w:r w:rsidRPr="007C60AF">
              <w:rPr>
                <w:rFonts w:eastAsia="Arial"/>
                <w:color w:val="4472C4"/>
              </w:rPr>
              <w:t xml:space="preserve"> Moreover, P66 have been known to co-process HVO but likely do not engage in that activity anymore.</w:t>
            </w:r>
            <w:r w:rsidRPr="007C60AF">
              <w:rPr>
                <w:rFonts w:eastAsia="Arial"/>
                <w:color w:val="4472C4"/>
                <w:vertAlign w:val="superscript"/>
              </w:rPr>
              <w:footnoteReference w:id="116"/>
            </w:r>
            <w:r w:rsidRPr="007C60AF">
              <w:rPr>
                <w:rFonts w:eastAsia="Arial"/>
                <w:color w:val="4472C4"/>
              </w:rPr>
              <w:t xml:space="preserve"> P66 is a wholly owned UK subsidiary of Phillips 66 in the US and imports HVO from its US parent.</w:t>
            </w:r>
            <w:r w:rsidRPr="007C60AF">
              <w:rPr>
                <w:rFonts w:eastAsia="Arial"/>
                <w:color w:val="4472C4"/>
                <w:vertAlign w:val="superscript"/>
              </w:rPr>
              <w:footnoteReference w:id="117"/>
            </w:r>
            <w:r w:rsidRPr="007C60AF">
              <w:rPr>
                <w:rFonts w:eastAsia="Arial"/>
                <w:color w:val="4472C4"/>
              </w:rPr>
              <w:t xml:space="preserve"> Because of this, P66 may oppose the Application due to its conflicting interests.</w:t>
            </w:r>
            <w:r w:rsidRPr="007C60AF">
              <w:rPr>
                <w:rFonts w:eastAsia="Arial"/>
                <w:color w:val="4472C4"/>
                <w:vertAlign w:val="superscript"/>
              </w:rPr>
              <w:footnoteReference w:id="118"/>
            </w:r>
            <w:r w:rsidRPr="007C60AF">
              <w:rPr>
                <w:rFonts w:eastAsia="Arial"/>
                <w:color w:val="4472C4"/>
              </w:rPr>
              <w:t xml:space="preserve"> Since P66 is a related party to the US producer of HVO and an importer of US HVO, the TRA should therefore exclude P66 from the UK industry on the basis of Regulations 29(2)(a) and (b) and 29(4) of the D&amp;S Regulations. </w:t>
            </w:r>
          </w:p>
        </w:tc>
      </w:tr>
    </w:tbl>
    <w:p w14:paraId="00000459" w14:textId="77777777" w:rsidR="00416D85" w:rsidRPr="007C60AF" w:rsidRDefault="00130320">
      <w:pPr>
        <w:jc w:val="both"/>
        <w:rPr>
          <w:color w:val="000000"/>
        </w:rPr>
      </w:pPr>
      <w:r w:rsidRPr="007C60AF">
        <w:br w:type="page"/>
      </w:r>
    </w:p>
    <w:p w14:paraId="0000045A"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38" w:name="_heading=h.hck0c4y4tlsy" w:colFirst="0" w:colLast="0"/>
      <w:bookmarkEnd w:id="38"/>
      <w:r w:rsidRPr="007C60AF">
        <w:rPr>
          <w:rFonts w:eastAsia="Arial"/>
          <w:b/>
          <w:color w:val="4472C4"/>
          <w:sz w:val="36"/>
          <w:szCs w:val="36"/>
        </w:rPr>
        <w:lastRenderedPageBreak/>
        <w:t xml:space="preserve">SECTION E: </w:t>
      </w:r>
      <w:r w:rsidRPr="007C60AF">
        <w:rPr>
          <w:rFonts w:eastAsia="Arial"/>
          <w:b/>
          <w:color w:val="000000"/>
          <w:sz w:val="36"/>
          <w:szCs w:val="36"/>
        </w:rPr>
        <w:t>About the allegedly dumped imports you want us to investigate</w:t>
      </w:r>
    </w:p>
    <w:p w14:paraId="0000045B"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Complete this section if you are making an application for a dumping investigation.  </w:t>
      </w:r>
    </w:p>
    <w:p w14:paraId="0000045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Please give us all the information you can about the imported goods you believe are being dumped and the injury being caused to UK industry. </w:t>
      </w:r>
    </w:p>
    <w:p w14:paraId="0000045D"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bookmarkStart w:id="39" w:name="_heading=h.onf9b8wln16b" w:colFirst="0" w:colLast="0"/>
      <w:bookmarkEnd w:id="39"/>
      <w:r w:rsidRPr="007C60AF">
        <w:rPr>
          <w:rFonts w:eastAsia="Arial"/>
          <w:b/>
          <w:color w:val="4472C4"/>
          <w:sz w:val="28"/>
          <w:szCs w:val="28"/>
        </w:rPr>
        <w:t xml:space="preserve">E.1. </w:t>
      </w:r>
      <w:r w:rsidRPr="007C60AF">
        <w:rPr>
          <w:rFonts w:eastAsia="Arial"/>
          <w:b/>
          <w:color w:val="000000"/>
          <w:sz w:val="28"/>
          <w:szCs w:val="28"/>
        </w:rPr>
        <w:t>Sufficiency Test</w:t>
      </w:r>
    </w:p>
    <w:p w14:paraId="0000045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Please note that we may reject your application if there is not sufficient evidence of dumping or injury. Evidence of dumping is insufficient if the margin of dumping is less than 2% of the export price (minimal). </w:t>
      </w:r>
    </w:p>
    <w:p w14:paraId="0000045F" w14:textId="77777777" w:rsidR="00416D85" w:rsidRPr="007C60AF" w:rsidRDefault="00130320">
      <w:pPr>
        <w:numPr>
          <w:ilvl w:val="3"/>
          <w:numId w:val="6"/>
        </w:numPr>
        <w:pBdr>
          <w:top w:val="nil"/>
          <w:left w:val="nil"/>
          <w:bottom w:val="nil"/>
          <w:right w:val="nil"/>
          <w:between w:val="nil"/>
        </w:pBdr>
        <w:spacing w:before="120" w:line="276" w:lineRule="auto"/>
        <w:jc w:val="both"/>
      </w:pPr>
      <w:r w:rsidRPr="007C60AF">
        <w:rPr>
          <w:rFonts w:eastAsia="Arial"/>
          <w:color w:val="000000"/>
        </w:rPr>
        <w:t>List all countries (or territories) where the imported goods are produced (country of origin) and the countries (or territories) from which they are exported to the UK, if this is different.</w:t>
      </w:r>
    </w:p>
    <w:tbl>
      <w:tblPr>
        <w:tblStyle w:val="afffc"/>
        <w:tblW w:w="9016" w:type="dxa"/>
        <w:tblLayout w:type="fixed"/>
        <w:tblLook w:val="0400" w:firstRow="0" w:lastRow="0" w:firstColumn="0" w:lastColumn="0" w:noHBand="0" w:noVBand="1"/>
      </w:tblPr>
      <w:tblGrid>
        <w:gridCol w:w="9016"/>
      </w:tblGrid>
      <w:tr w:rsidR="00416D85" w:rsidRPr="007C60AF" w14:paraId="59B93D54"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60"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UK Trade Info website is managed by HM Revenue and Customs ("</w:t>
            </w:r>
            <w:r w:rsidRPr="007C60AF">
              <w:rPr>
                <w:rFonts w:eastAsia="Arial"/>
                <w:b/>
                <w:color w:val="4472C4"/>
              </w:rPr>
              <w:t>HMRC</w:t>
            </w:r>
            <w:r w:rsidRPr="007C60AF">
              <w:rPr>
                <w:rFonts w:eastAsia="Arial"/>
                <w:color w:val="4472C4"/>
              </w:rPr>
              <w:t>"). UK Trade Info publishes detailed UK trade statistics data collected by HMRC.</w:t>
            </w:r>
            <w:r w:rsidRPr="007C60AF">
              <w:rPr>
                <w:rFonts w:eastAsia="Arial"/>
                <w:color w:val="4472C4"/>
                <w:vertAlign w:val="superscript"/>
              </w:rPr>
              <w:footnoteReference w:id="119"/>
            </w:r>
            <w:r w:rsidRPr="007C60AF">
              <w:rPr>
                <w:rFonts w:eastAsia="Arial"/>
                <w:color w:val="4472C4"/>
              </w:rPr>
              <w:t xml:space="preserve"> </w:t>
            </w:r>
          </w:p>
          <w:p w14:paraId="0000046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62"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There are two ways to extract import data on the UK Trade Info website:</w:t>
            </w:r>
          </w:p>
          <w:p w14:paraId="00000463" w14:textId="77777777" w:rsidR="00416D85" w:rsidRPr="007C60AF" w:rsidRDefault="00130320">
            <w:pPr>
              <w:numPr>
                <w:ilvl w:val="0"/>
                <w:numId w:val="78"/>
              </w:numPr>
              <w:pBdr>
                <w:top w:val="nil"/>
                <w:left w:val="nil"/>
                <w:bottom w:val="nil"/>
                <w:right w:val="nil"/>
                <w:between w:val="nil"/>
              </w:pBdr>
              <w:spacing w:before="240" w:after="0"/>
              <w:jc w:val="both"/>
              <w:rPr>
                <w:rFonts w:eastAsia="Arial"/>
                <w:color w:val="4472C4"/>
              </w:rPr>
            </w:pPr>
            <w:r w:rsidRPr="007C60AF">
              <w:rPr>
                <w:rFonts w:eastAsia="Arial"/>
                <w:color w:val="4472C4"/>
              </w:rPr>
              <w:t>The website allows you to build your own customs table, which is an advanced tool to analyse data at a more granular level.</w:t>
            </w:r>
            <w:r w:rsidRPr="007C60AF">
              <w:rPr>
                <w:rFonts w:eastAsia="Arial"/>
                <w:color w:val="4472C4"/>
                <w:vertAlign w:val="superscript"/>
              </w:rPr>
              <w:footnoteReference w:id="120"/>
            </w:r>
            <w:r w:rsidRPr="007C60AF">
              <w:rPr>
                <w:rFonts w:eastAsia="Arial"/>
                <w:color w:val="4472C4"/>
              </w:rPr>
              <w:t xml:space="preserve"> However, these self-service data tables do not include any country-of-origin data – all the data contained within that database is based on country of dispatch only. </w:t>
            </w:r>
          </w:p>
          <w:p w14:paraId="00000464" w14:textId="77777777" w:rsidR="00416D85" w:rsidRPr="007C60AF" w:rsidRDefault="00130320">
            <w:pPr>
              <w:numPr>
                <w:ilvl w:val="0"/>
                <w:numId w:val="78"/>
              </w:numPr>
              <w:pBdr>
                <w:top w:val="nil"/>
                <w:left w:val="nil"/>
                <w:bottom w:val="nil"/>
                <w:right w:val="nil"/>
                <w:between w:val="nil"/>
              </w:pBdr>
              <w:spacing w:before="240" w:after="0"/>
              <w:jc w:val="both"/>
              <w:rPr>
                <w:rFonts w:eastAsia="Arial"/>
                <w:color w:val="4472C4"/>
                <w:sz w:val="20"/>
                <w:szCs w:val="20"/>
              </w:rPr>
            </w:pPr>
            <w:r w:rsidRPr="007C60AF">
              <w:rPr>
                <w:rFonts w:eastAsia="Arial"/>
                <w:color w:val="4472C4"/>
              </w:rPr>
              <w:t>The website also provides bulk datasets for goods imported to the UK from 2016 onwards.</w:t>
            </w:r>
            <w:r w:rsidRPr="007C60AF">
              <w:rPr>
                <w:rFonts w:eastAsia="Arial"/>
                <w:color w:val="4472C4"/>
                <w:vertAlign w:val="superscript"/>
              </w:rPr>
              <w:footnoteReference w:id="121"/>
            </w:r>
            <w:r w:rsidRPr="007C60AF">
              <w:rPr>
                <w:rFonts w:eastAsia="Arial"/>
                <w:color w:val="4472C4"/>
              </w:rPr>
              <w:t xml:space="preserve"> </w:t>
            </w:r>
          </w:p>
          <w:p w14:paraId="0000046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466"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downloaded the bulk datasets from the UK Trade Info website and filtered the data to apply only to the commodity codes which they are aware can be used to import HVO. However, the volumes and values of imports from third countries was disproportionately high. </w:t>
            </w:r>
          </w:p>
          <w:p w14:paraId="00000467"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68"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This is because, as explained in the response to question A.1.3 above, the industry is not mature and there are no clear commodity codes for most renewable fuels. It is therefore not possible to say with 100% certainty under which exact commodity code imports of US HVO would have been recorded, as it depends on specific product properties and the proportion of the blend.</w:t>
            </w:r>
          </w:p>
          <w:p w14:paraId="00000469"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6A"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such, the Applicants have been unable to determine based on this information exactly which countries export HVO to the </w:t>
            </w:r>
            <w:proofErr w:type="gramStart"/>
            <w:r w:rsidRPr="007C60AF">
              <w:rPr>
                <w:rFonts w:eastAsia="Arial"/>
                <w:color w:val="4472C4"/>
              </w:rPr>
              <w:t>UK, and</w:t>
            </w:r>
            <w:proofErr w:type="gramEnd"/>
            <w:r w:rsidRPr="007C60AF">
              <w:rPr>
                <w:rFonts w:eastAsia="Arial"/>
                <w:color w:val="4472C4"/>
              </w:rPr>
              <w:t xml:space="preserve"> are therefore unable to provide the volume and value of the imported goods for the POI from third countries on a country-by-country basis (other than the US) in Annex 2.</w:t>
            </w:r>
          </w:p>
          <w:p w14:paraId="0000046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6C"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However, the Applicants understand that the main countries that export HVO to the UK are as follows: Australia, Chile, China, France, Italy, Indonesia, Malaysia, the Netherlands, Spain, the United States, and Vietnam. The Applicants understand that France and the Netherlands are mainly the countries of consignment for US originating HVO.</w:t>
            </w:r>
          </w:p>
          <w:p w14:paraId="0000046D"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6E"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top five countries of consignment of US originating HVO are as follows: Belgium, Canada, France, the Netherlands and Spain.</w:t>
            </w:r>
          </w:p>
          <w:p w14:paraId="0000046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70" w14:textId="77777777" w:rsidR="00416D85" w:rsidRPr="007C60AF" w:rsidRDefault="00130320">
            <w:pPr>
              <w:numPr>
                <w:ilvl w:val="6"/>
                <w:numId w:val="38"/>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DfT publishes statistics which record the supply of renewable road fuels, including biodiesel, in the UK for the purposes of the RTFO.</w:t>
            </w:r>
            <w:r w:rsidRPr="007C60AF">
              <w:rPr>
                <w:rFonts w:eastAsia="Arial"/>
                <w:color w:val="4472C4"/>
                <w:vertAlign w:val="superscript"/>
              </w:rPr>
              <w:footnoteReference w:id="122"/>
            </w:r>
            <w:r w:rsidRPr="007C60AF">
              <w:rPr>
                <w:rFonts w:eastAsia="Arial"/>
                <w:color w:val="4472C4"/>
              </w:rPr>
              <w:t xml:space="preserve"> The database provides a detailed breakdown of each renewable fuel consumed each year in the UK market by fuel type, feedstock, and the country of origin of the feedstock. Whether HVO that is purchased and consumed is reported for the purposes of the RTFO depends on the end use of the product and if it is within the scope of the RTFO legislation. </w:t>
            </w:r>
          </w:p>
          <w:p w14:paraId="0000047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472" w14:textId="77777777" w:rsidR="00416D85" w:rsidRPr="007C60AF" w:rsidRDefault="00130320">
            <w:pPr>
              <w:numPr>
                <w:ilvl w:val="6"/>
                <w:numId w:val="38"/>
              </w:numPr>
              <w:pBdr>
                <w:top w:val="nil"/>
                <w:left w:val="nil"/>
                <w:bottom w:val="nil"/>
                <w:right w:val="nil"/>
                <w:between w:val="nil"/>
              </w:pBdr>
              <w:spacing w:after="0" w:line="276" w:lineRule="auto"/>
              <w:jc w:val="both"/>
              <w:rPr>
                <w:rFonts w:eastAsia="Arial"/>
                <w:color w:val="4472C4"/>
              </w:rPr>
            </w:pPr>
            <w:r w:rsidRPr="007C60AF">
              <w:rPr>
                <w:rFonts w:eastAsia="Arial"/>
                <w:color w:val="4472C4"/>
              </w:rPr>
              <w:t>However, the database records the country of origin as “[t]he country the feedstock originated in”, rather than the country that produces the biodiesel. “For crop-based feedstocks [the country of origin] is where the crop was cultivated and for wastes/agricultural residues [the country of origin] is where the material was formed, for example, the restaurant for used cooking oil.”</w:t>
            </w:r>
            <w:r w:rsidRPr="007C60AF">
              <w:rPr>
                <w:rFonts w:eastAsia="Arial"/>
                <w:color w:val="4472C4"/>
                <w:vertAlign w:val="superscript"/>
              </w:rPr>
              <w:footnoteReference w:id="123"/>
            </w:r>
            <w:r w:rsidRPr="007C60AF">
              <w:rPr>
                <w:rFonts w:eastAsia="Arial"/>
                <w:color w:val="4472C4"/>
              </w:rPr>
              <w:t xml:space="preserve"> As such, this database can also not be used for the purpose of determining which third countries export HVO to the UK.</w:t>
            </w:r>
          </w:p>
          <w:p w14:paraId="00000473"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74" w14:textId="77777777" w:rsidR="00416D85" w:rsidRPr="007C60AF" w:rsidRDefault="00130320">
            <w:pPr>
              <w:numPr>
                <w:ilvl w:val="6"/>
                <w:numId w:val="38"/>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Based on the fifth provisional release of the DfT's renewable fuel statistics for 2023, 103 million litres out of the 370 million litres of HVO consumed in the UK in </w:t>
            </w:r>
            <w:r w:rsidRPr="007C60AF">
              <w:rPr>
                <w:rFonts w:eastAsia="Arial"/>
                <w:color w:val="4472C4"/>
              </w:rPr>
              <w:lastRenderedPageBreak/>
              <w:t>2023 was produced using UCO from China (noting that RTFO origin data is not yet finalised for 2023). This represents 40% of UK consumption of HVO produced from UCO (</w:t>
            </w:r>
            <w:r w:rsidRPr="007C60AF">
              <w:rPr>
                <w:rFonts w:eastAsia="Arial"/>
                <w:i/>
                <w:color w:val="4472C4"/>
              </w:rPr>
              <w:t xml:space="preserve">see </w:t>
            </w:r>
            <w:r w:rsidRPr="007C60AF">
              <w:rPr>
                <w:rFonts w:eastAsia="Arial"/>
                <w:color w:val="4472C4"/>
              </w:rPr>
              <w:t>Appendix E.11 for the calculations).</w:t>
            </w:r>
            <w:r w:rsidRPr="007C60AF">
              <w:rPr>
                <w:rFonts w:eastAsia="Arial"/>
                <w:color w:val="4472C4"/>
                <w:vertAlign w:val="superscript"/>
              </w:rPr>
              <w:footnoteReference w:id="124"/>
            </w:r>
            <w:r w:rsidRPr="007C60AF">
              <w:rPr>
                <w:rFonts w:eastAsia="Arial"/>
                <w:color w:val="4472C4"/>
              </w:rPr>
              <w:t xml:space="preserve"> This confirms market intelligence information obtained by the Applicants that it is indeed the main source of feedstock for HVO imported into the UK, which is further discussed in Section F below.</w:t>
            </w:r>
          </w:p>
          <w:p w14:paraId="0000047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76" w14:textId="77777777" w:rsidR="00416D85" w:rsidRPr="007C60AF" w:rsidRDefault="00130320">
            <w:pPr>
              <w:numPr>
                <w:ilvl w:val="6"/>
                <w:numId w:val="38"/>
              </w:numPr>
              <w:pBdr>
                <w:top w:val="nil"/>
                <w:left w:val="nil"/>
                <w:bottom w:val="nil"/>
                <w:right w:val="nil"/>
                <w:between w:val="nil"/>
              </w:pBdr>
              <w:spacing w:after="0" w:line="276" w:lineRule="auto"/>
              <w:jc w:val="both"/>
              <w:rPr>
                <w:rFonts w:eastAsia="Arial"/>
                <w:color w:val="4472C4"/>
              </w:rPr>
            </w:pPr>
            <w:r w:rsidRPr="007C60AF">
              <w:rPr>
                <w:rFonts w:eastAsia="Arial"/>
                <w:color w:val="4472C4"/>
              </w:rPr>
              <w:t>Considering the country of origin of UCO, the following countries should be considered: China, France, Indonesia, Italy, Malaysia, the Netherlands and the US.</w:t>
            </w:r>
          </w:p>
          <w:p w14:paraId="00000477"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78" w14:textId="77777777" w:rsidR="00416D85" w:rsidRPr="007C60AF" w:rsidRDefault="00130320">
            <w:pPr>
              <w:numPr>
                <w:ilvl w:val="6"/>
                <w:numId w:val="38"/>
              </w:numPr>
              <w:pBdr>
                <w:top w:val="nil"/>
                <w:left w:val="nil"/>
                <w:bottom w:val="nil"/>
                <w:right w:val="nil"/>
                <w:between w:val="nil"/>
              </w:pBdr>
              <w:spacing w:line="276" w:lineRule="auto"/>
              <w:jc w:val="both"/>
              <w:rPr>
                <w:rFonts w:eastAsia="Arial"/>
                <w:color w:val="4472C4"/>
              </w:rPr>
            </w:pPr>
            <w:r w:rsidRPr="007C60AF">
              <w:rPr>
                <w:rFonts w:eastAsia="Arial"/>
                <w:color w:val="4472C4"/>
              </w:rPr>
              <w:t>Based on the RTFO statistics, the total consumption of HVO in the UK during the POI was 407,358 MT.</w:t>
            </w:r>
          </w:p>
        </w:tc>
      </w:tr>
    </w:tbl>
    <w:p w14:paraId="00000479" w14:textId="77777777" w:rsidR="00416D85" w:rsidRPr="007C60AF" w:rsidRDefault="00416D85">
      <w:pPr>
        <w:jc w:val="both"/>
      </w:pPr>
    </w:p>
    <w:p w14:paraId="0000047A" w14:textId="77777777" w:rsidR="00416D85" w:rsidRPr="007C60AF" w:rsidRDefault="00130320">
      <w:pPr>
        <w:numPr>
          <w:ilvl w:val="3"/>
          <w:numId w:val="6"/>
        </w:numPr>
        <w:pBdr>
          <w:top w:val="nil"/>
          <w:left w:val="nil"/>
          <w:bottom w:val="nil"/>
          <w:right w:val="nil"/>
          <w:between w:val="nil"/>
        </w:pBdr>
        <w:spacing w:before="120" w:after="0" w:line="276" w:lineRule="auto"/>
        <w:jc w:val="both"/>
      </w:pPr>
      <w:r w:rsidRPr="007C60AF">
        <w:rPr>
          <w:rFonts w:eastAsia="Arial"/>
          <w:b/>
          <w:color w:val="000000"/>
        </w:rPr>
        <w:t>Complete Annex 2</w:t>
      </w:r>
      <w:r w:rsidRPr="007C60AF">
        <w:rPr>
          <w:rFonts w:eastAsia="Arial"/>
          <w:color w:val="000000"/>
        </w:rPr>
        <w:t>, giving the volume and value of the imported goods for the POI, to demonstrate percentage of total imports.</w:t>
      </w:r>
    </w:p>
    <w:p w14:paraId="0000047B" w14:textId="77777777" w:rsidR="00416D85" w:rsidRPr="007C60AF" w:rsidRDefault="00416D85">
      <w:pPr>
        <w:pBdr>
          <w:top w:val="nil"/>
          <w:left w:val="nil"/>
          <w:bottom w:val="nil"/>
          <w:right w:val="nil"/>
          <w:between w:val="nil"/>
        </w:pBdr>
        <w:spacing w:after="0" w:line="276" w:lineRule="auto"/>
        <w:ind w:left="567"/>
        <w:jc w:val="both"/>
        <w:rPr>
          <w:rFonts w:eastAsia="Arial"/>
          <w:color w:val="000000"/>
        </w:rPr>
      </w:pPr>
    </w:p>
    <w:p w14:paraId="0000047C" w14:textId="77777777" w:rsidR="00416D85" w:rsidRPr="007C60AF" w:rsidRDefault="00130320">
      <w:pPr>
        <w:numPr>
          <w:ilvl w:val="3"/>
          <w:numId w:val="6"/>
        </w:numPr>
        <w:pBdr>
          <w:top w:val="nil"/>
          <w:left w:val="nil"/>
          <w:bottom w:val="nil"/>
          <w:right w:val="nil"/>
          <w:between w:val="nil"/>
        </w:pBdr>
        <w:spacing w:line="276" w:lineRule="auto"/>
        <w:jc w:val="both"/>
      </w:pPr>
      <w:r w:rsidRPr="007C60AF">
        <w:rPr>
          <w:rFonts w:eastAsia="Arial"/>
          <w:color w:val="000000"/>
        </w:rPr>
        <w:t xml:space="preserve">Provide details and evidence of how the volume and value of dumped imports have been calculated. </w:t>
      </w:r>
    </w:p>
    <w:tbl>
      <w:tblPr>
        <w:tblStyle w:val="afffd"/>
        <w:tblW w:w="9016" w:type="dxa"/>
        <w:tblLayout w:type="fixed"/>
        <w:tblLook w:val="0400" w:firstRow="0" w:lastRow="0" w:firstColumn="0" w:lastColumn="0" w:noHBand="0" w:noVBand="1"/>
      </w:tblPr>
      <w:tblGrid>
        <w:gridCol w:w="9016"/>
      </w:tblGrid>
      <w:tr w:rsidR="00416D85" w:rsidRPr="007C60AF" w14:paraId="04F1000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7D" w14:textId="77777777"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bookmarkStart w:id="40" w:name="_heading=h.8264smwjh34h" w:colFirst="0" w:colLast="0"/>
            <w:bookmarkEnd w:id="40"/>
            <w:r w:rsidRPr="007C60AF">
              <w:rPr>
                <w:rFonts w:eastAsia="Arial"/>
                <w:color w:val="4472C4"/>
              </w:rPr>
              <w:t xml:space="preserve">The Applicants cannot use the UK Trade Info website for the purpose of calculating the volume of dumped and subsidised imports of US HVO. This is because: (i) it provides import data for commodity codes at the 8-digit level only; and (ii) as mentioned in our response to question A.3.1. above, the commodity codes under which HVO imports can be declared do not provide a clear distinction between the types of bio component in the biodiesel blend that are being imported (i.e. HVO or FAME), because </w:t>
            </w:r>
            <w:proofErr w:type="gramStart"/>
            <w:r w:rsidRPr="007C60AF">
              <w:rPr>
                <w:rFonts w:eastAsia="Arial"/>
                <w:color w:val="4472C4"/>
              </w:rPr>
              <w:t>a majority of</w:t>
            </w:r>
            <w:proofErr w:type="gramEnd"/>
            <w:r w:rsidRPr="007C60AF">
              <w:rPr>
                <w:rFonts w:eastAsia="Arial"/>
                <w:color w:val="4472C4"/>
              </w:rPr>
              <w:t xml:space="preserve"> the codes relate to blends (more than 20% or 20% or less). </w:t>
            </w:r>
          </w:p>
          <w:p w14:paraId="0000047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7F" w14:textId="77777777"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addition, because the RTFO statistics are based on the origin of the feedstock, this dataset cannot be used as a source of the volume of imports of US HVO either.</w:t>
            </w:r>
          </w:p>
          <w:p w14:paraId="00000480"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1" w14:textId="77777777"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Thus, </w:t>
            </w:r>
            <w:proofErr w:type="gramStart"/>
            <w:r w:rsidRPr="007C60AF">
              <w:rPr>
                <w:rFonts w:eastAsia="Arial"/>
                <w:color w:val="4472C4"/>
              </w:rPr>
              <w:t>in order to</w:t>
            </w:r>
            <w:proofErr w:type="gramEnd"/>
            <w:r w:rsidRPr="007C60AF">
              <w:rPr>
                <w:rFonts w:eastAsia="Arial"/>
                <w:color w:val="4472C4"/>
              </w:rPr>
              <w:t xml:space="preserve"> calculate the volume of imports during the POI, the Applicants refer to data obtained from the </w:t>
            </w:r>
            <w:sdt>
              <w:sdtPr>
                <w:tag w:val="goog_rdk_9"/>
                <w:id w:val="1692723339"/>
              </w:sdtPr>
              <w:sdtContent/>
            </w:sdt>
            <w:r w:rsidRPr="007C60AF">
              <w:rPr>
                <w:rFonts w:eastAsia="Arial"/>
                <w:b/>
                <w:color w:val="4472C4"/>
              </w:rPr>
              <w:t>[SENSITIVE – INFORMATION OBTAINED FROM A SUBSCRIPTION SERVICE]</w:t>
            </w:r>
            <w:r w:rsidRPr="007C60AF">
              <w:rPr>
                <w:rFonts w:eastAsia="Arial"/>
                <w:color w:val="4472C4"/>
              </w:rPr>
              <w:t>.</w:t>
            </w:r>
          </w:p>
          <w:p w14:paraId="00000482"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3" w14:textId="16D8A030"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 xml:space="preserve">[SENSITIVE – INFORMATION OBTAINED FROM A SUBSCRIPTION SERVICE EXPLAINING DATA </w:t>
            </w:r>
            <w:sdt>
              <w:sdtPr>
                <w:tag w:val="goog_rdk_10"/>
                <w:id w:val="-2035112549"/>
                <w:showingPlcHdr/>
              </w:sdtPr>
              <w:sdtContent>
                <w:r w:rsidR="009C70D0" w:rsidRPr="007C60AF">
                  <w:t xml:space="preserve">     </w:t>
                </w:r>
              </w:sdtContent>
            </w:sdt>
            <w:sdt>
              <w:sdtPr>
                <w:tag w:val="goog_rdk_11"/>
                <w:id w:val="-2017909956"/>
              </w:sdtPr>
              <w:sdtContent>
                <w:r w:rsidRPr="007C60AF">
                  <w:rPr>
                    <w:rFonts w:eastAsia="Arial"/>
                    <w:b/>
                    <w:color w:val="4472C4"/>
                  </w:rPr>
                  <w:t xml:space="preserve">PROVIDING </w:t>
                </w:r>
              </w:sdtContent>
            </w:sdt>
            <w:r w:rsidRPr="007C60AF">
              <w:rPr>
                <w:rFonts w:eastAsia="Arial"/>
                <w:b/>
                <w:color w:val="4472C4"/>
              </w:rPr>
              <w:t>A DIRECTIONAL TREND ON THE PORT OF ORIGIN OF HVO FROM THE US.]</w:t>
            </w:r>
            <w:r w:rsidRPr="007C60AF">
              <w:rPr>
                <w:rFonts w:eastAsia="Arial"/>
                <w:color w:val="4472C4"/>
              </w:rPr>
              <w:t xml:space="preserve">. </w:t>
            </w:r>
          </w:p>
          <w:p w14:paraId="00000484"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485" w14:textId="77777777"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b/>
                <w:color w:val="4472C4"/>
              </w:rPr>
              <w:t>[SENSITIVE – INFORMATION OBTAINED FROM A SUBSCRIPTION SERVICE EXPLAINING A DETAILED ANALYSIS OF TRADE FLOW AROUND THE ARA REGION AND THE POTENTIAL OF TRADE DIVERSION TO UK ARA REGION]</w:t>
            </w:r>
            <w:r w:rsidRPr="007C60AF">
              <w:rPr>
                <w:rFonts w:eastAsia="Arial"/>
                <w:color w:val="4472C4"/>
              </w:rPr>
              <w:t xml:space="preserve">. </w:t>
            </w:r>
          </w:p>
          <w:p w14:paraId="00000486"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7" w14:textId="77777777"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Appendix E.1 shows a quarterly breakdown of tracked US HVO flows destined for the UK during the injury period and the POI.</w:t>
            </w:r>
          </w:p>
          <w:p w14:paraId="0000048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89" w14:textId="6A933688"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In view of the above, the Applicants have provided two separate calculations of the volume of imports of US HVO to the UK during the POI. The first methodology is conservative and based only on </w:t>
            </w:r>
            <w:r w:rsidR="009C70D0" w:rsidRPr="007C60AF">
              <w:rPr>
                <w:rFonts w:eastAsia="Arial"/>
                <w:b/>
                <w:bCs/>
                <w:color w:val="4472C4"/>
              </w:rPr>
              <w:t>[C</w:t>
            </w:r>
            <w:r w:rsidR="007D17D2" w:rsidRPr="007C60AF">
              <w:rPr>
                <w:rFonts w:eastAsia="Arial"/>
                <w:b/>
                <w:bCs/>
                <w:color w:val="4472C4"/>
              </w:rPr>
              <w:t xml:space="preserve">OMMERCIALLY SENSITIVE] </w:t>
            </w:r>
            <w:r w:rsidRPr="007C60AF">
              <w:rPr>
                <w:rFonts w:eastAsia="Arial"/>
                <w:color w:val="4472C4"/>
              </w:rPr>
              <w:t>data that allowed the Applicants to track the US shipments directly to the UK. The second methodology is based on calculations of US imports delivered to both the UK and ARA.</w:t>
            </w:r>
          </w:p>
          <w:p w14:paraId="0000048A"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B" w14:textId="4DC19679"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Following the first methodology, the level of imports of US HVO to the UK during the POI is </w:t>
            </w:r>
            <w:r w:rsidR="00A968EE" w:rsidRPr="007C60AF">
              <w:rPr>
                <w:rFonts w:eastAsia="Arial"/>
                <w:b/>
                <w:bCs/>
                <w:color w:val="4472C4"/>
              </w:rPr>
              <w:t>[150,000-200,000mT]</w:t>
            </w:r>
            <w:r w:rsidRPr="007C60AF">
              <w:rPr>
                <w:rFonts w:eastAsia="Arial"/>
                <w:color w:val="4472C4"/>
              </w:rPr>
              <w:t xml:space="preserve">. </w:t>
            </w:r>
          </w:p>
          <w:p w14:paraId="0000048C"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48D" w14:textId="28EA12FB"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color w:val="4472C4"/>
              </w:rPr>
              <w:t>Following the second methodology,</w:t>
            </w:r>
            <w:r w:rsidR="00785EBF" w:rsidRPr="007C60AF">
              <w:rPr>
                <w:rFonts w:eastAsia="Arial"/>
                <w:color w:val="4472C4"/>
              </w:rPr>
              <w:t xml:space="preserve"> </w:t>
            </w:r>
            <w:r w:rsidR="009F251A" w:rsidRPr="007C60AF">
              <w:rPr>
                <w:rFonts w:eastAsia="Arial"/>
                <w:b/>
                <w:bCs/>
                <w:color w:val="4472C4"/>
              </w:rPr>
              <w:t>[COMMERCIALLY SUPPLIED]</w:t>
            </w:r>
            <w:r w:rsidR="009F251A" w:rsidRPr="007C60AF">
              <w:rPr>
                <w:rFonts w:eastAsia="Arial"/>
                <w:color w:val="4472C4"/>
              </w:rPr>
              <w:t xml:space="preserve"> </w:t>
            </w:r>
            <w:r w:rsidRPr="007C60AF">
              <w:rPr>
                <w:rFonts w:eastAsia="Arial"/>
                <w:color w:val="4472C4"/>
              </w:rPr>
              <w:t xml:space="preserve">data shows the volume of imports at </w:t>
            </w:r>
            <w:r w:rsidR="00A968EE" w:rsidRPr="007C60AF">
              <w:rPr>
                <w:rFonts w:eastAsia="Arial"/>
                <w:b/>
                <w:bCs/>
                <w:color w:val="4472C4"/>
              </w:rPr>
              <w:t>[300,000-350,000mT ]</w:t>
            </w:r>
            <w:r w:rsidR="00A968EE" w:rsidRPr="007C60AF">
              <w:rPr>
                <w:rFonts w:eastAsia="Arial"/>
                <w:color w:val="4472C4"/>
              </w:rPr>
              <w:t xml:space="preserve"> </w:t>
            </w:r>
            <w:r w:rsidRPr="007C60AF">
              <w:rPr>
                <w:rFonts w:eastAsia="Arial"/>
                <w:color w:val="4472C4"/>
              </w:rPr>
              <w:t>during the POI.</w:t>
            </w:r>
          </w:p>
          <w:p w14:paraId="0000048E"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F" w14:textId="2F938F90"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To calculate the value of imports, the average US HVO CIF price for the POI was taken into consideration, namely </w:t>
            </w:r>
            <w:r w:rsidR="00D16478" w:rsidRPr="007C60AF">
              <w:rPr>
                <w:rFonts w:eastAsia="Arial"/>
                <w:b/>
                <w:bCs/>
                <w:color w:val="4472C4"/>
              </w:rPr>
              <w:t>[1,</w:t>
            </w:r>
            <w:r w:rsidR="002B7A80" w:rsidRPr="007C60AF">
              <w:rPr>
                <w:rFonts w:eastAsia="Arial"/>
                <w:b/>
                <w:bCs/>
                <w:color w:val="4472C4"/>
              </w:rPr>
              <w:t>5</w:t>
            </w:r>
            <w:r w:rsidR="00D16478" w:rsidRPr="007C60AF">
              <w:rPr>
                <w:rFonts w:eastAsia="Arial"/>
                <w:b/>
                <w:bCs/>
                <w:color w:val="4472C4"/>
              </w:rPr>
              <w:t xml:space="preserve">00-2,000] </w:t>
            </w:r>
            <w:r w:rsidRPr="007C60AF">
              <w:rPr>
                <w:rFonts w:eastAsia="Arial"/>
                <w:color w:val="4472C4"/>
              </w:rPr>
              <w:t>USD/MT (</w:t>
            </w:r>
            <w:r w:rsidRPr="007C60AF">
              <w:rPr>
                <w:rFonts w:eastAsia="Arial"/>
                <w:i/>
                <w:color w:val="4472C4"/>
              </w:rPr>
              <w:t xml:space="preserve">see </w:t>
            </w:r>
            <w:r w:rsidRPr="007C60AF">
              <w:rPr>
                <w:rFonts w:eastAsia="Arial"/>
                <w:color w:val="4472C4"/>
              </w:rPr>
              <w:t xml:space="preserve">Appendix E.2, 'Avg. UK HVO Outright CIF for the POI': </w:t>
            </w:r>
            <w:r w:rsidR="00D16478" w:rsidRPr="007C60AF">
              <w:rPr>
                <w:rFonts w:eastAsia="Arial"/>
                <w:b/>
                <w:bCs/>
                <w:color w:val="4472C4"/>
              </w:rPr>
              <w:t>[1,</w:t>
            </w:r>
            <w:r w:rsidR="002B7A80" w:rsidRPr="007C60AF">
              <w:rPr>
                <w:rFonts w:eastAsia="Arial"/>
                <w:b/>
                <w:bCs/>
                <w:color w:val="4472C4"/>
              </w:rPr>
              <w:t>0</w:t>
            </w:r>
            <w:r w:rsidR="00D16478" w:rsidRPr="007C60AF">
              <w:rPr>
                <w:rFonts w:eastAsia="Arial"/>
                <w:b/>
                <w:bCs/>
                <w:color w:val="4472C4"/>
              </w:rPr>
              <w:t>00-</w:t>
            </w:r>
            <w:r w:rsidR="002B7A80" w:rsidRPr="007C60AF">
              <w:rPr>
                <w:rFonts w:eastAsia="Arial"/>
                <w:b/>
                <w:bCs/>
                <w:color w:val="4472C4"/>
              </w:rPr>
              <w:t>1</w:t>
            </w:r>
            <w:r w:rsidR="00D16478" w:rsidRPr="007C60AF">
              <w:rPr>
                <w:rFonts w:eastAsia="Arial"/>
                <w:b/>
                <w:bCs/>
                <w:color w:val="4472C4"/>
              </w:rPr>
              <w:t>,</w:t>
            </w:r>
            <w:r w:rsidR="002B7A80" w:rsidRPr="007C60AF">
              <w:rPr>
                <w:rFonts w:eastAsia="Arial"/>
                <w:b/>
                <w:bCs/>
                <w:color w:val="4472C4"/>
              </w:rPr>
              <w:t>5</w:t>
            </w:r>
            <w:r w:rsidR="00D16478" w:rsidRPr="007C60AF">
              <w:rPr>
                <w:rFonts w:eastAsia="Arial"/>
                <w:b/>
                <w:bCs/>
                <w:color w:val="4472C4"/>
              </w:rPr>
              <w:t xml:space="preserve">00] </w:t>
            </w:r>
            <w:r w:rsidRPr="007C60AF">
              <w:rPr>
                <w:rFonts w:eastAsia="Arial"/>
                <w:color w:val="4472C4"/>
              </w:rPr>
              <w:t>USD/cbm, divided by the HVO density of 0.78 l/MT). This figure was then multiplied by the volume of imports. We have then converted the values from USD to GBP using the average exchange rate during the POI sourced from the European Central Bank.</w:t>
            </w:r>
          </w:p>
          <w:p w14:paraId="00000490" w14:textId="77777777" w:rsidR="00416D85" w:rsidRPr="007C60AF" w:rsidRDefault="00416D85">
            <w:pPr>
              <w:pBdr>
                <w:top w:val="nil"/>
                <w:left w:val="nil"/>
                <w:bottom w:val="nil"/>
                <w:right w:val="nil"/>
                <w:between w:val="nil"/>
              </w:pBdr>
              <w:spacing w:line="276" w:lineRule="auto"/>
              <w:ind w:left="567" w:hanging="567"/>
              <w:rPr>
                <w:rFonts w:eastAsia="Arial"/>
                <w:color w:val="4472C4"/>
              </w:rPr>
            </w:pPr>
          </w:p>
          <w:tbl>
            <w:tblPr>
              <w:tblStyle w:val="afffe"/>
              <w:tblW w:w="884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3500"/>
              <w:gridCol w:w="3501"/>
            </w:tblGrid>
            <w:tr w:rsidR="00416D85" w:rsidRPr="007C60AF" w14:paraId="336A89D0" w14:textId="77777777">
              <w:tc>
                <w:tcPr>
                  <w:tcW w:w="8846" w:type="dxa"/>
                  <w:gridSpan w:val="3"/>
                  <w:shd w:val="clear" w:color="auto" w:fill="D0CECE"/>
                </w:tcPr>
                <w:p w14:paraId="0000049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center"/>
                    <w:rPr>
                      <w:rFonts w:eastAsia="Arial"/>
                      <w:b/>
                      <w:color w:val="4472C4"/>
                    </w:rPr>
                  </w:pPr>
                  <w:r w:rsidRPr="007C60AF">
                    <w:rPr>
                      <w:rFonts w:eastAsia="Arial"/>
                      <w:b/>
                      <w:color w:val="4472C4"/>
                    </w:rPr>
                    <w:t>VOLUME (MT) AND VALUE (USD and GBP) OF US HVO TO THE UK DURING THE POI</w:t>
                  </w:r>
                </w:p>
              </w:tc>
            </w:tr>
            <w:tr w:rsidR="00416D85" w:rsidRPr="007C60AF" w14:paraId="1935C815" w14:textId="77777777">
              <w:tc>
                <w:tcPr>
                  <w:tcW w:w="1845" w:type="dxa"/>
                  <w:shd w:val="clear" w:color="auto" w:fill="D0CECE"/>
                </w:tcPr>
                <w:p w14:paraId="0000049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p>
              </w:tc>
              <w:tc>
                <w:tcPr>
                  <w:tcW w:w="3500" w:type="dxa"/>
                  <w:shd w:val="clear" w:color="auto" w:fill="D0CECE"/>
                </w:tcPr>
                <w:p w14:paraId="000004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First (conservative) methodology: US shipments directly to the UK</w:t>
                  </w:r>
                </w:p>
              </w:tc>
              <w:tc>
                <w:tcPr>
                  <w:tcW w:w="3501" w:type="dxa"/>
                  <w:shd w:val="clear" w:color="auto" w:fill="D0CECE"/>
                </w:tcPr>
                <w:p w14:paraId="000004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Second (liberal) methodology: US shipments to both the UK and ARA</w:t>
                  </w:r>
                </w:p>
              </w:tc>
            </w:tr>
            <w:tr w:rsidR="00D16478" w:rsidRPr="007C60AF" w14:paraId="0E7DDCD7" w14:textId="77777777">
              <w:tc>
                <w:tcPr>
                  <w:tcW w:w="1845" w:type="dxa"/>
                  <w:shd w:val="clear" w:color="auto" w:fill="D0CECE"/>
                </w:tcPr>
                <w:p w14:paraId="00000497" w14:textId="77777777"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Volume (MT)</w:t>
                  </w:r>
                </w:p>
              </w:tc>
              <w:tc>
                <w:tcPr>
                  <w:tcW w:w="3500" w:type="dxa"/>
                </w:tcPr>
                <w:p w14:paraId="00000498" w14:textId="03B67A4D"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[150</w:t>
                  </w:r>
                  <w:r w:rsidR="004F2049" w:rsidRPr="007C60AF">
                    <w:rPr>
                      <w:b/>
                      <w:bCs/>
                      <w:color w:val="4472C4" w:themeColor="accent1"/>
                    </w:rPr>
                    <w:t>,000</w:t>
                  </w:r>
                  <w:r w:rsidRPr="007C60AF">
                    <w:rPr>
                      <w:b/>
                      <w:bCs/>
                      <w:color w:val="4472C4" w:themeColor="accent1"/>
                    </w:rPr>
                    <w:t>-200,000]</w:t>
                  </w:r>
                  <w:r w:rsidRPr="007C60AF">
                    <w:rPr>
                      <w:color w:val="4472C4" w:themeColor="accent1"/>
                    </w:rPr>
                    <w:t xml:space="preserve"> </w:t>
                  </w:r>
                </w:p>
              </w:tc>
              <w:tc>
                <w:tcPr>
                  <w:tcW w:w="3501" w:type="dxa"/>
                </w:tcPr>
                <w:p w14:paraId="00000499" w14:textId="16E039A7"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[300</w:t>
                  </w:r>
                  <w:r w:rsidR="004F2049" w:rsidRPr="007C60AF">
                    <w:rPr>
                      <w:b/>
                      <w:bCs/>
                      <w:color w:val="4472C4" w:themeColor="accent1"/>
                    </w:rPr>
                    <w:t>,000</w:t>
                  </w:r>
                  <w:r w:rsidRPr="007C60AF">
                    <w:rPr>
                      <w:b/>
                      <w:bCs/>
                      <w:color w:val="4472C4" w:themeColor="accent1"/>
                    </w:rPr>
                    <w:t>-</w:t>
                  </w:r>
                  <w:r w:rsidR="00E26008" w:rsidRPr="007C60AF">
                    <w:rPr>
                      <w:b/>
                      <w:bCs/>
                      <w:color w:val="4472C4" w:themeColor="accent1"/>
                    </w:rPr>
                    <w:t>40</w:t>
                  </w:r>
                  <w:r w:rsidRPr="007C60AF">
                    <w:rPr>
                      <w:b/>
                      <w:bCs/>
                      <w:color w:val="4472C4" w:themeColor="accent1"/>
                    </w:rPr>
                    <w:t>0,000]</w:t>
                  </w:r>
                </w:p>
              </w:tc>
            </w:tr>
            <w:tr w:rsidR="00D16478" w:rsidRPr="007C60AF" w14:paraId="7A99714C" w14:textId="77777777">
              <w:tc>
                <w:tcPr>
                  <w:tcW w:w="1845" w:type="dxa"/>
                  <w:shd w:val="clear" w:color="auto" w:fill="D0CECE"/>
                </w:tcPr>
                <w:p w14:paraId="0000049A" w14:textId="77777777"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Value (USD)</w:t>
                  </w:r>
                </w:p>
              </w:tc>
              <w:tc>
                <w:tcPr>
                  <w:tcW w:w="3500" w:type="dxa"/>
                </w:tcPr>
                <w:p w14:paraId="0000049B" w14:textId="63B9C2DA" w:rsidR="00D16478" w:rsidRPr="007C60AF" w:rsidRDefault="004F2049"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w:t>
                  </w:r>
                  <w:r w:rsidR="00035D14" w:rsidRPr="007C60AF">
                    <w:rPr>
                      <w:b/>
                      <w:bCs/>
                      <w:color w:val="4472C4" w:themeColor="accent1"/>
                    </w:rPr>
                    <w:t>3</w:t>
                  </w:r>
                  <w:r w:rsidR="002B7A80" w:rsidRPr="007C60AF">
                    <w:rPr>
                      <w:b/>
                      <w:bCs/>
                      <w:color w:val="4472C4" w:themeColor="accent1"/>
                    </w:rPr>
                    <w:t>0</w:t>
                  </w:r>
                  <w:r w:rsidR="00035D14" w:rsidRPr="007C60AF">
                    <w:rPr>
                      <w:b/>
                      <w:bCs/>
                      <w:color w:val="4472C4" w:themeColor="accent1"/>
                    </w:rPr>
                    <w:t>0,000,000</w:t>
                  </w:r>
                  <w:r w:rsidR="00D16478" w:rsidRPr="007C60AF">
                    <w:rPr>
                      <w:b/>
                      <w:bCs/>
                      <w:color w:val="4472C4" w:themeColor="accent1"/>
                    </w:rPr>
                    <w:t>-</w:t>
                  </w:r>
                  <w:r w:rsidR="00035D14" w:rsidRPr="007C60AF">
                    <w:rPr>
                      <w:b/>
                      <w:bCs/>
                      <w:color w:val="4472C4" w:themeColor="accent1"/>
                    </w:rPr>
                    <w:t>3</w:t>
                  </w:r>
                  <w:r w:rsidR="002B7A80" w:rsidRPr="007C60AF">
                    <w:rPr>
                      <w:b/>
                      <w:bCs/>
                      <w:color w:val="4472C4" w:themeColor="accent1"/>
                    </w:rPr>
                    <w:t>5</w:t>
                  </w:r>
                  <w:r w:rsidR="00035D14" w:rsidRPr="007C60AF">
                    <w:rPr>
                      <w:b/>
                      <w:bCs/>
                      <w:color w:val="4472C4" w:themeColor="accent1"/>
                    </w:rPr>
                    <w:t>0,000,000</w:t>
                  </w:r>
                  <w:r w:rsidR="00D16478" w:rsidRPr="007C60AF">
                    <w:rPr>
                      <w:b/>
                      <w:bCs/>
                      <w:color w:val="4472C4" w:themeColor="accent1"/>
                    </w:rPr>
                    <w:t>]</w:t>
                  </w:r>
                </w:p>
              </w:tc>
              <w:tc>
                <w:tcPr>
                  <w:tcW w:w="3501" w:type="dxa"/>
                </w:tcPr>
                <w:p w14:paraId="0000049C" w14:textId="40D9DAD6" w:rsidR="00D16478" w:rsidRPr="007C60AF" w:rsidRDefault="004F2049"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w:t>
                  </w:r>
                  <w:r w:rsidR="006B62FC" w:rsidRPr="007C60AF">
                    <w:rPr>
                      <w:b/>
                      <w:bCs/>
                      <w:color w:val="4472C4" w:themeColor="accent1"/>
                    </w:rPr>
                    <w:t>5</w:t>
                  </w:r>
                  <w:r w:rsidR="002B7A80" w:rsidRPr="007C60AF">
                    <w:rPr>
                      <w:b/>
                      <w:bCs/>
                      <w:color w:val="4472C4" w:themeColor="accent1"/>
                    </w:rPr>
                    <w:t>5</w:t>
                  </w:r>
                  <w:r w:rsidR="006B62FC" w:rsidRPr="007C60AF">
                    <w:rPr>
                      <w:b/>
                      <w:bCs/>
                      <w:color w:val="4472C4" w:themeColor="accent1"/>
                    </w:rPr>
                    <w:t>0,000,000-600,000,000</w:t>
                  </w:r>
                  <w:r w:rsidR="00D16478" w:rsidRPr="007C60AF">
                    <w:rPr>
                      <w:b/>
                      <w:bCs/>
                      <w:color w:val="4472C4" w:themeColor="accent1"/>
                    </w:rPr>
                    <w:t>]</w:t>
                  </w:r>
                </w:p>
              </w:tc>
            </w:tr>
            <w:tr w:rsidR="00D16478" w:rsidRPr="007C60AF" w14:paraId="0D9EE49A" w14:textId="77777777">
              <w:tc>
                <w:tcPr>
                  <w:tcW w:w="1845" w:type="dxa"/>
                  <w:shd w:val="clear" w:color="auto" w:fill="D0CECE"/>
                </w:tcPr>
                <w:p w14:paraId="0000049D" w14:textId="77777777"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Value (GBP)</w:t>
                  </w:r>
                </w:p>
              </w:tc>
              <w:tc>
                <w:tcPr>
                  <w:tcW w:w="3500" w:type="dxa"/>
                </w:tcPr>
                <w:p w14:paraId="0000049E" w14:textId="3CEFF9C4" w:rsidR="00D16478" w:rsidRPr="007C60AF" w:rsidRDefault="004F2049"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w:t>
                  </w:r>
                  <w:r w:rsidR="006B62FC" w:rsidRPr="007C60AF">
                    <w:rPr>
                      <w:b/>
                      <w:bCs/>
                      <w:color w:val="4472C4" w:themeColor="accent1"/>
                    </w:rPr>
                    <w:t>250,000,000-</w:t>
                  </w:r>
                  <w:r w:rsidR="002B7A80" w:rsidRPr="007C60AF">
                    <w:rPr>
                      <w:b/>
                      <w:bCs/>
                      <w:color w:val="4472C4" w:themeColor="accent1"/>
                    </w:rPr>
                    <w:t>30</w:t>
                  </w:r>
                  <w:r w:rsidR="006B62FC" w:rsidRPr="007C60AF">
                    <w:rPr>
                      <w:b/>
                      <w:bCs/>
                      <w:color w:val="4472C4" w:themeColor="accent1"/>
                    </w:rPr>
                    <w:t>0,000,000</w:t>
                  </w:r>
                  <w:r w:rsidR="00D16478" w:rsidRPr="007C60AF">
                    <w:rPr>
                      <w:b/>
                      <w:bCs/>
                      <w:color w:val="4472C4" w:themeColor="accent1"/>
                    </w:rPr>
                    <w:t>]</w:t>
                  </w:r>
                </w:p>
              </w:tc>
              <w:tc>
                <w:tcPr>
                  <w:tcW w:w="3501" w:type="dxa"/>
                </w:tcPr>
                <w:p w14:paraId="0000049F" w14:textId="7C8A7B00" w:rsidR="00D16478" w:rsidRPr="007C60AF" w:rsidRDefault="004F2049"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w:t>
                  </w:r>
                  <w:r w:rsidR="006B62FC" w:rsidRPr="007C60AF">
                    <w:rPr>
                      <w:b/>
                      <w:bCs/>
                      <w:color w:val="4472C4" w:themeColor="accent1"/>
                    </w:rPr>
                    <w:t>4</w:t>
                  </w:r>
                  <w:r w:rsidR="00F5618D" w:rsidRPr="007C60AF">
                    <w:rPr>
                      <w:b/>
                      <w:bCs/>
                      <w:color w:val="4472C4" w:themeColor="accent1"/>
                    </w:rPr>
                    <w:t>5</w:t>
                  </w:r>
                  <w:r w:rsidR="006B62FC" w:rsidRPr="007C60AF">
                    <w:rPr>
                      <w:b/>
                      <w:bCs/>
                      <w:color w:val="4472C4" w:themeColor="accent1"/>
                    </w:rPr>
                    <w:t>0,000,000-</w:t>
                  </w:r>
                  <w:r w:rsidR="00F5618D" w:rsidRPr="007C60AF">
                    <w:rPr>
                      <w:b/>
                      <w:bCs/>
                      <w:color w:val="4472C4" w:themeColor="accent1"/>
                    </w:rPr>
                    <w:t>50</w:t>
                  </w:r>
                  <w:r w:rsidR="006B62FC" w:rsidRPr="007C60AF">
                    <w:rPr>
                      <w:b/>
                      <w:bCs/>
                      <w:color w:val="4472C4" w:themeColor="accent1"/>
                    </w:rPr>
                    <w:t>0,000,000</w:t>
                  </w:r>
                  <w:r w:rsidR="00D16478" w:rsidRPr="007C60AF">
                    <w:rPr>
                      <w:b/>
                      <w:bCs/>
                      <w:color w:val="4472C4" w:themeColor="accent1"/>
                    </w:rPr>
                    <w:t>]</w:t>
                  </w:r>
                </w:p>
              </w:tc>
            </w:tr>
          </w:tbl>
          <w:p w14:paraId="000004A0" w14:textId="77777777" w:rsidR="00416D85" w:rsidRPr="007C60AF" w:rsidRDefault="00416D85">
            <w:pPr>
              <w:rPr>
                <w:color w:val="4472C4"/>
              </w:rPr>
            </w:pPr>
          </w:p>
          <w:p w14:paraId="000004A1" w14:textId="77777777" w:rsidR="00416D85" w:rsidRPr="007C60AF" w:rsidRDefault="00130320">
            <w:pPr>
              <w:numPr>
                <w:ilvl w:val="6"/>
                <w:numId w:val="53"/>
              </w:numPr>
              <w:pBdr>
                <w:top w:val="nil"/>
                <w:left w:val="nil"/>
                <w:bottom w:val="nil"/>
                <w:right w:val="nil"/>
                <w:between w:val="nil"/>
              </w:pBdr>
              <w:spacing w:before="120" w:line="276" w:lineRule="auto"/>
              <w:jc w:val="both"/>
              <w:rPr>
                <w:rFonts w:eastAsia="Arial"/>
                <w:color w:val="4472C4"/>
              </w:rPr>
            </w:pPr>
            <w:r w:rsidRPr="007C60AF">
              <w:rPr>
                <w:rFonts w:eastAsia="Arial"/>
                <w:color w:val="4472C4"/>
              </w:rPr>
              <w:t>As shown in the table above:</w:t>
            </w:r>
          </w:p>
          <w:p w14:paraId="000004A2" w14:textId="2199876E" w:rsidR="00416D85" w:rsidRPr="007C60AF" w:rsidRDefault="00130320">
            <w:pPr>
              <w:numPr>
                <w:ilvl w:val="0"/>
                <w:numId w:val="54"/>
              </w:numPr>
              <w:pBdr>
                <w:top w:val="nil"/>
                <w:left w:val="nil"/>
                <w:bottom w:val="nil"/>
                <w:right w:val="nil"/>
                <w:between w:val="nil"/>
              </w:pBdr>
              <w:spacing w:before="240" w:after="0"/>
              <w:jc w:val="both"/>
              <w:rPr>
                <w:rFonts w:eastAsia="Arial"/>
                <w:color w:val="4472C4"/>
              </w:rPr>
            </w:pPr>
            <w:r w:rsidRPr="007C60AF">
              <w:rPr>
                <w:rFonts w:eastAsia="Arial"/>
                <w:color w:val="4472C4"/>
              </w:rPr>
              <w:t>following the first methodology, the value of US imports to the UK during the POI is</w:t>
            </w:r>
            <w:r w:rsidR="004F2049" w:rsidRPr="007C60AF">
              <w:rPr>
                <w:rFonts w:eastAsia="Arial"/>
                <w:color w:val="4472C4"/>
              </w:rPr>
              <w:t xml:space="preserve"> </w:t>
            </w:r>
            <w:r w:rsidR="004F2049" w:rsidRPr="007C60AF">
              <w:rPr>
                <w:rFonts w:eastAsia="Arial"/>
                <w:b/>
                <w:bCs/>
                <w:color w:val="4472C4"/>
              </w:rPr>
              <w:t>[</w:t>
            </w:r>
            <w:r w:rsidR="00D74EC2" w:rsidRPr="007C60AF">
              <w:rPr>
                <w:b/>
                <w:bCs/>
                <w:color w:val="4472C4" w:themeColor="accent1"/>
              </w:rPr>
              <w:t>3</w:t>
            </w:r>
            <w:r w:rsidR="00F5618D" w:rsidRPr="007C60AF">
              <w:rPr>
                <w:b/>
                <w:bCs/>
                <w:color w:val="4472C4" w:themeColor="accent1"/>
              </w:rPr>
              <w:t>0</w:t>
            </w:r>
            <w:r w:rsidR="00D74EC2" w:rsidRPr="007C60AF">
              <w:rPr>
                <w:b/>
                <w:bCs/>
                <w:color w:val="4472C4" w:themeColor="accent1"/>
              </w:rPr>
              <w:t>0,000,000-3</w:t>
            </w:r>
            <w:r w:rsidR="00F5618D" w:rsidRPr="007C60AF">
              <w:rPr>
                <w:b/>
                <w:bCs/>
                <w:color w:val="4472C4" w:themeColor="accent1"/>
              </w:rPr>
              <w:t>5</w:t>
            </w:r>
            <w:r w:rsidR="00D74EC2" w:rsidRPr="007C60AF">
              <w:rPr>
                <w:b/>
                <w:bCs/>
                <w:color w:val="4472C4" w:themeColor="accent1"/>
              </w:rPr>
              <w:t xml:space="preserve">0,000,000] </w:t>
            </w:r>
            <w:r w:rsidRPr="007C60AF">
              <w:rPr>
                <w:rFonts w:eastAsia="Arial"/>
                <w:color w:val="4472C4"/>
              </w:rPr>
              <w:t>USD or</w:t>
            </w:r>
            <w:r w:rsidR="004F2049" w:rsidRPr="007C60AF">
              <w:rPr>
                <w:rFonts w:eastAsia="Arial"/>
                <w:color w:val="4472C4"/>
              </w:rPr>
              <w:t xml:space="preserve"> </w:t>
            </w:r>
            <w:r w:rsidR="00680105" w:rsidRPr="007C60AF">
              <w:rPr>
                <w:rFonts w:eastAsia="Arial"/>
                <w:b/>
                <w:bCs/>
                <w:color w:val="4472C4"/>
              </w:rPr>
              <w:t>[</w:t>
            </w:r>
            <w:r w:rsidR="00D74EC2" w:rsidRPr="007C60AF">
              <w:rPr>
                <w:b/>
                <w:bCs/>
                <w:color w:val="4472C4" w:themeColor="accent1"/>
              </w:rPr>
              <w:t>250,000,000-</w:t>
            </w:r>
            <w:r w:rsidR="00F5618D" w:rsidRPr="007C60AF">
              <w:rPr>
                <w:b/>
                <w:bCs/>
                <w:color w:val="4472C4" w:themeColor="accent1"/>
              </w:rPr>
              <w:t>30</w:t>
            </w:r>
            <w:r w:rsidR="00D74EC2" w:rsidRPr="007C60AF">
              <w:rPr>
                <w:b/>
                <w:bCs/>
                <w:color w:val="4472C4" w:themeColor="accent1"/>
              </w:rPr>
              <w:t>0,000,000</w:t>
            </w:r>
            <w:r w:rsidR="004F2049" w:rsidRPr="007C60AF">
              <w:rPr>
                <w:rFonts w:eastAsia="Arial"/>
                <w:b/>
                <w:bCs/>
                <w:color w:val="4472C4"/>
              </w:rPr>
              <w:t>]</w:t>
            </w:r>
            <w:r w:rsidRPr="007C60AF">
              <w:rPr>
                <w:rFonts w:eastAsia="Arial"/>
                <w:color w:val="4472C4"/>
              </w:rPr>
              <w:t>; and</w:t>
            </w:r>
          </w:p>
          <w:p w14:paraId="000004A3" w14:textId="7794BCC5" w:rsidR="00416D85" w:rsidRPr="007C60AF" w:rsidRDefault="00130320">
            <w:pPr>
              <w:numPr>
                <w:ilvl w:val="0"/>
                <w:numId w:val="54"/>
              </w:numPr>
              <w:pBdr>
                <w:top w:val="nil"/>
                <w:left w:val="nil"/>
                <w:bottom w:val="nil"/>
                <w:right w:val="nil"/>
                <w:between w:val="nil"/>
              </w:pBdr>
              <w:spacing w:before="240" w:after="0"/>
              <w:jc w:val="both"/>
              <w:rPr>
                <w:rFonts w:eastAsia="Arial"/>
                <w:color w:val="4472C4"/>
              </w:rPr>
            </w:pPr>
            <w:r w:rsidRPr="007C60AF">
              <w:rPr>
                <w:rFonts w:eastAsia="Arial"/>
                <w:color w:val="4472C4"/>
              </w:rPr>
              <w:t>following the second methodology, the value of US imports to the UK during the POI is</w:t>
            </w:r>
            <w:r w:rsidR="004F2049" w:rsidRPr="007C60AF">
              <w:rPr>
                <w:rFonts w:eastAsia="Arial"/>
                <w:color w:val="4472C4"/>
              </w:rPr>
              <w:t xml:space="preserve"> </w:t>
            </w:r>
            <w:r w:rsidR="00680105" w:rsidRPr="007C60AF">
              <w:rPr>
                <w:rFonts w:eastAsia="Arial"/>
                <w:b/>
                <w:bCs/>
                <w:color w:val="4472C4"/>
              </w:rPr>
              <w:t>[</w:t>
            </w:r>
            <w:r w:rsidR="00D74EC2" w:rsidRPr="007C60AF">
              <w:rPr>
                <w:b/>
                <w:bCs/>
                <w:color w:val="4472C4" w:themeColor="accent1"/>
              </w:rPr>
              <w:t>5</w:t>
            </w:r>
            <w:r w:rsidR="00F5618D" w:rsidRPr="007C60AF">
              <w:rPr>
                <w:b/>
                <w:bCs/>
                <w:color w:val="4472C4" w:themeColor="accent1"/>
              </w:rPr>
              <w:t>50</w:t>
            </w:r>
            <w:r w:rsidR="00D74EC2" w:rsidRPr="007C60AF">
              <w:rPr>
                <w:b/>
                <w:bCs/>
                <w:color w:val="4472C4" w:themeColor="accent1"/>
              </w:rPr>
              <w:t>,000,000-600,000,000</w:t>
            </w:r>
            <w:r w:rsidR="004F2049" w:rsidRPr="007C60AF">
              <w:rPr>
                <w:rFonts w:eastAsia="Arial"/>
                <w:b/>
                <w:bCs/>
                <w:color w:val="4472C4"/>
              </w:rPr>
              <w:t xml:space="preserve">] </w:t>
            </w:r>
            <w:r w:rsidRPr="007C60AF">
              <w:rPr>
                <w:rFonts w:eastAsia="Arial"/>
                <w:color w:val="4472C4"/>
              </w:rPr>
              <w:t>USD o</w:t>
            </w:r>
            <w:r w:rsidR="004F2049" w:rsidRPr="007C60AF">
              <w:rPr>
                <w:rFonts w:eastAsia="Arial"/>
                <w:color w:val="4472C4"/>
              </w:rPr>
              <w:t xml:space="preserve">r </w:t>
            </w:r>
            <w:r w:rsidR="00982983" w:rsidRPr="007C60AF">
              <w:rPr>
                <w:rFonts w:eastAsia="Arial"/>
                <w:b/>
                <w:bCs/>
                <w:color w:val="4472C4"/>
              </w:rPr>
              <w:t>[</w:t>
            </w:r>
            <w:r w:rsidR="00D74EC2" w:rsidRPr="007C60AF">
              <w:rPr>
                <w:b/>
                <w:bCs/>
                <w:color w:val="4472C4" w:themeColor="accent1"/>
              </w:rPr>
              <w:t>4</w:t>
            </w:r>
            <w:r w:rsidR="00F5618D" w:rsidRPr="007C60AF">
              <w:rPr>
                <w:b/>
                <w:bCs/>
                <w:color w:val="4472C4" w:themeColor="accent1"/>
              </w:rPr>
              <w:t>5</w:t>
            </w:r>
            <w:r w:rsidR="00D74EC2" w:rsidRPr="007C60AF">
              <w:rPr>
                <w:b/>
                <w:bCs/>
                <w:color w:val="4472C4" w:themeColor="accent1"/>
              </w:rPr>
              <w:t>0,000,000-</w:t>
            </w:r>
            <w:r w:rsidR="00F5618D" w:rsidRPr="007C60AF">
              <w:rPr>
                <w:b/>
                <w:bCs/>
                <w:color w:val="4472C4" w:themeColor="accent1"/>
              </w:rPr>
              <w:t>50</w:t>
            </w:r>
            <w:r w:rsidR="00D74EC2" w:rsidRPr="007C60AF">
              <w:rPr>
                <w:b/>
                <w:bCs/>
                <w:color w:val="4472C4" w:themeColor="accent1"/>
              </w:rPr>
              <w:t>0,000,000</w:t>
            </w:r>
            <w:r w:rsidR="004F2049" w:rsidRPr="007C60AF">
              <w:rPr>
                <w:rFonts w:eastAsia="Arial"/>
                <w:b/>
                <w:bCs/>
                <w:color w:val="4472C4"/>
              </w:rPr>
              <w:t>]</w:t>
            </w:r>
            <w:r w:rsidRPr="007C60AF">
              <w:rPr>
                <w:rFonts w:eastAsia="Arial"/>
                <w:color w:val="4472C4"/>
              </w:rPr>
              <w:t>.</w:t>
            </w:r>
          </w:p>
          <w:p w14:paraId="000004A4" w14:textId="77777777" w:rsidR="00416D85" w:rsidRPr="007C60AF" w:rsidRDefault="00130320">
            <w:pPr>
              <w:numPr>
                <w:ilvl w:val="6"/>
                <w:numId w:val="53"/>
              </w:numPr>
              <w:pBdr>
                <w:top w:val="nil"/>
                <w:left w:val="nil"/>
                <w:bottom w:val="nil"/>
                <w:right w:val="nil"/>
                <w:between w:val="nil"/>
              </w:pBdr>
              <w:spacing w:before="120" w:line="276" w:lineRule="auto"/>
              <w:jc w:val="both"/>
              <w:rPr>
                <w:rFonts w:eastAsia="Arial"/>
                <w:color w:val="4472C4"/>
              </w:rPr>
            </w:pPr>
            <w:r w:rsidRPr="007C60AF">
              <w:rPr>
                <w:rFonts w:eastAsia="Arial"/>
                <w:color w:val="4472C4"/>
              </w:rPr>
              <w:t xml:space="preserve">Please refer to Annex 2 in Appendix D.1 and Appendix F.2. </w:t>
            </w:r>
          </w:p>
        </w:tc>
      </w:tr>
    </w:tbl>
    <w:p w14:paraId="000004A5" w14:textId="77777777" w:rsidR="00416D85" w:rsidRPr="007C60AF" w:rsidRDefault="00416D85">
      <w:bookmarkStart w:id="41" w:name="_heading=h.bzs34fkjiim2" w:colFirst="0" w:colLast="0"/>
      <w:bookmarkEnd w:id="41"/>
    </w:p>
    <w:p w14:paraId="000004A6" w14:textId="77777777" w:rsidR="00416D85" w:rsidRPr="007C60AF" w:rsidRDefault="00416D85">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00004A7"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E.2. </w:t>
      </w:r>
      <w:r w:rsidRPr="007C60AF">
        <w:rPr>
          <w:rFonts w:eastAsia="Arial"/>
          <w:b/>
          <w:color w:val="000000"/>
          <w:sz w:val="28"/>
          <w:szCs w:val="28"/>
        </w:rPr>
        <w:t xml:space="preserve">Normal value </w:t>
      </w:r>
    </w:p>
    <w:p w14:paraId="000004A8"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Normal value refers to the domestic price that the imported goods are normally sold for on the domestic market in their country of export.  This value should then be adjusted for costs arising after the ex-works (EXW) level (and any other factors that need to be considered) to make a fair comparison with the export price.</w:t>
      </w:r>
    </w:p>
    <w:p w14:paraId="000004A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If your complaint concerns more than one exporting country, calculate the normal value for each country</w:t>
      </w:r>
    </w:p>
    <w:p w14:paraId="000004A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There are several different methods for calculating normal value, with the appropriate method being determined by the circumstances of trade between the exporting country and the UK, and the nature of exporting country’s economy. </w:t>
      </w:r>
    </w:p>
    <w:p w14:paraId="000004AB"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Therefore, when you tell us the normal value of the goods, you will also need to explain which method you are using to calculate it and why. </w:t>
      </w:r>
    </w:p>
    <w:p w14:paraId="000004A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 methods are: </w:t>
      </w:r>
    </w:p>
    <w:p w14:paraId="000004A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‘Comparable Price’, this is the price of the goods in the ordinary course of trade in the home market of the exporting </w:t>
      </w:r>
      <w:proofErr w:type="gramStart"/>
      <w:r w:rsidRPr="007C60AF">
        <w:rPr>
          <w:rFonts w:eastAsia="Arial"/>
          <w:color w:val="000000"/>
        </w:rPr>
        <w:t>country;</w:t>
      </w:r>
      <w:proofErr w:type="gramEnd"/>
    </w:p>
    <w:p w14:paraId="000004A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Constructed Normal Values in the country of export based on the cost of production, plus reasonable amounts that would have been incurred on a domestic sale in the country of export for administrative, selling and general expenses and for </w:t>
      </w:r>
      <w:proofErr w:type="gramStart"/>
      <w:r w:rsidRPr="007C60AF">
        <w:rPr>
          <w:rFonts w:eastAsia="Arial"/>
          <w:color w:val="000000"/>
        </w:rPr>
        <w:t>profit;</w:t>
      </w:r>
      <w:proofErr w:type="gramEnd"/>
    </w:p>
    <w:p w14:paraId="000004A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‘Sales made to a third country by the exporter’, provided this amount is representative of the domestic selling price in sales in the country of export (provide evidence to support this); or</w:t>
      </w:r>
    </w:p>
    <w:p w14:paraId="000004B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If none of the above is possible, establish the normal domestic value from the best information available to you and provide this information to us, along with an explanation of the approach you have adopted. Alternatively, if prices in the exporter’s domestic market are unavailable and it is not possible to construct a normal value, please </w:t>
      </w:r>
      <w:hyperlink r:id="rId28">
        <w:r w:rsidRPr="007C60AF">
          <w:rPr>
            <w:rFonts w:eastAsia="Arial"/>
            <w:color w:val="000000"/>
          </w:rPr>
          <w:t>contact the TR</w:t>
        </w:r>
      </w:hyperlink>
      <w:r w:rsidRPr="007C60AF">
        <w:rPr>
          <w:rFonts w:eastAsia="Arial"/>
          <w:color w:val="000000"/>
        </w:rPr>
        <w:t>A to discuss further options.</w:t>
      </w:r>
    </w:p>
    <w:p w14:paraId="000004B1"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Where possible, you should calculate normal value using the ‘Comparable Price’ Method. However, there are situations where this would be inappropriate, and so one of the alternative methods should be used. This includes situations where:</w:t>
      </w:r>
    </w:p>
    <w:p w14:paraId="000004B2" w14:textId="77777777" w:rsidR="00416D85" w:rsidRPr="007C60AF" w:rsidRDefault="00130320">
      <w:pPr>
        <w:numPr>
          <w:ilvl w:val="0"/>
          <w:numId w:val="24"/>
        </w:numPr>
        <w:pBdr>
          <w:top w:val="nil"/>
          <w:left w:val="nil"/>
          <w:bottom w:val="nil"/>
          <w:right w:val="nil"/>
          <w:between w:val="nil"/>
        </w:pBdr>
        <w:spacing w:before="120" w:after="0" w:line="276" w:lineRule="auto"/>
        <w:jc w:val="both"/>
      </w:pPr>
      <w:r w:rsidRPr="007C60AF">
        <w:rPr>
          <w:rFonts w:eastAsia="Arial"/>
          <w:color w:val="000000"/>
        </w:rPr>
        <w:t xml:space="preserve">the goods are not sold in the ordinary course of trade in the domestic market of the exporting </w:t>
      </w:r>
      <w:proofErr w:type="gramStart"/>
      <w:r w:rsidRPr="007C60AF">
        <w:rPr>
          <w:rFonts w:eastAsia="Arial"/>
          <w:color w:val="000000"/>
        </w:rPr>
        <w:t>country;</w:t>
      </w:r>
      <w:proofErr w:type="gramEnd"/>
    </w:p>
    <w:p w14:paraId="000004B3" w14:textId="77777777" w:rsidR="00416D85" w:rsidRPr="007C60AF" w:rsidRDefault="00130320">
      <w:pPr>
        <w:numPr>
          <w:ilvl w:val="0"/>
          <w:numId w:val="24"/>
        </w:numPr>
        <w:pBdr>
          <w:top w:val="nil"/>
          <w:left w:val="nil"/>
          <w:bottom w:val="nil"/>
          <w:right w:val="nil"/>
          <w:between w:val="nil"/>
        </w:pBdr>
        <w:spacing w:before="120" w:after="0" w:line="276" w:lineRule="auto"/>
        <w:jc w:val="both"/>
      </w:pPr>
      <w:r w:rsidRPr="007C60AF">
        <w:rPr>
          <w:rFonts w:eastAsia="Arial"/>
          <w:color w:val="000000"/>
        </w:rPr>
        <w:t>these sales on the domestic market of the exporting country sales don’t allow a proper comparison with their sales on foreign markets because of:</w:t>
      </w:r>
    </w:p>
    <w:p w14:paraId="000004B4" w14:textId="77777777" w:rsidR="00416D85" w:rsidRPr="007C60AF" w:rsidRDefault="00130320">
      <w:pPr>
        <w:numPr>
          <w:ilvl w:val="1"/>
          <w:numId w:val="24"/>
        </w:numPr>
        <w:pBdr>
          <w:top w:val="nil"/>
          <w:left w:val="nil"/>
          <w:bottom w:val="nil"/>
          <w:right w:val="nil"/>
          <w:between w:val="nil"/>
        </w:pBdr>
        <w:spacing w:before="120" w:after="0" w:line="276" w:lineRule="auto"/>
        <w:jc w:val="both"/>
      </w:pPr>
      <w:r w:rsidRPr="007C60AF">
        <w:rPr>
          <w:rFonts w:eastAsia="Arial"/>
          <w:color w:val="000000"/>
        </w:rPr>
        <w:t xml:space="preserve">a particular market </w:t>
      </w:r>
      <w:proofErr w:type="gramStart"/>
      <w:r w:rsidRPr="007C60AF">
        <w:rPr>
          <w:rFonts w:eastAsia="Arial"/>
          <w:color w:val="000000"/>
        </w:rPr>
        <w:t>situation;</w:t>
      </w:r>
      <w:proofErr w:type="gramEnd"/>
    </w:p>
    <w:p w14:paraId="000004B5" w14:textId="77777777" w:rsidR="00416D85" w:rsidRPr="007C60AF" w:rsidRDefault="00130320">
      <w:pPr>
        <w:numPr>
          <w:ilvl w:val="1"/>
          <w:numId w:val="24"/>
        </w:numPr>
        <w:pBdr>
          <w:top w:val="nil"/>
          <w:left w:val="nil"/>
          <w:bottom w:val="nil"/>
          <w:right w:val="nil"/>
          <w:between w:val="nil"/>
        </w:pBdr>
        <w:spacing w:before="120" w:after="0" w:line="276" w:lineRule="auto"/>
        <w:jc w:val="both"/>
      </w:pPr>
      <w:r w:rsidRPr="007C60AF">
        <w:rPr>
          <w:rFonts w:eastAsia="Arial"/>
          <w:color w:val="000000"/>
        </w:rPr>
        <w:t xml:space="preserve">low volume of sales in the domestic market of the exporting </w:t>
      </w:r>
      <w:proofErr w:type="gramStart"/>
      <w:r w:rsidRPr="007C60AF">
        <w:rPr>
          <w:rFonts w:eastAsia="Arial"/>
          <w:color w:val="000000"/>
        </w:rPr>
        <w:t>country;</w:t>
      </w:r>
      <w:proofErr w:type="gramEnd"/>
    </w:p>
    <w:p w14:paraId="000004B6" w14:textId="77777777" w:rsidR="00416D85" w:rsidRPr="007C60AF" w:rsidRDefault="00130320">
      <w:pPr>
        <w:numPr>
          <w:ilvl w:val="0"/>
          <w:numId w:val="24"/>
        </w:numPr>
        <w:pBdr>
          <w:top w:val="nil"/>
          <w:left w:val="nil"/>
          <w:bottom w:val="nil"/>
          <w:right w:val="nil"/>
          <w:between w:val="nil"/>
        </w:pBdr>
        <w:spacing w:before="120" w:after="0" w:line="276" w:lineRule="auto"/>
        <w:jc w:val="both"/>
      </w:pPr>
      <w:r w:rsidRPr="007C60AF">
        <w:rPr>
          <w:rFonts w:eastAsia="Arial"/>
          <w:color w:val="000000"/>
        </w:rPr>
        <w:t xml:space="preserve">the overseas exporter does not sell these goods in their domestic </w:t>
      </w:r>
      <w:proofErr w:type="gramStart"/>
      <w:r w:rsidRPr="007C60AF">
        <w:rPr>
          <w:rFonts w:eastAsia="Arial"/>
          <w:color w:val="000000"/>
        </w:rPr>
        <w:t>market;</w:t>
      </w:r>
      <w:proofErr w:type="gramEnd"/>
    </w:p>
    <w:p w14:paraId="000004B7" w14:textId="77777777" w:rsidR="00416D85" w:rsidRPr="007C60AF" w:rsidRDefault="00130320">
      <w:pPr>
        <w:numPr>
          <w:ilvl w:val="0"/>
          <w:numId w:val="24"/>
        </w:numPr>
        <w:pBdr>
          <w:top w:val="nil"/>
          <w:left w:val="nil"/>
          <w:bottom w:val="nil"/>
          <w:right w:val="nil"/>
          <w:between w:val="nil"/>
        </w:pBdr>
        <w:spacing w:before="120" w:after="0" w:line="276" w:lineRule="auto"/>
        <w:jc w:val="both"/>
      </w:pPr>
      <w:r w:rsidRPr="007C60AF">
        <w:rPr>
          <w:rFonts w:eastAsia="Arial"/>
          <w:color w:val="000000"/>
        </w:rPr>
        <w:t>the imports are from a particular foreign country – this is a specific term defined under</w:t>
      </w:r>
      <w:hyperlink r:id="rId29">
        <w:r w:rsidRPr="007C60AF">
          <w:rPr>
            <w:rFonts w:eastAsia="Arial"/>
            <w:color w:val="0563C1"/>
            <w:u w:val="single"/>
          </w:rPr>
          <w:t xml:space="preserve"> Regulation 14 of the Dumping &amp; Subsidy Regulations</w:t>
        </w:r>
      </w:hyperlink>
      <w:r w:rsidRPr="007C60AF">
        <w:rPr>
          <w:rFonts w:eastAsia="Arial"/>
          <w:color w:val="000000"/>
        </w:rPr>
        <w:t xml:space="preserve"> which means that it’s difficult to use prices of goods in that country as a fair comparison.</w:t>
      </w:r>
    </w:p>
    <w:p w14:paraId="000004B8"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More information on each of these conditions and when they apply can be found in</w:t>
      </w:r>
      <w:hyperlink r:id="rId30" w:anchor="determining-when-not-to-use-comparable-price">
        <w:r w:rsidRPr="007C60AF">
          <w:rPr>
            <w:rFonts w:eastAsia="Arial"/>
            <w:color w:val="0563C1"/>
            <w:u w:val="single"/>
          </w:rPr>
          <w:t xml:space="preserve"> our guidance on dumping investigations</w:t>
        </w:r>
      </w:hyperlink>
      <w:r w:rsidRPr="007C60AF">
        <w:rPr>
          <w:rFonts w:eastAsia="Arial"/>
          <w:color w:val="000000"/>
        </w:rPr>
        <w:t xml:space="preserve">. </w:t>
      </w:r>
    </w:p>
    <w:p w14:paraId="000004B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p>
    <w:p w14:paraId="000004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E.3. </w:t>
      </w:r>
      <w:r w:rsidRPr="007C60AF">
        <w:rPr>
          <w:rFonts w:eastAsia="Arial"/>
          <w:b/>
          <w:color w:val="000000"/>
          <w:sz w:val="28"/>
          <w:szCs w:val="28"/>
        </w:rPr>
        <w:t>Method</w:t>
      </w:r>
    </w:p>
    <w:p w14:paraId="000004BB" w14:textId="77777777" w:rsidR="00416D85" w:rsidRPr="007C60AF" w:rsidRDefault="00130320">
      <w:pPr>
        <w:jc w:val="both"/>
      </w:pPr>
      <w:r w:rsidRPr="007C60AF">
        <w:t xml:space="preserve">Please indicate below the method you have used for calculating normal value of the imported goods. If you have used an alternative basis to comparable price (e.g. constructed normal value), please explain why you believe it isn’t appropriate to use comparable price and provide your evidence to support this. </w:t>
      </w:r>
    </w:p>
    <w:tbl>
      <w:tblPr>
        <w:tblStyle w:val="affff"/>
        <w:tblW w:w="9016" w:type="dxa"/>
        <w:tblLayout w:type="fixed"/>
        <w:tblLook w:val="0400" w:firstRow="0" w:lastRow="0" w:firstColumn="0" w:lastColumn="0" w:noHBand="0" w:noVBand="1"/>
      </w:tblPr>
      <w:tblGrid>
        <w:gridCol w:w="9016"/>
      </w:tblGrid>
      <w:tr w:rsidR="00416D85" w:rsidRPr="007C60AF" w14:paraId="2C9BE05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BC" w14:textId="77777777" w:rsidR="00416D85" w:rsidRPr="007C60AF" w:rsidRDefault="00130320">
            <w:pPr>
              <w:spacing w:after="0"/>
              <w:jc w:val="both"/>
              <w:rPr>
                <w:color w:val="4472C4"/>
              </w:rPr>
            </w:pPr>
            <w:r w:rsidRPr="007C60AF">
              <w:rPr>
                <w:color w:val="4472C4"/>
              </w:rPr>
              <w:t>The Applicants have applied the "Comparable Price" method based on domestic US prices from bids and offers for spot prices of US HVO offered in the UK market, received through market intelligence by the Applicants (</w:t>
            </w:r>
            <w:r w:rsidRPr="007C60AF">
              <w:rPr>
                <w:i/>
                <w:color w:val="4472C4"/>
              </w:rPr>
              <w:t xml:space="preserve">see </w:t>
            </w:r>
            <w:r w:rsidRPr="007C60AF">
              <w:rPr>
                <w:color w:val="4472C4"/>
              </w:rPr>
              <w:t>Appendices E.3.1, E.3.2 and E.4). For further details see the response to question E.8 below.</w:t>
            </w:r>
          </w:p>
        </w:tc>
      </w:tr>
    </w:tbl>
    <w:p w14:paraId="000004B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Please give the normal value calculations using the appropriate section below, making sure to use the section relevant to the method you have described in this section. Delete tables for any methodologies you are not using.</w:t>
      </w:r>
    </w:p>
    <w:p w14:paraId="000004B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evidence you provide of normal value should, as far as possible:</w:t>
      </w:r>
    </w:p>
    <w:p w14:paraId="000004BF"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be representative of different product types or models within the goods you are applying to us to investigate, if there are substantial differences in the normal value between these product types and models; and relate to normal value spread over the POI </w:t>
      </w:r>
    </w:p>
    <w:p w14:paraId="000004C0" w14:textId="77777777" w:rsidR="00416D85" w:rsidRPr="007C60AF" w:rsidRDefault="00416D85">
      <w:pPr>
        <w:jc w:val="both"/>
      </w:pPr>
    </w:p>
    <w:p w14:paraId="000004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E.4. </w:t>
      </w:r>
      <w:r w:rsidRPr="007C60AF">
        <w:rPr>
          <w:rFonts w:eastAsia="Arial"/>
          <w:b/>
          <w:color w:val="000000"/>
          <w:sz w:val="28"/>
          <w:szCs w:val="28"/>
        </w:rPr>
        <w:t xml:space="preserve">Comparable Price </w:t>
      </w:r>
    </w:p>
    <w:p w14:paraId="000004C2"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Prices should be net ex-works (EXW) and exclude all internal taxes, such as VAT. If EXW prices are not available e.g. if Cost Insurance and Freight (CIF) or Free </w:t>
      </w:r>
      <w:proofErr w:type="gramStart"/>
      <w:r w:rsidRPr="007C60AF">
        <w:rPr>
          <w:rFonts w:eastAsia="Arial"/>
          <w:color w:val="000000"/>
        </w:rPr>
        <w:t>On</w:t>
      </w:r>
      <w:proofErr w:type="gramEnd"/>
      <w:r w:rsidRPr="007C60AF">
        <w:rPr>
          <w:rFonts w:eastAsia="Arial"/>
          <w:color w:val="000000"/>
        </w:rPr>
        <w:t xml:space="preserve"> Board (FOB) prices are the only ones available, these prices should be adjusted to bring them to a net ex-works level. If using this method, </w:t>
      </w:r>
      <w:r w:rsidRPr="007C60AF">
        <w:rPr>
          <w:rFonts w:eastAsia="Arial"/>
          <w:b/>
          <w:color w:val="000000"/>
        </w:rPr>
        <w:t>please complete Annex 3</w:t>
      </w:r>
      <w:r w:rsidRPr="007C60AF">
        <w:rPr>
          <w:rFonts w:eastAsia="Arial"/>
          <w:color w:val="000000"/>
        </w:rPr>
        <w:t>.</w:t>
      </w:r>
    </w:p>
    <w:p w14:paraId="000004C3" w14:textId="77777777" w:rsidR="00416D85" w:rsidRPr="007C60AF" w:rsidRDefault="00416D85">
      <w:pPr>
        <w:jc w:val="both"/>
      </w:pPr>
    </w:p>
    <w:p w14:paraId="000004C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E.5. </w:t>
      </w:r>
      <w:r w:rsidRPr="007C60AF">
        <w:rPr>
          <w:rFonts w:eastAsia="Arial"/>
          <w:b/>
          <w:color w:val="000000"/>
          <w:sz w:val="28"/>
          <w:szCs w:val="28"/>
        </w:rPr>
        <w:t>Constructed Normal Value</w:t>
      </w:r>
    </w:p>
    <w:p w14:paraId="000004C5"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b/>
          <w:color w:val="000000"/>
        </w:rPr>
        <w:t>Please complete Annex 4</w:t>
      </w:r>
      <w:r w:rsidRPr="007C60AF">
        <w:rPr>
          <w:rFonts w:eastAsia="Arial"/>
          <w:color w:val="000000"/>
        </w:rPr>
        <w:t xml:space="preserve">, explaining how each cost was calculated including:  </w:t>
      </w:r>
    </w:p>
    <w:p w14:paraId="000004C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bookmarkStart w:id="42" w:name="_heading=h.91n66t1mckjl" w:colFirst="0" w:colLast="0"/>
      <w:bookmarkEnd w:id="42"/>
      <w:proofErr w:type="gramStart"/>
      <w:r w:rsidRPr="007C60AF">
        <w:rPr>
          <w:rFonts w:eastAsia="Arial"/>
          <w:color w:val="000000"/>
        </w:rPr>
        <w:t>materials;</w:t>
      </w:r>
      <w:proofErr w:type="gramEnd"/>
    </w:p>
    <w:p w14:paraId="000004C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direct </w:t>
      </w:r>
      <w:proofErr w:type="gramStart"/>
      <w:r w:rsidRPr="007C60AF">
        <w:rPr>
          <w:rFonts w:eastAsia="Arial"/>
          <w:color w:val="000000"/>
        </w:rPr>
        <w:t>labour;</w:t>
      </w:r>
      <w:proofErr w:type="gramEnd"/>
    </w:p>
    <w:p w14:paraId="000004C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proofErr w:type="gramStart"/>
      <w:r w:rsidRPr="007C60AF">
        <w:rPr>
          <w:rFonts w:eastAsia="Arial"/>
          <w:color w:val="000000"/>
        </w:rPr>
        <w:t>overheads;</w:t>
      </w:r>
      <w:proofErr w:type="gramEnd"/>
    </w:p>
    <w:p w14:paraId="000004C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administration, sales and general expenses (ASG), excluding transport costs; and</w:t>
      </w:r>
    </w:p>
    <w:p w14:paraId="000004C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reasonable profit margin in the country of origin.</w:t>
      </w:r>
    </w:p>
    <w:tbl>
      <w:tblPr>
        <w:tblStyle w:val="affff0"/>
        <w:tblW w:w="9016" w:type="dxa"/>
        <w:tblLayout w:type="fixed"/>
        <w:tblLook w:val="0400" w:firstRow="0" w:lastRow="0" w:firstColumn="0" w:lastColumn="0" w:noHBand="0" w:noVBand="1"/>
      </w:tblPr>
      <w:tblGrid>
        <w:gridCol w:w="9016"/>
      </w:tblGrid>
      <w:tr w:rsidR="00416D85" w:rsidRPr="007C60AF" w14:paraId="72FA5FD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CB" w14:textId="77777777" w:rsidR="00416D85" w:rsidRPr="007C60AF" w:rsidRDefault="00130320">
            <w:pPr>
              <w:spacing w:after="0"/>
              <w:jc w:val="both"/>
            </w:pPr>
            <w:r w:rsidRPr="007C60AF">
              <w:rPr>
                <w:color w:val="4472C4"/>
              </w:rPr>
              <w:t>Not applicable.</w:t>
            </w:r>
          </w:p>
        </w:tc>
      </w:tr>
    </w:tbl>
    <w:p w14:paraId="000004CC" w14:textId="77777777" w:rsidR="00416D85" w:rsidRPr="007C60AF" w:rsidRDefault="00416D85">
      <w:pPr>
        <w:pBdr>
          <w:top w:val="nil"/>
          <w:left w:val="nil"/>
          <w:bottom w:val="nil"/>
          <w:right w:val="nil"/>
          <w:between w:val="nil"/>
        </w:pBdr>
        <w:spacing w:before="120" w:after="0" w:line="276" w:lineRule="auto"/>
        <w:ind w:left="567" w:hanging="567"/>
        <w:jc w:val="both"/>
        <w:rPr>
          <w:rFonts w:eastAsia="Arial"/>
          <w:color w:val="000000"/>
        </w:rPr>
      </w:pPr>
    </w:p>
    <w:p w14:paraId="000004CD"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 xml:space="preserve">Where there is a particular market situation, </w:t>
      </w:r>
      <w:proofErr w:type="gramStart"/>
      <w:r w:rsidRPr="007C60AF">
        <w:rPr>
          <w:rFonts w:eastAsia="Arial"/>
          <w:color w:val="000000"/>
        </w:rPr>
        <w:t>make adjustments to</w:t>
      </w:r>
      <w:proofErr w:type="gramEnd"/>
      <w:r w:rsidRPr="007C60AF">
        <w:rPr>
          <w:rFonts w:eastAsia="Arial"/>
          <w:color w:val="000000"/>
        </w:rPr>
        <w:t xml:space="preserve"> elements of cost or</w:t>
      </w:r>
    </w:p>
    <w:p w14:paraId="000004CE" w14:textId="77777777" w:rsidR="00416D85" w:rsidRPr="007C60AF" w:rsidRDefault="00130320">
      <w:pPr>
        <w:pBdr>
          <w:top w:val="nil"/>
          <w:left w:val="nil"/>
          <w:bottom w:val="nil"/>
          <w:right w:val="nil"/>
          <w:between w:val="nil"/>
        </w:pBdr>
        <w:spacing w:line="276" w:lineRule="auto"/>
        <w:jc w:val="both"/>
        <w:rPr>
          <w:rFonts w:eastAsia="Arial"/>
          <w:color w:val="000000"/>
        </w:rPr>
      </w:pPr>
      <w:r w:rsidRPr="007C60AF">
        <w:rPr>
          <w:rFonts w:eastAsia="Arial"/>
          <w:color w:val="000000"/>
        </w:rPr>
        <w:t xml:space="preserve">profit that are not substantially determined by market forces. For further information, see our guidance on </w:t>
      </w:r>
      <w:hyperlink r:id="rId31" w:anchor="alternative-methods-to-determine-normal-value">
        <w:r w:rsidRPr="007C60AF">
          <w:rPr>
            <w:rFonts w:eastAsia="Arial"/>
            <w:color w:val="0563C1"/>
            <w:u w:val="single"/>
          </w:rPr>
          <w:t>adjusting costs when constructing normal value</w:t>
        </w:r>
      </w:hyperlink>
      <w:r w:rsidRPr="007C60AF">
        <w:rPr>
          <w:rFonts w:eastAsia="Arial"/>
          <w:color w:val="000000"/>
        </w:rPr>
        <w:t xml:space="preserve"> or contact our Pre-Application Office (</w:t>
      </w:r>
      <w:hyperlink r:id="rId32">
        <w:r w:rsidRPr="007C60AF">
          <w:rPr>
            <w:rFonts w:eastAsia="Arial"/>
            <w:color w:val="0563C1"/>
            <w:u w:val="single"/>
          </w:rPr>
          <w:t>contact@traderemedies.gov.uk</w:t>
        </w:r>
      </w:hyperlink>
      <w:r w:rsidRPr="007C60AF">
        <w:rPr>
          <w:rFonts w:eastAsia="Arial"/>
          <w:color w:val="000000"/>
        </w:rPr>
        <w:t>)</w:t>
      </w:r>
    </w:p>
    <w:p w14:paraId="000004CF" w14:textId="77777777" w:rsidR="00416D85" w:rsidRPr="007C60AF" w:rsidRDefault="00130320">
      <w:pPr>
        <w:jc w:val="both"/>
      </w:pPr>
      <w:r w:rsidRPr="007C60AF">
        <w:t xml:space="preserve">For any of the above methodologies, attach supporting documentation for the prices, costs and any adjustments (see below) you have made. This can include: </w:t>
      </w:r>
    </w:p>
    <w:p w14:paraId="000004D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price </w:t>
      </w:r>
      <w:proofErr w:type="gramStart"/>
      <w:r w:rsidRPr="007C60AF">
        <w:rPr>
          <w:rFonts w:eastAsia="Arial"/>
          <w:color w:val="000000"/>
        </w:rPr>
        <w:t>lists;</w:t>
      </w:r>
      <w:proofErr w:type="gramEnd"/>
    </w:p>
    <w:p w14:paraId="000004D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 xml:space="preserve">price </w:t>
      </w:r>
      <w:proofErr w:type="gramStart"/>
      <w:r w:rsidRPr="007C60AF">
        <w:rPr>
          <w:rFonts w:eastAsia="Arial"/>
          <w:color w:val="000000"/>
        </w:rPr>
        <w:t>quotations;</w:t>
      </w:r>
      <w:proofErr w:type="gramEnd"/>
    </w:p>
    <w:p w14:paraId="000004D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sales invoices for domestic </w:t>
      </w:r>
      <w:proofErr w:type="gramStart"/>
      <w:r w:rsidRPr="007C60AF">
        <w:rPr>
          <w:rFonts w:eastAsia="Arial"/>
          <w:color w:val="000000"/>
        </w:rPr>
        <w:t>sales;</w:t>
      </w:r>
      <w:proofErr w:type="gramEnd"/>
      <w:r w:rsidRPr="007C60AF">
        <w:rPr>
          <w:rFonts w:eastAsia="Arial"/>
          <w:color w:val="000000"/>
        </w:rPr>
        <w:t xml:space="preserve"> </w:t>
      </w:r>
    </w:p>
    <w:p w14:paraId="000004D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sales </w:t>
      </w:r>
      <w:proofErr w:type="gramStart"/>
      <w:r w:rsidRPr="007C60AF">
        <w:rPr>
          <w:rFonts w:eastAsia="Arial"/>
          <w:color w:val="000000"/>
        </w:rPr>
        <w:t>correspondence;</w:t>
      </w:r>
      <w:proofErr w:type="gramEnd"/>
    </w:p>
    <w:p w14:paraId="000004D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publicly available material containing information on domestic selling prices; and</w:t>
      </w:r>
    </w:p>
    <w:p w14:paraId="000004D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market surveys. </w:t>
      </w:r>
    </w:p>
    <w:tbl>
      <w:tblPr>
        <w:tblStyle w:val="affff1"/>
        <w:tblW w:w="9016" w:type="dxa"/>
        <w:tblLayout w:type="fixed"/>
        <w:tblLook w:val="0400" w:firstRow="0" w:lastRow="0" w:firstColumn="0" w:lastColumn="0" w:noHBand="0" w:noVBand="1"/>
      </w:tblPr>
      <w:tblGrid>
        <w:gridCol w:w="9016"/>
      </w:tblGrid>
      <w:tr w:rsidR="00416D85" w:rsidRPr="007C60AF" w14:paraId="0A3BAD13"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D6" w14:textId="77777777" w:rsidR="00416D85" w:rsidRPr="007C60AF" w:rsidRDefault="00130320">
            <w:pPr>
              <w:spacing w:after="0"/>
              <w:jc w:val="both"/>
            </w:pPr>
            <w:r w:rsidRPr="007C60AF">
              <w:rPr>
                <w:color w:val="4472C4"/>
              </w:rPr>
              <w:t xml:space="preserve">Not applicable. </w:t>
            </w:r>
          </w:p>
        </w:tc>
      </w:tr>
    </w:tbl>
    <w:p w14:paraId="000004D7" w14:textId="77777777" w:rsidR="00416D85" w:rsidRPr="007C60AF" w:rsidRDefault="00416D85">
      <w:pPr>
        <w:pBdr>
          <w:top w:val="nil"/>
          <w:left w:val="nil"/>
          <w:bottom w:val="nil"/>
          <w:right w:val="nil"/>
          <w:between w:val="nil"/>
        </w:pBdr>
        <w:spacing w:before="120" w:line="276" w:lineRule="auto"/>
        <w:ind w:left="567"/>
        <w:jc w:val="both"/>
        <w:rPr>
          <w:rFonts w:eastAsia="Arial"/>
          <w:color w:val="000000"/>
        </w:rPr>
      </w:pPr>
    </w:p>
    <w:p w14:paraId="000004D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E.6. </w:t>
      </w:r>
      <w:r w:rsidRPr="007C60AF">
        <w:rPr>
          <w:rFonts w:eastAsia="Arial"/>
          <w:b/>
          <w:color w:val="000000"/>
          <w:sz w:val="28"/>
          <w:szCs w:val="28"/>
        </w:rPr>
        <w:t>Selling Price from Exporter to a Third Country</w:t>
      </w:r>
    </w:p>
    <w:p w14:paraId="000004D9"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color w:val="000000"/>
        </w:rPr>
      </w:pPr>
      <w:r w:rsidRPr="007C60AF">
        <w:rPr>
          <w:rFonts w:eastAsia="Arial"/>
          <w:color w:val="000000"/>
        </w:rPr>
        <w:t xml:space="preserve">If this is the preferred method, </w:t>
      </w:r>
      <w:r w:rsidRPr="007C60AF">
        <w:rPr>
          <w:rFonts w:eastAsia="Arial"/>
          <w:b/>
          <w:color w:val="000000"/>
        </w:rPr>
        <w:t>please use Annex 3</w:t>
      </w:r>
      <w:r w:rsidRPr="007C60AF">
        <w:rPr>
          <w:rFonts w:eastAsia="Arial"/>
          <w:color w:val="000000"/>
        </w:rPr>
        <w:t>, indicating here which country</w:t>
      </w:r>
    </w:p>
    <w:p w14:paraId="000004DA"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you are using, and amending the listed adjustments to better reflect the adjustments</w:t>
      </w:r>
    </w:p>
    <w:p w14:paraId="000004DB"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made. Prices should be net ex-works (EXW) and exclude all internal taxes, such as</w:t>
      </w:r>
    </w:p>
    <w:p w14:paraId="000004DC"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VAT. If EXW prices are not available e.g. if Cost Insurance and Freight (CIF) or Free</w:t>
      </w:r>
    </w:p>
    <w:p w14:paraId="000004DD"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On Board (FOB) prices are the only ones available, these prices should be adjusted</w:t>
      </w:r>
    </w:p>
    <w:p w14:paraId="000004DE"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to bring them to a net ex-works level</w:t>
      </w:r>
    </w:p>
    <w:tbl>
      <w:tblPr>
        <w:tblStyle w:val="affff2"/>
        <w:tblW w:w="9016" w:type="dxa"/>
        <w:tblLayout w:type="fixed"/>
        <w:tblLook w:val="0400" w:firstRow="0" w:lastRow="0" w:firstColumn="0" w:lastColumn="0" w:noHBand="0" w:noVBand="1"/>
      </w:tblPr>
      <w:tblGrid>
        <w:gridCol w:w="9016"/>
      </w:tblGrid>
      <w:tr w:rsidR="00416D85" w:rsidRPr="007C60AF" w14:paraId="2E6B7005"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DF" w14:textId="77777777" w:rsidR="00416D85" w:rsidRPr="007C60AF" w:rsidRDefault="00130320">
            <w:pPr>
              <w:spacing w:after="0"/>
              <w:jc w:val="both"/>
              <w:rPr>
                <w:color w:val="4472C4"/>
              </w:rPr>
            </w:pPr>
            <w:r w:rsidRPr="007C60AF">
              <w:rPr>
                <w:color w:val="4472C4"/>
              </w:rPr>
              <w:t xml:space="preserve">Not applicable. </w:t>
            </w:r>
          </w:p>
        </w:tc>
      </w:tr>
    </w:tbl>
    <w:p w14:paraId="000004E0" w14:textId="77777777" w:rsidR="00416D85" w:rsidRPr="007C60AF" w:rsidRDefault="00416D85">
      <w:pPr>
        <w:ind w:left="567"/>
        <w:jc w:val="both"/>
      </w:pPr>
    </w:p>
    <w:p w14:paraId="000004E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E.7. </w:t>
      </w:r>
      <w:r w:rsidRPr="007C60AF">
        <w:rPr>
          <w:rFonts w:eastAsia="Arial"/>
          <w:b/>
          <w:color w:val="000000"/>
          <w:sz w:val="28"/>
          <w:szCs w:val="28"/>
        </w:rPr>
        <w:t xml:space="preserve">Appropriate third country </w:t>
      </w:r>
    </w:p>
    <w:p w14:paraId="000004E2"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method is only available for particular foreign countries as defined under </w:t>
      </w:r>
      <w:hyperlink r:id="rId33">
        <w:r w:rsidRPr="007C60AF">
          <w:rPr>
            <w:rFonts w:eastAsia="Arial"/>
            <w:color w:val="0563C1"/>
            <w:u w:val="single"/>
          </w:rPr>
          <w:t>Regulation 14</w:t>
        </w:r>
      </w:hyperlink>
      <w:r w:rsidRPr="007C60AF">
        <w:rPr>
          <w:rFonts w:eastAsia="Arial"/>
          <w:b/>
          <w:color w:val="000000"/>
        </w:rPr>
        <w:t xml:space="preserve"> </w:t>
      </w:r>
      <w:r w:rsidRPr="007C60AF">
        <w:rPr>
          <w:rFonts w:eastAsia="Arial"/>
          <w:color w:val="000000"/>
        </w:rPr>
        <w:t>of the D&amp;S Regulations.</w:t>
      </w:r>
    </w:p>
    <w:p w14:paraId="000004E3" w14:textId="77777777" w:rsidR="00416D85" w:rsidRPr="007C60AF" w:rsidRDefault="00130320">
      <w:pPr>
        <w:numPr>
          <w:ilvl w:val="3"/>
          <w:numId w:val="7"/>
        </w:numPr>
        <w:pBdr>
          <w:top w:val="nil"/>
          <w:left w:val="nil"/>
          <w:bottom w:val="nil"/>
          <w:right w:val="nil"/>
          <w:between w:val="nil"/>
        </w:pBdr>
        <w:spacing w:before="120" w:line="276" w:lineRule="auto"/>
        <w:jc w:val="both"/>
      </w:pPr>
      <w:r w:rsidRPr="007C60AF">
        <w:rPr>
          <w:rFonts w:eastAsia="Arial"/>
          <w:color w:val="000000"/>
        </w:rPr>
        <w:t xml:space="preserve">Nominate an appropriate third country so you can establish normal values based on their selling prices. </w:t>
      </w:r>
    </w:p>
    <w:tbl>
      <w:tblPr>
        <w:tblStyle w:val="affff3"/>
        <w:tblW w:w="9016" w:type="dxa"/>
        <w:tblLayout w:type="fixed"/>
        <w:tblLook w:val="0400" w:firstRow="0" w:lastRow="0" w:firstColumn="0" w:lastColumn="0" w:noHBand="0" w:noVBand="1"/>
      </w:tblPr>
      <w:tblGrid>
        <w:gridCol w:w="9016"/>
      </w:tblGrid>
      <w:tr w:rsidR="00416D85" w:rsidRPr="007C60AF" w14:paraId="6AB5398B"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E4" w14:textId="77777777" w:rsidR="00416D85" w:rsidRPr="007C60AF" w:rsidRDefault="00130320">
            <w:pPr>
              <w:spacing w:after="0"/>
              <w:jc w:val="both"/>
            </w:pPr>
            <w:r w:rsidRPr="007C60AF">
              <w:rPr>
                <w:color w:val="4472C4"/>
              </w:rPr>
              <w:t>Not applicable.</w:t>
            </w:r>
          </w:p>
        </w:tc>
      </w:tr>
    </w:tbl>
    <w:p w14:paraId="000004E5" w14:textId="77777777" w:rsidR="00416D85" w:rsidRPr="007C60AF" w:rsidRDefault="00416D85">
      <w:pPr>
        <w:pBdr>
          <w:top w:val="nil"/>
          <w:left w:val="nil"/>
          <w:bottom w:val="nil"/>
          <w:right w:val="nil"/>
          <w:between w:val="nil"/>
        </w:pBdr>
        <w:spacing w:after="0" w:line="276" w:lineRule="auto"/>
        <w:jc w:val="both"/>
        <w:rPr>
          <w:color w:val="000000"/>
        </w:rPr>
      </w:pPr>
    </w:p>
    <w:p w14:paraId="000004E6" w14:textId="77777777" w:rsidR="00416D85" w:rsidRPr="007C60AF" w:rsidRDefault="00130320">
      <w:pPr>
        <w:numPr>
          <w:ilvl w:val="3"/>
          <w:numId w:val="7"/>
        </w:numPr>
        <w:pBdr>
          <w:top w:val="nil"/>
          <w:left w:val="nil"/>
          <w:bottom w:val="nil"/>
          <w:right w:val="nil"/>
          <w:between w:val="nil"/>
        </w:pBdr>
        <w:spacing w:before="120" w:line="276" w:lineRule="auto"/>
        <w:jc w:val="both"/>
      </w:pPr>
      <w:r w:rsidRPr="007C60AF">
        <w:rPr>
          <w:rFonts w:eastAsia="Arial"/>
          <w:color w:val="000000"/>
        </w:rPr>
        <w:t>Explain your basis for selecting this third country.</w:t>
      </w:r>
    </w:p>
    <w:p w14:paraId="000004E7" w14:textId="77777777" w:rsidR="00416D85" w:rsidRPr="007C60AF" w:rsidRDefault="00416D85">
      <w:pPr>
        <w:pBdr>
          <w:top w:val="nil"/>
          <w:left w:val="nil"/>
          <w:bottom w:val="nil"/>
          <w:right w:val="nil"/>
          <w:between w:val="nil"/>
        </w:pBdr>
        <w:spacing w:after="0" w:line="276" w:lineRule="auto"/>
        <w:jc w:val="both"/>
        <w:rPr>
          <w:color w:val="000000"/>
        </w:rPr>
      </w:pPr>
    </w:p>
    <w:tbl>
      <w:tblPr>
        <w:tblStyle w:val="affff4"/>
        <w:tblW w:w="9016" w:type="dxa"/>
        <w:tblLayout w:type="fixed"/>
        <w:tblLook w:val="0400" w:firstRow="0" w:lastRow="0" w:firstColumn="0" w:lastColumn="0" w:noHBand="0" w:noVBand="1"/>
      </w:tblPr>
      <w:tblGrid>
        <w:gridCol w:w="9016"/>
      </w:tblGrid>
      <w:tr w:rsidR="00416D85" w:rsidRPr="007C60AF" w14:paraId="456D7F8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E8" w14:textId="77777777" w:rsidR="00416D85" w:rsidRPr="007C60AF" w:rsidRDefault="00130320">
            <w:pPr>
              <w:spacing w:after="0"/>
              <w:jc w:val="both"/>
            </w:pPr>
            <w:r w:rsidRPr="007C60AF">
              <w:rPr>
                <w:color w:val="4472C4"/>
              </w:rPr>
              <w:t>Not applicable.</w:t>
            </w:r>
          </w:p>
        </w:tc>
      </w:tr>
    </w:tbl>
    <w:p w14:paraId="000004E9" w14:textId="77777777" w:rsidR="00416D85" w:rsidRPr="007C60AF" w:rsidRDefault="00416D85">
      <w:pPr>
        <w:jc w:val="both"/>
        <w:rPr>
          <w:u w:val="single"/>
        </w:rPr>
      </w:pPr>
    </w:p>
    <w:p w14:paraId="000004EA" w14:textId="77777777" w:rsidR="00416D85" w:rsidRPr="007C60AF" w:rsidRDefault="00130320">
      <w:pPr>
        <w:numPr>
          <w:ilvl w:val="3"/>
          <w:numId w:val="7"/>
        </w:numPr>
        <w:pBdr>
          <w:top w:val="nil"/>
          <w:left w:val="nil"/>
          <w:bottom w:val="nil"/>
          <w:right w:val="nil"/>
          <w:between w:val="nil"/>
        </w:pBdr>
        <w:spacing w:before="120" w:line="276" w:lineRule="auto"/>
        <w:jc w:val="both"/>
      </w:pPr>
      <w:r w:rsidRPr="007C60AF">
        <w:rPr>
          <w:rFonts w:eastAsia="Arial"/>
          <w:b/>
          <w:color w:val="000000"/>
        </w:rPr>
        <w:t>Please use Annex</w:t>
      </w:r>
      <w:r w:rsidRPr="007C60AF">
        <w:rPr>
          <w:rFonts w:eastAsia="Arial"/>
          <w:color w:val="000000"/>
        </w:rPr>
        <w:t xml:space="preserve"> </w:t>
      </w:r>
      <w:r w:rsidRPr="007C60AF">
        <w:rPr>
          <w:rFonts w:eastAsia="Arial"/>
          <w:b/>
          <w:color w:val="000000"/>
        </w:rPr>
        <w:t>3</w:t>
      </w:r>
      <w:r w:rsidRPr="007C60AF">
        <w:rPr>
          <w:rFonts w:eastAsia="Arial"/>
          <w:color w:val="000000"/>
        </w:rPr>
        <w:t xml:space="preserve"> to calculate the Normal value based on the third country data, amending the listed adjustments to better reflect the adjustments made. Prices should be net ex-works (EXW) and exclude all internal taxes, such as VAT. If EXW prices are not available e.g. if Cost Insurance and Freight (CIF) or </w:t>
      </w:r>
      <w:r w:rsidRPr="007C60AF">
        <w:rPr>
          <w:rFonts w:eastAsia="Arial"/>
          <w:color w:val="000000"/>
        </w:rPr>
        <w:lastRenderedPageBreak/>
        <w:t xml:space="preserve">Free </w:t>
      </w:r>
      <w:proofErr w:type="gramStart"/>
      <w:r w:rsidRPr="007C60AF">
        <w:rPr>
          <w:rFonts w:eastAsia="Arial"/>
          <w:color w:val="000000"/>
        </w:rPr>
        <w:t>On</w:t>
      </w:r>
      <w:proofErr w:type="gramEnd"/>
      <w:r w:rsidRPr="007C60AF">
        <w:rPr>
          <w:rFonts w:eastAsia="Arial"/>
          <w:color w:val="000000"/>
        </w:rPr>
        <w:t xml:space="preserve"> Board (FOB) prices are the only ones available, these prices should be adjusted to bring them to a net ex-works level</w:t>
      </w:r>
    </w:p>
    <w:p w14:paraId="000004EB" w14:textId="77777777" w:rsidR="00416D85" w:rsidRPr="007C60AF" w:rsidRDefault="00416D85">
      <w:pPr>
        <w:jc w:val="both"/>
      </w:pPr>
    </w:p>
    <w:p w14:paraId="000004EC"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E.8. </w:t>
      </w:r>
      <w:r w:rsidRPr="007C60AF">
        <w:rPr>
          <w:rFonts w:eastAsia="Arial"/>
          <w:b/>
          <w:color w:val="000000"/>
          <w:sz w:val="28"/>
          <w:szCs w:val="28"/>
        </w:rPr>
        <w:t>Export price of the goods</w:t>
      </w:r>
    </w:p>
    <w:p w14:paraId="000004E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export price is the selling price of the goods from the exporting country to a UK importer or a third party for export to the UK. This is adjusted to account for export costs and calculated back to the ex-works export price in the country of export. In most cases, you can base the export price on the price charged by the exporter to an unrelated importer in the UK. If your complaint concerns more than one exporting country, calculate the export price for each country</w:t>
      </w:r>
    </w:p>
    <w:p w14:paraId="000004E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However, you may need to construct export price based on sales to first independent buyers or another reasonable method if:</w:t>
      </w:r>
    </w:p>
    <w:p w14:paraId="000004E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there is no export </w:t>
      </w:r>
      <w:proofErr w:type="gramStart"/>
      <w:r w:rsidRPr="007C60AF">
        <w:rPr>
          <w:rFonts w:eastAsia="Arial"/>
          <w:color w:val="000000"/>
        </w:rPr>
        <w:t>price;</w:t>
      </w:r>
      <w:proofErr w:type="gramEnd"/>
    </w:p>
    <w:p w14:paraId="000004F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price is unreliable due to an association or compensatory arrangement between the exporter and UK importer or third party.</w:t>
      </w:r>
    </w:p>
    <w:p w14:paraId="000004F1"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Before providing the export price of the goods, please explain which basis you are using to calculate this and why. If you have constructed the export price, please give your reasoning for doing this and evidence to support this. </w:t>
      </w:r>
    </w:p>
    <w:tbl>
      <w:tblPr>
        <w:tblStyle w:val="affff5"/>
        <w:tblW w:w="9016" w:type="dxa"/>
        <w:tblLayout w:type="fixed"/>
        <w:tblLook w:val="0400" w:firstRow="0" w:lastRow="0" w:firstColumn="0" w:lastColumn="0" w:noHBand="0" w:noVBand="1"/>
      </w:tblPr>
      <w:tblGrid>
        <w:gridCol w:w="9016"/>
      </w:tblGrid>
      <w:tr w:rsidR="00416D85" w:rsidRPr="007C60AF" w14:paraId="5DA39049"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F2" w14:textId="77777777" w:rsidR="00416D85" w:rsidRPr="007C60AF" w:rsidRDefault="00130320">
            <w:pPr>
              <w:numPr>
                <w:ilvl w:val="6"/>
                <w:numId w:val="6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roofErr w:type="gramStart"/>
            <w:r w:rsidRPr="007C60AF">
              <w:rPr>
                <w:rFonts w:eastAsia="Arial"/>
                <w:color w:val="4472C4"/>
              </w:rPr>
              <w:t>The vast majority of</w:t>
            </w:r>
            <w:proofErr w:type="gramEnd"/>
            <w:r w:rsidRPr="007C60AF">
              <w:rPr>
                <w:rFonts w:eastAsia="Arial"/>
                <w:color w:val="4472C4"/>
              </w:rPr>
              <w:t xml:space="preserve"> US HVO imported into the UK is produced from UCO.</w:t>
            </w:r>
            <w:r w:rsidRPr="007C60AF">
              <w:rPr>
                <w:rFonts w:eastAsia="Arial"/>
                <w:color w:val="4472C4"/>
                <w:vertAlign w:val="superscript"/>
              </w:rPr>
              <w:footnoteReference w:id="125"/>
            </w:r>
            <w:r w:rsidRPr="007C60AF">
              <w:rPr>
                <w:rFonts w:eastAsia="Arial"/>
                <w:color w:val="4472C4"/>
              </w:rPr>
              <w:t xml:space="preserve"> To compare biofuel produced with the same feedstock, the Applicants are comparing HVO produced from UCO with UCOME (which is also produced from UCO). They are purely interchangeable because they count twice for the blending mandate and RTFCs.</w:t>
            </w:r>
          </w:p>
          <w:p w14:paraId="000004F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F4" w14:textId="77777777" w:rsidR="00416D85" w:rsidRPr="007C60AF" w:rsidRDefault="00130320">
            <w:pPr>
              <w:numPr>
                <w:ilvl w:val="6"/>
                <w:numId w:val="6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UK producers are producing waste-based FAME which is why the Applicants applied UCOME prices as a benchmark, as this is what is mostly being supplied to the UK from the EU and otherwise. It is therefore logical to compare UCO based US HVO to UCOME ARA FOB, since the price in the UK is driven by quotes of UCOME ARA delivered to the UK as </w:t>
            </w:r>
            <w:proofErr w:type="gramStart"/>
            <w:r w:rsidRPr="007C60AF">
              <w:rPr>
                <w:rFonts w:eastAsia="Arial"/>
                <w:color w:val="4472C4"/>
              </w:rPr>
              <w:t>the majority of</w:t>
            </w:r>
            <w:proofErr w:type="gramEnd"/>
            <w:r w:rsidRPr="007C60AF">
              <w:rPr>
                <w:rFonts w:eastAsia="Arial"/>
                <w:color w:val="4472C4"/>
              </w:rPr>
              <w:t xml:space="preserve"> biodiesel consumption is served by imports. </w:t>
            </w:r>
          </w:p>
        </w:tc>
      </w:tr>
    </w:tbl>
    <w:p w14:paraId="000004F5" w14:textId="77777777" w:rsidR="00416D85" w:rsidRPr="007C60AF" w:rsidRDefault="00416D85">
      <w:pPr>
        <w:spacing w:after="0" w:line="276" w:lineRule="auto"/>
        <w:jc w:val="both"/>
      </w:pPr>
    </w:p>
    <w:p w14:paraId="000004F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 xml:space="preserve">Please give your export price calculations in the appropriate table below. Make sure you use the basis you described above and delete tables for any methodologies you are not using. Please note that whichever methodology you use, you will need to provide an export price on a CIF and EXW level. You should use price information from the POI. </w:t>
      </w:r>
    </w:p>
    <w:p w14:paraId="000004F7"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evidence you provide of the export price should, as far as possible:</w:t>
      </w:r>
    </w:p>
    <w:p w14:paraId="000004F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be representative of different product types or models within the goods you are applying to us to investigate, if there are substantial differences in the normal value between these product types and models; and </w:t>
      </w:r>
    </w:p>
    <w:p w14:paraId="000004F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relate to normal value spread over the POI</w:t>
      </w:r>
    </w:p>
    <w:p w14:paraId="000004F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If either/</w:t>
      </w:r>
      <w:proofErr w:type="gramStart"/>
      <w:r w:rsidRPr="007C60AF">
        <w:rPr>
          <w:rFonts w:eastAsia="Arial"/>
          <w:color w:val="000000"/>
        </w:rPr>
        <w:t>both of these</w:t>
      </w:r>
      <w:proofErr w:type="gramEnd"/>
      <w:r w:rsidRPr="007C60AF">
        <w:rPr>
          <w:rFonts w:eastAsia="Arial"/>
          <w:color w:val="000000"/>
        </w:rPr>
        <w:t xml:space="preserve"> are not possible, please explain why. If you consider that export prices would not have varied significantly over the last year and so prices over the period outlined above would not be relevant for establishing representative export prices, please explain why you consider that to be the case.</w:t>
      </w:r>
    </w:p>
    <w:p w14:paraId="000004FB" w14:textId="77777777" w:rsidR="00416D85" w:rsidRPr="007C60AF" w:rsidRDefault="00416D85">
      <w:pPr>
        <w:jc w:val="both"/>
      </w:pPr>
    </w:p>
    <w:p w14:paraId="000004FC"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E.9. </w:t>
      </w:r>
      <w:r w:rsidRPr="007C60AF">
        <w:rPr>
          <w:rFonts w:eastAsia="Arial"/>
          <w:b/>
          <w:color w:val="000000"/>
          <w:sz w:val="28"/>
          <w:szCs w:val="28"/>
        </w:rPr>
        <w:t>Export price based on the selling price of the goods from the exporting country to a UK importer or a third party for export to the UK</w:t>
      </w:r>
    </w:p>
    <w:p w14:paraId="000004F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Provide the export prices of the allegedly dumped goods using Annex 5 Evidence and individually itemise the costs subtracted from this selling price to bring it back to an ex-works level, such as publicly available freight rates. Explain how the amounts were established. </w:t>
      </w:r>
    </w:p>
    <w:p w14:paraId="000004F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Provide documentary evidence for the selling price to the importer in the UK, such as: </w:t>
      </w:r>
    </w:p>
    <w:p w14:paraId="000004F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sales </w:t>
      </w:r>
      <w:proofErr w:type="gramStart"/>
      <w:r w:rsidRPr="007C60AF">
        <w:rPr>
          <w:rFonts w:eastAsia="Arial"/>
          <w:color w:val="000000"/>
        </w:rPr>
        <w:t>invoices;</w:t>
      </w:r>
      <w:proofErr w:type="gramEnd"/>
    </w:p>
    <w:p w14:paraId="0000050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written </w:t>
      </w:r>
      <w:proofErr w:type="gramStart"/>
      <w:r w:rsidRPr="007C60AF">
        <w:rPr>
          <w:rFonts w:eastAsia="Arial"/>
          <w:color w:val="000000"/>
        </w:rPr>
        <w:t>offers;</w:t>
      </w:r>
      <w:proofErr w:type="gramEnd"/>
    </w:p>
    <w:p w14:paraId="0000050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price </w:t>
      </w:r>
      <w:proofErr w:type="gramStart"/>
      <w:r w:rsidRPr="007C60AF">
        <w:rPr>
          <w:rFonts w:eastAsia="Arial"/>
          <w:color w:val="000000"/>
        </w:rPr>
        <w:t>quotations;</w:t>
      </w:r>
      <w:proofErr w:type="gramEnd"/>
    </w:p>
    <w:p w14:paraId="0000050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sales correspondence; or</w:t>
      </w:r>
    </w:p>
    <w:p w14:paraId="0000050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official statistics.</w:t>
      </w:r>
    </w:p>
    <w:tbl>
      <w:tblPr>
        <w:tblStyle w:val="affff6"/>
        <w:tblW w:w="9016" w:type="dxa"/>
        <w:tblLayout w:type="fixed"/>
        <w:tblLook w:val="0400" w:firstRow="0" w:lastRow="0" w:firstColumn="0" w:lastColumn="0" w:noHBand="0" w:noVBand="1"/>
      </w:tblPr>
      <w:tblGrid>
        <w:gridCol w:w="9016"/>
      </w:tblGrid>
      <w:tr w:rsidR="00416D85" w:rsidRPr="007C60AF" w14:paraId="50F28B6B"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04" w14:textId="77777777" w:rsidR="00416D85" w:rsidRPr="007C60AF" w:rsidRDefault="00130320">
            <w:pPr>
              <w:numPr>
                <w:ilvl w:val="0"/>
                <w:numId w:val="39"/>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Basis of the methodology</w:t>
            </w:r>
          </w:p>
          <w:p w14:paraId="0000050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6"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To calculate the dumping margin, the Applicants have compared prices of US domestically produced and domestically sold HVO ("</w:t>
            </w:r>
            <w:r w:rsidRPr="007C60AF">
              <w:rPr>
                <w:rFonts w:eastAsia="Arial"/>
                <w:b/>
                <w:color w:val="4472C4"/>
              </w:rPr>
              <w:t>domestic US HVO</w:t>
            </w:r>
            <w:r w:rsidRPr="007C60AF">
              <w:rPr>
                <w:rFonts w:eastAsia="Arial"/>
                <w:color w:val="4472C4"/>
              </w:rPr>
              <w:t>") with prices of US HVO imported into the UK ("</w:t>
            </w:r>
            <w:r w:rsidRPr="007C60AF">
              <w:rPr>
                <w:rFonts w:eastAsia="Arial"/>
                <w:b/>
                <w:color w:val="4472C4"/>
              </w:rPr>
              <w:t>imported US HVO</w:t>
            </w:r>
            <w:r w:rsidRPr="007C60AF">
              <w:rPr>
                <w:rFonts w:eastAsia="Arial"/>
                <w:color w:val="4472C4"/>
              </w:rPr>
              <w:t xml:space="preserve">"). </w:t>
            </w:r>
          </w:p>
          <w:p w14:paraId="0000050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8" w14:textId="550D7EE9"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Prices of domestic US HVO have been sourced from </w:t>
            </w:r>
            <w:r w:rsidR="00380DFD" w:rsidRPr="007C60AF">
              <w:rPr>
                <w:rFonts w:eastAsia="Arial"/>
                <w:color w:val="4472C4"/>
              </w:rPr>
              <w:t>Argus quotes. Argus is an independent provider of market intelligence to the global energy and commodity markets.</w:t>
            </w:r>
            <w:r w:rsidR="00380DFD" w:rsidRPr="007C60AF" w:rsidDel="00380DFD">
              <w:t xml:space="preserve"> </w:t>
            </w:r>
          </w:p>
          <w:p w14:paraId="0000050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A" w14:textId="66F4A211"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Prices of imported US HVO have been sourced from bids/offers received through market intelligence of the Applicants and </w:t>
            </w:r>
            <w:r w:rsidR="00380DFD" w:rsidRPr="007C60AF">
              <w:rPr>
                <w:rFonts w:eastAsia="Arial"/>
                <w:color w:val="4472C4"/>
              </w:rPr>
              <w:t>Argus quotes</w:t>
            </w:r>
            <w:r w:rsidRPr="007C60AF">
              <w:rPr>
                <w:rFonts w:eastAsia="Arial"/>
                <w:color w:val="4472C4"/>
              </w:rPr>
              <w:t xml:space="preserve">. </w:t>
            </w:r>
          </w:p>
          <w:p w14:paraId="0000050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C"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starting point for both calculations is HVO manufactured from UCO in the US Gulf Coast ("</w:t>
            </w:r>
            <w:r w:rsidRPr="007C60AF">
              <w:rPr>
                <w:rFonts w:eastAsia="Arial"/>
                <w:b/>
                <w:color w:val="4472C4"/>
              </w:rPr>
              <w:t>USGC</w:t>
            </w:r>
            <w:r w:rsidRPr="007C60AF">
              <w:rPr>
                <w:rFonts w:eastAsia="Arial"/>
                <w:color w:val="4472C4"/>
              </w:rPr>
              <w:t>"). The Applicants chose this methodology to ensure that the price comparison is conducted for goods originating from the same area (i.e. PADD 3) in the US.</w:t>
            </w:r>
            <w:r w:rsidRPr="007C60AF">
              <w:rPr>
                <w:rFonts w:eastAsia="Arial"/>
                <w:color w:val="4472C4"/>
                <w:vertAlign w:val="superscript"/>
              </w:rPr>
              <w:footnoteReference w:id="126"/>
            </w:r>
          </w:p>
          <w:p w14:paraId="0000050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E"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adjustments described below have been made to the prices to ensure a fair comparison is maintained.</w:t>
            </w:r>
          </w:p>
          <w:p w14:paraId="0000050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10"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color w:val="4472C4"/>
              </w:rPr>
              <w:t xml:space="preserve">The average level of dumping for the POI is </w:t>
            </w:r>
            <w:r w:rsidRPr="007C60AF">
              <w:rPr>
                <w:rFonts w:eastAsia="Arial"/>
                <w:b/>
                <w:color w:val="4472C4"/>
              </w:rPr>
              <w:t>[15-35]</w:t>
            </w:r>
            <w:r w:rsidRPr="007C60AF">
              <w:rPr>
                <w:rFonts w:eastAsia="Arial"/>
                <w:color w:val="4472C4"/>
              </w:rPr>
              <w:t>%.</w:t>
            </w:r>
          </w:p>
          <w:p w14:paraId="00000511" w14:textId="77777777" w:rsidR="00416D85" w:rsidRPr="007C60AF" w:rsidRDefault="00416D85">
            <w:pPr>
              <w:pBdr>
                <w:top w:val="nil"/>
                <w:left w:val="nil"/>
                <w:bottom w:val="nil"/>
                <w:right w:val="nil"/>
                <w:between w:val="nil"/>
              </w:pBdr>
              <w:spacing w:after="0" w:line="276" w:lineRule="auto"/>
              <w:ind w:left="567" w:hanging="567"/>
              <w:rPr>
                <w:rFonts w:eastAsia="Arial"/>
                <w:b/>
                <w:color w:val="4472C4"/>
              </w:rPr>
            </w:pPr>
          </w:p>
          <w:p w14:paraId="00000512"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Please refer to Appendix E.2 and Annexes 3, 5 and 7 in Appendix D.1 for the Applicants' calculations.</w:t>
            </w:r>
          </w:p>
          <w:p w14:paraId="000005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514" w14:textId="77777777" w:rsidR="00416D85" w:rsidRPr="007C60AF" w:rsidRDefault="00130320">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Prices of US HVO imported into the UK</w:t>
            </w:r>
          </w:p>
          <w:p w14:paraId="0000051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516"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Generally, the way HVO prices are calculated and offered is different in the EU/UK market as compared to the US market. In the EU/UK, the way offers and bids work for HVO is that they consist of two elements: </w:t>
            </w:r>
          </w:p>
          <w:p w14:paraId="00000517" w14:textId="77777777" w:rsidR="00416D85" w:rsidRPr="007C60AF" w:rsidRDefault="00130320">
            <w:pPr>
              <w:numPr>
                <w:ilvl w:val="0"/>
                <w:numId w:val="69"/>
              </w:numPr>
              <w:pBdr>
                <w:top w:val="nil"/>
                <w:left w:val="nil"/>
                <w:bottom w:val="nil"/>
                <w:right w:val="nil"/>
                <w:between w:val="nil"/>
              </w:pBdr>
              <w:spacing w:before="240" w:after="0"/>
              <w:jc w:val="both"/>
              <w:rPr>
                <w:rFonts w:eastAsia="Arial"/>
                <w:color w:val="4472C4"/>
              </w:rPr>
            </w:pPr>
            <w:r w:rsidRPr="007C60AF">
              <w:rPr>
                <w:rFonts w:eastAsia="Arial"/>
                <w:color w:val="4472C4"/>
              </w:rPr>
              <w:t>gasoil price (fossil diesel price); and</w:t>
            </w:r>
          </w:p>
          <w:p w14:paraId="00000518" w14:textId="77777777" w:rsidR="00416D85" w:rsidRPr="007C60AF" w:rsidRDefault="00130320">
            <w:pPr>
              <w:numPr>
                <w:ilvl w:val="0"/>
                <w:numId w:val="69"/>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HVO premium. </w:t>
            </w:r>
          </w:p>
          <w:p w14:paraId="00000519" w14:textId="6F15EE5D"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Applicants have reconstructed prices of imported US HVO from </w:t>
            </w:r>
            <w:r w:rsidRPr="007C60AF">
              <w:rPr>
                <w:rFonts w:eastAsia="Arial"/>
                <w:b/>
                <w:color w:val="4472C4"/>
              </w:rPr>
              <w:t>[SENSITIVE]</w:t>
            </w:r>
            <w:r w:rsidRPr="007C60AF">
              <w:rPr>
                <w:rFonts w:eastAsia="Arial"/>
                <w:color w:val="4472C4"/>
              </w:rPr>
              <w:t xml:space="preserve"> bids and offers received from the industry for HVO sold between </w:t>
            </w:r>
            <w:r w:rsidRPr="007C60AF">
              <w:rPr>
                <w:rFonts w:eastAsia="Arial"/>
                <w:b/>
                <w:color w:val="4472C4"/>
              </w:rPr>
              <w:t>[SENSITIVE]</w:t>
            </w:r>
            <w:r w:rsidRPr="007C60AF">
              <w:rPr>
                <w:rFonts w:eastAsia="Arial"/>
                <w:color w:val="4472C4"/>
              </w:rPr>
              <w:t xml:space="preserve">. These bids/offers are included in Appendices E.3.1, E.3.2 and E.4. </w:t>
            </w:r>
            <w:sdt>
              <w:sdtPr>
                <w:tag w:val="goog_rdk_106"/>
                <w:id w:val="1098533214"/>
              </w:sdtPr>
              <w:sdtContent/>
            </w:sdt>
            <w:r w:rsidRPr="007C60AF">
              <w:rPr>
                <w:rFonts w:eastAsia="Arial"/>
                <w:b/>
                <w:color w:val="4472C4"/>
              </w:rPr>
              <w:t xml:space="preserve">[Sensitive </w:t>
            </w:r>
            <w:r w:rsidR="00BF42D0" w:rsidRPr="007C60AF">
              <w:rPr>
                <w:rFonts w:eastAsia="Arial"/>
                <w:b/>
                <w:color w:val="4472C4"/>
              </w:rPr>
              <w:t xml:space="preserve">commercial </w:t>
            </w:r>
            <w:r w:rsidRPr="007C60AF">
              <w:rPr>
                <w:rFonts w:eastAsia="Arial"/>
                <w:b/>
                <w:color w:val="4472C4"/>
              </w:rPr>
              <w:t xml:space="preserve">information from </w:t>
            </w:r>
            <w:r w:rsidR="00380DFD" w:rsidRPr="007C60AF">
              <w:rPr>
                <w:rFonts w:eastAsia="Arial"/>
                <w:b/>
                <w:color w:val="4472C4"/>
              </w:rPr>
              <w:t>market intelligence</w:t>
            </w:r>
            <w:r w:rsidRPr="007C60AF">
              <w:rPr>
                <w:rFonts w:eastAsia="Arial"/>
                <w:b/>
                <w:color w:val="4472C4"/>
              </w:rPr>
              <w:t xml:space="preserve"> detailing pricing mechanisms, including financial data.]</w:t>
            </w:r>
          </w:p>
          <w:p w14:paraId="000005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 </w:t>
            </w:r>
          </w:p>
          <w:p w14:paraId="0000051B" w14:textId="2B57DF64" w:rsidR="00416D85" w:rsidRPr="007C60AF" w:rsidRDefault="00000000">
            <w:pPr>
              <w:numPr>
                <w:ilvl w:val="6"/>
                <w:numId w:val="68"/>
              </w:numPr>
              <w:pBdr>
                <w:top w:val="nil"/>
                <w:left w:val="nil"/>
                <w:bottom w:val="nil"/>
                <w:right w:val="nil"/>
                <w:between w:val="nil"/>
              </w:pBdr>
              <w:spacing w:after="0" w:line="276" w:lineRule="auto"/>
              <w:jc w:val="both"/>
              <w:rPr>
                <w:rFonts w:eastAsia="Arial"/>
                <w:color w:val="4472C4"/>
              </w:rPr>
            </w:pPr>
            <w:sdt>
              <w:sdtPr>
                <w:tag w:val="goog_rdk_107"/>
                <w:id w:val="1348370467"/>
              </w:sdtPr>
              <w:sdtContent/>
            </w:sdt>
            <w:r w:rsidR="00130320" w:rsidRPr="007C60AF">
              <w:rPr>
                <w:rFonts w:eastAsia="Arial"/>
                <w:b/>
                <w:color w:val="4472C4"/>
              </w:rPr>
              <w:t xml:space="preserve">[Sensitive </w:t>
            </w:r>
            <w:r w:rsidR="00BF42D0" w:rsidRPr="007C60AF">
              <w:rPr>
                <w:rFonts w:eastAsia="Arial"/>
                <w:b/>
                <w:color w:val="4472C4"/>
              </w:rPr>
              <w:t xml:space="preserve">commercial </w:t>
            </w:r>
            <w:r w:rsidR="00130320" w:rsidRPr="007C60AF">
              <w:rPr>
                <w:rFonts w:eastAsia="Arial"/>
                <w:b/>
                <w:color w:val="4472C4"/>
              </w:rPr>
              <w:t xml:space="preserve">information from </w:t>
            </w:r>
            <w:r w:rsidR="00380DFD" w:rsidRPr="007C60AF">
              <w:rPr>
                <w:rFonts w:eastAsia="Arial"/>
                <w:b/>
                <w:color w:val="4472C4"/>
              </w:rPr>
              <w:t>market intelligence</w:t>
            </w:r>
            <w:r w:rsidR="00130320" w:rsidRPr="007C60AF">
              <w:rPr>
                <w:rFonts w:eastAsia="Arial"/>
                <w:b/>
                <w:color w:val="4472C4"/>
              </w:rPr>
              <w:t xml:space="preserve"> detailing pricing mechanisms, including financial data.] </w:t>
            </w:r>
            <w:r w:rsidR="00130320" w:rsidRPr="007C60AF">
              <w:rPr>
                <w:rFonts w:eastAsia="Arial"/>
                <w:color w:val="4472C4"/>
              </w:rPr>
              <w:t>Thus, any price quotes for the UK are based on the EU quotes of that same type of biodiesel. Whether it is UCO based HVO or UCOME, the UK price thereof will be based on the EU price.</w:t>
            </w:r>
          </w:p>
          <w:p w14:paraId="0000051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1D"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mentioned above, the price of fossil diesel represents the base element of HVO prices. The bids/offers are based on the density of 0.845 l/ MT for fossil diesel, as clearly indicated in the bids/offers. Please note that, apart from these calculations, the Applicants have applied the average density of 0.780 l/MT for HVO in this Application. </w:t>
            </w:r>
          </w:p>
          <w:p w14:paraId="0000051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1F"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bids/offers were received under the T1 customs regime, which is the so-called external transit procedure. This is where the goods are not customs cleared for the EU as they are assigned for cross-border movement of goods. </w:t>
            </w:r>
          </w:p>
          <w:p w14:paraId="0000052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21" w14:textId="7AF86A35" w:rsidR="00416D85" w:rsidRPr="007C60AF" w:rsidRDefault="0000000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sdt>
              <w:sdtPr>
                <w:tag w:val="goog_rdk_109"/>
                <w:id w:val="-645512657"/>
              </w:sdtPr>
              <w:sdtContent>
                <w:r w:rsidR="00130320" w:rsidRPr="007C60AF">
                  <w:rPr>
                    <w:rFonts w:eastAsia="Arial"/>
                    <w:color w:val="4472C4"/>
                  </w:rPr>
                  <w:t>[</w:t>
                </w:r>
              </w:sdtContent>
            </w:sdt>
            <w:sdt>
              <w:sdtPr>
                <w:tag w:val="goog_rdk_110"/>
                <w:id w:val="1257255641"/>
              </w:sdtPr>
              <w:sdtContent/>
            </w:sdt>
            <w:r w:rsidR="00130320" w:rsidRPr="007C60AF">
              <w:rPr>
                <w:rFonts w:eastAsia="Arial"/>
                <w:b/>
                <w:color w:val="4472C4"/>
              </w:rPr>
              <w:t xml:space="preserve">Sensitive </w:t>
            </w:r>
            <w:r w:rsidR="00A267E4" w:rsidRPr="007C60AF">
              <w:rPr>
                <w:rFonts w:eastAsia="Arial"/>
                <w:b/>
                <w:color w:val="4472C4"/>
              </w:rPr>
              <w:t xml:space="preserve">commercial </w:t>
            </w:r>
            <w:r w:rsidR="00130320" w:rsidRPr="007C60AF">
              <w:rPr>
                <w:rFonts w:eastAsia="Arial"/>
                <w:b/>
                <w:color w:val="4472C4"/>
              </w:rPr>
              <w:t xml:space="preserve">information from </w:t>
            </w:r>
            <w:r w:rsidR="00BF42D0" w:rsidRPr="007C60AF">
              <w:rPr>
                <w:rFonts w:eastAsia="Arial"/>
                <w:b/>
                <w:color w:val="4472C4"/>
              </w:rPr>
              <w:t>market intelligence</w:t>
            </w:r>
            <w:r w:rsidR="00130320" w:rsidRPr="007C60AF">
              <w:rPr>
                <w:rFonts w:eastAsia="Arial"/>
                <w:b/>
                <w:color w:val="4472C4"/>
              </w:rPr>
              <w:t xml:space="preserve"> detailing pricing mechanisms including freight costs]</w:t>
            </w:r>
          </w:p>
          <w:p w14:paraId="0000052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23" w14:textId="7F02B826" w:rsidR="00416D85" w:rsidRPr="007C60AF" w:rsidRDefault="00000000">
            <w:pPr>
              <w:numPr>
                <w:ilvl w:val="6"/>
                <w:numId w:val="68"/>
              </w:numPr>
              <w:pBdr>
                <w:top w:val="nil"/>
                <w:left w:val="nil"/>
                <w:bottom w:val="nil"/>
                <w:right w:val="nil"/>
                <w:between w:val="nil"/>
              </w:pBdr>
              <w:spacing w:after="0" w:line="276" w:lineRule="auto"/>
              <w:jc w:val="both"/>
              <w:rPr>
                <w:rFonts w:eastAsia="Arial"/>
                <w:color w:val="4472C4"/>
              </w:rPr>
            </w:pPr>
            <w:sdt>
              <w:sdtPr>
                <w:tag w:val="goog_rdk_111"/>
                <w:id w:val="2038539881"/>
              </w:sdtPr>
              <w:sdtContent/>
            </w:sdt>
            <w:sdt>
              <w:sdtPr>
                <w:tag w:val="goog_rdk_112"/>
                <w:id w:val="1542166696"/>
              </w:sdtPr>
              <w:sdtContent/>
            </w:sdt>
            <w:r w:rsidR="00130320" w:rsidRPr="007C60AF">
              <w:rPr>
                <w:rFonts w:eastAsia="Arial"/>
                <w:color w:val="4472C4"/>
              </w:rPr>
              <w:t>To go from FOB to EXW levels, this would involve subtracting [</w:t>
            </w:r>
            <w:r w:rsidR="00130320" w:rsidRPr="007C60AF">
              <w:rPr>
                <w:rFonts w:eastAsia="Arial"/>
                <w:b/>
                <w:color w:val="4472C4"/>
              </w:rPr>
              <w:t>Sensitive commercial data]</w:t>
            </w:r>
            <w:r w:rsidR="00130320" w:rsidRPr="007C60AF">
              <w:rPr>
                <w:rFonts w:eastAsia="Arial"/>
                <w:color w:val="4472C4"/>
              </w:rPr>
              <w:t xml:space="preserve"> USD/MT to reflect the discharge cost to transfer the HVO from the pipe to the vessel. Because the amount is insignificant as compared to the overall price per MT, and because this exercise would be done for either HVO that is exported to the UK or sold domestically to California, the impact would be net zero and therefore no adjustments have been made to the dumping calculations to reflect this. </w:t>
            </w:r>
          </w:p>
          <w:p w14:paraId="0000052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25"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The Applicants have reconstructed the actual price of imported US HVO expressed in USD/cbm from the bids/offers. This has been done based on the following calculations (</w:t>
            </w:r>
            <w:r w:rsidRPr="007C60AF">
              <w:rPr>
                <w:rFonts w:eastAsia="Arial"/>
                <w:i/>
                <w:color w:val="4472C4"/>
              </w:rPr>
              <w:t>see</w:t>
            </w:r>
            <w:r w:rsidRPr="007C60AF">
              <w:rPr>
                <w:rFonts w:eastAsia="Arial"/>
                <w:color w:val="4472C4"/>
              </w:rPr>
              <w:t xml:space="preserve"> tab 'HVO T1 (US) to (UK)' of Appendix E.2):</w:t>
            </w:r>
          </w:p>
          <w:p w14:paraId="00000526" w14:textId="77777777"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Column A sets out the dates of the offers.</w:t>
            </w:r>
          </w:p>
          <w:p w14:paraId="00000527" w14:textId="684B551A"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Some of the bids/offers (in column O) refer to discounts to certain </w:t>
            </w:r>
            <w:r w:rsidR="00380DFD" w:rsidRPr="007C60AF">
              <w:rPr>
                <w:rFonts w:eastAsia="Arial"/>
                <w:color w:val="4472C4"/>
              </w:rPr>
              <w:t>Argus quotes</w:t>
            </w:r>
            <w:sdt>
              <w:sdtPr>
                <w:tag w:val="goog_rdk_114"/>
                <w:id w:val="-2133703645"/>
              </w:sdtPr>
              <w:sdtContent/>
            </w:sdt>
            <w:r w:rsidRPr="007C60AF">
              <w:rPr>
                <w:rFonts w:eastAsia="Arial"/>
                <w:color w:val="4472C4"/>
              </w:rPr>
              <w:t xml:space="preserve">. If relevant, the </w:t>
            </w:r>
            <w:r w:rsidR="00380DFD" w:rsidRPr="007C60AF">
              <w:rPr>
                <w:rFonts w:eastAsia="Arial"/>
                <w:color w:val="4472C4"/>
              </w:rPr>
              <w:t>Argus quotes</w:t>
            </w:r>
            <w:r w:rsidRPr="007C60AF">
              <w:rPr>
                <w:rFonts w:eastAsia="Arial"/>
                <w:color w:val="4472C4"/>
              </w:rPr>
              <w:t xml:space="preserve"> and discounts have been added in columns B and C to form part of the premium calculation (in column F). </w:t>
            </w:r>
          </w:p>
          <w:p w14:paraId="00000528" w14:textId="519C7C90"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In column D, the Applicants have included </w:t>
            </w:r>
            <w:sdt>
              <w:sdtPr>
                <w:tag w:val="goog_rdk_115"/>
                <w:id w:val="-1898041960"/>
              </w:sdtPr>
              <w:sdtContent>
                <w:r w:rsidR="00380DFD" w:rsidRPr="007C60AF">
                  <w:rPr>
                    <w:color w:val="4472C4" w:themeColor="accent1"/>
                  </w:rPr>
                  <w:t>Argus quotes</w:t>
                </w:r>
              </w:sdtContent>
            </w:sdt>
            <w:r w:rsidRPr="007C60AF">
              <w:rPr>
                <w:rFonts w:eastAsia="Arial"/>
                <w:color w:val="4472C4"/>
              </w:rPr>
              <w:t xml:space="preserve"> for gasoil USD/t – </w:t>
            </w:r>
            <w:r w:rsidRPr="007C60AF">
              <w:rPr>
                <w:rFonts w:eastAsia="Arial"/>
                <w:i/>
                <w:color w:val="4472C4"/>
              </w:rPr>
              <w:t>see</w:t>
            </w:r>
            <w:r w:rsidRPr="007C60AF">
              <w:rPr>
                <w:rFonts w:eastAsia="Arial"/>
                <w:color w:val="4472C4"/>
              </w:rPr>
              <w:t xml:space="preserve"> Appendices E.6.1, E.6.2 and E.6.3. In the bids/offers, the prices are expressed </w:t>
            </w:r>
            <w:r w:rsidRPr="007C60AF">
              <w:rPr>
                <w:rFonts w:eastAsia="Arial"/>
                <w:color w:val="4472C4"/>
              </w:rPr>
              <w:lastRenderedPageBreak/>
              <w:t xml:space="preserve">in MT. However, because fossil/HVO/FAME have different densities, </w:t>
            </w:r>
            <w:proofErr w:type="gramStart"/>
            <w:r w:rsidRPr="007C60AF">
              <w:rPr>
                <w:rFonts w:eastAsia="Arial"/>
                <w:color w:val="4472C4"/>
              </w:rPr>
              <w:t>in order to</w:t>
            </w:r>
            <w:proofErr w:type="gramEnd"/>
            <w:r w:rsidRPr="007C60AF">
              <w:rPr>
                <w:rFonts w:eastAsia="Arial"/>
                <w:color w:val="4472C4"/>
              </w:rPr>
              <w:t xml:space="preserve"> compare the same metric and to align with RTFO statistics (which apply a volumetric blending obligations), the Applicants have converted everything to cbm. </w:t>
            </w:r>
          </w:p>
          <w:p w14:paraId="00000529" w14:textId="2667F3D1"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To convert </w:t>
            </w:r>
            <w:sdt>
              <w:sdtPr>
                <w:tag w:val="goog_rdk_116"/>
                <w:id w:val="1849213059"/>
              </w:sdtPr>
              <w:sdtContent>
                <w:r w:rsidR="00380DFD" w:rsidRPr="007C60AF">
                  <w:rPr>
                    <w:color w:val="4472C4" w:themeColor="accent1"/>
                  </w:rPr>
                  <w:t>Argus quotes</w:t>
                </w:r>
              </w:sdtContent>
            </w:sdt>
            <w:r w:rsidRPr="007C60AF">
              <w:rPr>
                <w:rFonts w:eastAsia="Arial"/>
                <w:color w:val="4472C4"/>
              </w:rPr>
              <w:t xml:space="preserve"> of gasoil prices the Applicants have applied the indicated conversion rate of 0.845 litres/MT achieving the result of gasoil prices expressed in USD/cbm in column E. </w:t>
            </w:r>
          </w:p>
          <w:p w14:paraId="0000052A" w14:textId="53A01514"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In column F the Applicants have included the HVO premium based on the bids/offers (in column O) and any discounts that need to be made to</w:t>
            </w:r>
            <w:r w:rsidR="00380DFD" w:rsidRPr="007C60AF">
              <w:rPr>
                <w:rFonts w:eastAsia="Arial"/>
                <w:color w:val="4472C4"/>
              </w:rPr>
              <w:t xml:space="preserve"> Argus quotes</w:t>
            </w:r>
            <w:r w:rsidRPr="007C60AF">
              <w:rPr>
                <w:rFonts w:eastAsia="Arial"/>
                <w:color w:val="4472C4"/>
              </w:rPr>
              <w:t xml:space="preserve"> (columns B and C), as indicated by the bids/offers. </w:t>
            </w:r>
            <w:r w:rsidRPr="007C60AF">
              <w:rPr>
                <w:rFonts w:eastAsia="Arial"/>
                <w:b/>
                <w:color w:val="4472C4"/>
              </w:rPr>
              <w:t>[SENSITIVE</w:t>
            </w:r>
            <w:r w:rsidR="00B1324B" w:rsidRPr="007C60AF">
              <w:rPr>
                <w:rFonts w:eastAsia="Arial"/>
                <w:b/>
                <w:color w:val="4472C4"/>
              </w:rPr>
              <w:t xml:space="preserve"> INFORMATION OBTAINED FROM MARKET INTELLIGENCE</w:t>
            </w:r>
            <w:r w:rsidRPr="007C60AF">
              <w:rPr>
                <w:rFonts w:eastAsia="Arial"/>
                <w:b/>
                <w:color w:val="4472C4"/>
              </w:rPr>
              <w:t>]</w:t>
            </w:r>
            <w:r w:rsidRPr="007C60AF">
              <w:rPr>
                <w:rFonts w:eastAsia="Arial"/>
                <w:color w:val="4472C4"/>
              </w:rPr>
              <w:t>.</w:t>
            </w:r>
          </w:p>
          <w:p w14:paraId="0000052B" w14:textId="77777777"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Because the quotes that the Applicants received are in the form of bids and offers, the Applicants have made an adjustment based on whether it is a bid or an offer in column G. </w:t>
            </w:r>
          </w:p>
          <w:p w14:paraId="0000052C" w14:textId="6B8953EA"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Some of the bids/offers received were on FOB level and some of them were on CIF level, so they were brought to the same level by adjusting them for freight. </w:t>
            </w:r>
            <w:sdt>
              <w:sdtPr>
                <w:rPr>
                  <w:rFonts w:eastAsia="Arial"/>
                  <w:color w:val="4472C4"/>
                </w:rPr>
                <w:tag w:val="goog_rdk_121"/>
                <w:id w:val="-250507527"/>
              </w:sdtPr>
              <w:sdtEndPr>
                <w:rPr>
                  <w:rFonts w:eastAsia="SimSun"/>
                  <w:color w:val="auto"/>
                </w:rPr>
              </w:sdtEndPr>
              <w:sdtContent>
                <w:r w:rsidRPr="007C60AF">
                  <w:rPr>
                    <w:rFonts w:eastAsia="Arial"/>
                    <w:color w:val="4472C4"/>
                  </w:rPr>
                  <w:t xml:space="preserve">To adjust to FOB level, the Applicants subtracted </w:t>
                </w:r>
                <w:r w:rsidR="00A267E4" w:rsidRPr="007C60AF">
                  <w:rPr>
                    <w:rFonts w:eastAsia="Arial"/>
                    <w:b/>
                    <w:bCs/>
                    <w:color w:val="4472C4"/>
                  </w:rPr>
                  <w:t>[0-</w:t>
                </w:r>
                <w:r w:rsidR="00512ED4" w:rsidRPr="007C60AF">
                  <w:rPr>
                    <w:rFonts w:eastAsia="Arial"/>
                    <w:b/>
                    <w:bCs/>
                    <w:color w:val="4472C4"/>
                  </w:rPr>
                  <w:t>2</w:t>
                </w:r>
                <w:r w:rsidR="00A267E4" w:rsidRPr="007C60AF">
                  <w:rPr>
                    <w:rFonts w:eastAsia="Arial"/>
                    <w:b/>
                    <w:bCs/>
                    <w:color w:val="4472C4"/>
                  </w:rPr>
                  <w:t>5</w:t>
                </w:r>
                <w:r w:rsidRPr="007C60AF">
                  <w:rPr>
                    <w:rFonts w:eastAsia="Arial"/>
                    <w:b/>
                    <w:bCs/>
                    <w:color w:val="4472C4"/>
                  </w:rPr>
                  <w:t>]</w:t>
                </w:r>
                <w:r w:rsidRPr="007C60AF">
                  <w:rPr>
                    <w:rFonts w:eastAsia="Arial"/>
                    <w:color w:val="4472C4"/>
                  </w:rPr>
                  <w:t xml:space="preserve"> USD/cbm (column H) for shipping cost between ARA and the UK, to arrive at the FOB level in column I. A </w:t>
                </w:r>
                <w:r w:rsidR="00A267E4" w:rsidRPr="007C60AF">
                  <w:rPr>
                    <w:rFonts w:eastAsia="Arial"/>
                    <w:b/>
                    <w:bCs/>
                    <w:color w:val="4472C4"/>
                  </w:rPr>
                  <w:t>[25-50]</w:t>
                </w:r>
                <w:r w:rsidRPr="007C60AF">
                  <w:rPr>
                    <w:rFonts w:eastAsia="Arial"/>
                    <w:color w:val="4472C4"/>
                  </w:rPr>
                  <w:t xml:space="preserve"> USD/cbm adjustment was applied to FOB USGC quotes</w:t>
                </w:r>
              </w:sdtContent>
            </w:sdt>
          </w:p>
          <w:p w14:paraId="0000052D" w14:textId="77777777"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resulting UK HVO outright price FOB ARA in column J is therefore a sum of the gasoil price USD/cbm in column E and final premium FOB ARA in column I. </w:t>
            </w:r>
          </w:p>
          <w:p w14:paraId="0000052E" w14:textId="5569C6D0"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shipping cost from USGC to </w:t>
            </w:r>
            <w:r w:rsidR="00512ED4" w:rsidRPr="007C60AF">
              <w:rPr>
                <w:rFonts w:eastAsia="Arial"/>
                <w:color w:val="4472C4"/>
              </w:rPr>
              <w:t>ARA</w:t>
            </w:r>
            <w:r w:rsidRPr="007C60AF">
              <w:rPr>
                <w:rFonts w:eastAsia="Arial"/>
                <w:color w:val="4472C4"/>
              </w:rPr>
              <w:t xml:space="preserve"> in the amount of</w:t>
            </w:r>
            <w:sdt>
              <w:sdtPr>
                <w:tag w:val="goog_rdk_124"/>
                <w:id w:val="-796062991"/>
              </w:sdtPr>
              <w:sdtContent>
                <w:r w:rsidRPr="007C60AF">
                  <w:rPr>
                    <w:rFonts w:eastAsia="Arial"/>
                    <w:color w:val="4472C4"/>
                  </w:rPr>
                  <w:t xml:space="preserve"> </w:t>
                </w:r>
                <w:r w:rsidR="00512ED4" w:rsidRPr="007C60AF">
                  <w:rPr>
                    <w:rFonts w:eastAsia="Arial"/>
                    <w:b/>
                    <w:bCs/>
                    <w:color w:val="4472C4"/>
                  </w:rPr>
                  <w:t>[25-50]</w:t>
                </w:r>
                <w:r w:rsidRPr="007C60AF">
                  <w:rPr>
                    <w:rFonts w:eastAsia="Arial"/>
                    <w:color w:val="4472C4"/>
                  </w:rPr>
                  <w:t xml:space="preserve"> USD/cbm</w:t>
                </w:r>
              </w:sdtContent>
            </w:sdt>
            <w:r w:rsidRPr="007C60AF">
              <w:rPr>
                <w:rFonts w:eastAsia="Arial"/>
                <w:color w:val="4472C4"/>
              </w:rPr>
              <w:t xml:space="preserve"> </w:t>
            </w:r>
            <w:sdt>
              <w:sdtPr>
                <w:tag w:val="goog_rdk_125"/>
                <w:id w:val="1756474356"/>
              </w:sdtPr>
              <w:sdtContent>
                <w:sdt>
                  <w:sdtPr>
                    <w:tag w:val="goog_rdk_126"/>
                    <w:id w:val="422306605"/>
                  </w:sdtPr>
                  <w:sdtContent/>
                </w:sdt>
              </w:sdtContent>
            </w:sdt>
            <w:r w:rsidRPr="007C60AF">
              <w:rPr>
                <w:rFonts w:eastAsia="Arial"/>
                <w:color w:val="4472C4"/>
              </w:rPr>
              <w:t xml:space="preserve">(in column K) has been subtracted to arrive at the UK HVO outright price FOB USGC USD/cbm in column L. </w:t>
            </w:r>
          </w:p>
          <w:p w14:paraId="0000052F" w14:textId="26ECCDE9"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In turn, to calculate the UK HVO outright price CIF UK USD/cbm in column N, the Applicants have added</w:t>
            </w:r>
            <w:sdt>
              <w:sdtPr>
                <w:tag w:val="goog_rdk_127"/>
                <w:id w:val="464623787"/>
              </w:sdtPr>
              <w:sdtContent>
                <w:r w:rsidRPr="007C60AF">
                  <w:rPr>
                    <w:rFonts w:eastAsia="Arial"/>
                    <w:color w:val="4472C4"/>
                  </w:rPr>
                  <w:t xml:space="preserve"> </w:t>
                </w:r>
                <w:r w:rsidR="00512ED4" w:rsidRPr="007C60AF">
                  <w:rPr>
                    <w:rFonts w:eastAsia="Arial"/>
                    <w:b/>
                    <w:bCs/>
                    <w:color w:val="4472C4"/>
                  </w:rPr>
                  <w:t>[50-75]</w:t>
                </w:r>
                <w:r w:rsidRPr="007C60AF">
                  <w:rPr>
                    <w:rFonts w:eastAsia="Arial"/>
                    <w:color w:val="4472C4"/>
                  </w:rPr>
                  <w:t xml:space="preserve"> USD/cbm for freight cost (</w:t>
                </w:r>
                <w:r w:rsidR="00512ED4" w:rsidRPr="007C60AF">
                  <w:rPr>
                    <w:rFonts w:eastAsia="Arial"/>
                    <w:b/>
                    <w:bCs/>
                    <w:color w:val="4472C4"/>
                  </w:rPr>
                  <w:t>[25-50]</w:t>
                </w:r>
                <w:r w:rsidRPr="007C60AF">
                  <w:rPr>
                    <w:rFonts w:eastAsia="Arial"/>
                    <w:color w:val="4472C4"/>
                  </w:rPr>
                  <w:t xml:space="preserve"> USD/cbm from USGC to ARA and </w:t>
                </w:r>
                <w:r w:rsidR="00512ED4" w:rsidRPr="007C60AF">
                  <w:rPr>
                    <w:rFonts w:eastAsia="Arial"/>
                    <w:b/>
                    <w:bCs/>
                    <w:color w:val="4472C4"/>
                  </w:rPr>
                  <w:t>[0-25]</w:t>
                </w:r>
                <w:r w:rsidRPr="007C60AF">
                  <w:rPr>
                    <w:rFonts w:eastAsia="Arial"/>
                    <w:color w:val="4472C4"/>
                  </w:rPr>
                  <w:t xml:space="preserve"> USD/cbm from ARA to UK)</w:t>
                </w:r>
              </w:sdtContent>
            </w:sdt>
            <w:r w:rsidRPr="007C60AF">
              <w:rPr>
                <w:rFonts w:eastAsia="Arial"/>
                <w:color w:val="4472C4"/>
              </w:rPr>
              <w:t xml:space="preserve"> (in column M). </w:t>
            </w:r>
          </w:p>
          <w:p w14:paraId="00000530" w14:textId="77777777"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By way of clarification, column L and column N represent prices of HVO both delivered to the UK: one is </w:t>
            </w:r>
            <w:proofErr w:type="gramStart"/>
            <w:r w:rsidRPr="007C60AF">
              <w:rPr>
                <w:rFonts w:eastAsia="Arial"/>
                <w:color w:val="4472C4"/>
              </w:rPr>
              <w:t>FOB</w:t>
            </w:r>
            <w:proofErr w:type="gramEnd"/>
            <w:r w:rsidRPr="007C60AF">
              <w:rPr>
                <w:rFonts w:eastAsia="Arial"/>
                <w:color w:val="4472C4"/>
              </w:rPr>
              <w:t xml:space="preserve"> and one is CIF. Column J represents ARA pricing.</w:t>
            </w:r>
          </w:p>
          <w:p w14:paraId="0000053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left="720"/>
              <w:jc w:val="both"/>
              <w:rPr>
                <w:rFonts w:eastAsia="Arial"/>
                <w:color w:val="4472C4"/>
                <w:u w:val="single"/>
              </w:rPr>
            </w:pPr>
          </w:p>
          <w:p w14:paraId="00000532" w14:textId="77777777" w:rsidR="00416D85" w:rsidRPr="007C60AF" w:rsidRDefault="00130320">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 xml:space="preserve">US domestically produced and domestically sold HVO </w:t>
            </w:r>
          </w:p>
          <w:p w14:paraId="0000053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534"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The way that the US prices of HVO are structured for the purpose of price quotes is different than the way it is structured in the EU and in the UK. The first element of the constructed price is the same – meaning the price of fossil diesel. This differs from state to state. For example, there is a specific type of diesel used only in California, so it trades under its own quotation. The second element represents possible additional costs that states impose on fossil fuels that need to be covered by the price. In California, this is the cap-and-trade and the LCFS (Low Carbon Fuel Standard) deficit costs. The third element consists of the three different types of credits that US HVO producers/blenders receive: RINs (Renewable Identification Numbers), LCFS and BTC (Blender's Tax Credit). </w:t>
            </w:r>
          </w:p>
          <w:p w14:paraId="0000053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36"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To the best of the Applicants knowledge, representative prices of domestic US HVO are California prices, for two reasons: (i) the majority of domestic US HVO is sold in California, where the revenue stack and therefore the profit for the producers is the highest; and (ii) the level of renewable fuels in the overall fuel consumption in California is above 50%, which is unprecedented on a global level. </w:t>
            </w:r>
          </w:p>
          <w:p w14:paraId="0000053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38"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Because of the way the Blender's Tax Credit operates, the US HVO producers blend minimal amounts of HVO with fossil diesel to obtain the BTC. This is why, technically the HVO sold in California is around 99.9% HVO – only a minimal amount of fossil diesel is blended to the R100 diesel to collect the BTC.</w:t>
            </w:r>
            <w:r w:rsidRPr="007C60AF">
              <w:rPr>
                <w:rFonts w:eastAsia="Arial"/>
                <w:color w:val="4472C4"/>
                <w:vertAlign w:val="superscript"/>
              </w:rPr>
              <w:footnoteReference w:id="127"/>
            </w:r>
            <w:r w:rsidRPr="007C60AF">
              <w:rPr>
                <w:rFonts w:eastAsia="Arial"/>
                <w:color w:val="4472C4"/>
              </w:rPr>
              <w:t xml:space="preserve"> For the sake of analysis, the Applicants have assumed that there is no real difference between R99 and R100, and so the Applicants have used the R100 quote as such as the price of R99. </w:t>
            </w:r>
          </w:p>
          <w:p w14:paraId="00000539"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53A" w14:textId="78328AC4"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Merchant Marine Act of 1920, better known as the Jones Act, regulates domestic shipping in the US and has a variety of requirements, which makes shipping within the US generally more expensive than internationally.</w:t>
            </w:r>
            <w:r w:rsidRPr="007C60AF">
              <w:rPr>
                <w:rFonts w:eastAsia="Arial"/>
                <w:color w:val="4472C4"/>
                <w:vertAlign w:val="superscript"/>
              </w:rPr>
              <w:footnoteReference w:id="128"/>
            </w:r>
            <w:r w:rsidR="00731439" w:rsidRPr="007C60AF">
              <w:rPr>
                <w:rFonts w:eastAsia="Arial"/>
                <w:color w:val="4472C4"/>
              </w:rPr>
              <w:t xml:space="preserve"> </w:t>
            </w:r>
            <w:r w:rsidR="00714A55" w:rsidRPr="007C60AF">
              <w:rPr>
                <w:rFonts w:eastAsia="Arial"/>
                <w:b/>
                <w:bCs/>
                <w:color w:val="4472C4"/>
              </w:rPr>
              <w:t xml:space="preserve">[SENSITIVE </w:t>
            </w:r>
            <w:r w:rsidR="00357808" w:rsidRPr="007C60AF">
              <w:rPr>
                <w:rFonts w:eastAsia="Arial"/>
                <w:b/>
                <w:bCs/>
                <w:color w:val="4472C4"/>
              </w:rPr>
              <w:t xml:space="preserve">COMMERCIAL </w:t>
            </w:r>
            <w:r w:rsidR="00714A55" w:rsidRPr="007C60AF">
              <w:rPr>
                <w:rFonts w:eastAsia="Arial"/>
                <w:b/>
                <w:bCs/>
                <w:color w:val="4472C4"/>
              </w:rPr>
              <w:t xml:space="preserve">INFORMATION </w:t>
            </w:r>
            <w:r w:rsidR="00357808" w:rsidRPr="007C60AF">
              <w:rPr>
                <w:rFonts w:eastAsia="Arial"/>
                <w:b/>
                <w:bCs/>
                <w:color w:val="4472C4"/>
              </w:rPr>
              <w:t xml:space="preserve">OBTAINED FROM MARKET INTELLIGENCE </w:t>
            </w:r>
            <w:r w:rsidR="00714A55" w:rsidRPr="007C60AF">
              <w:rPr>
                <w:rFonts w:eastAsia="Arial"/>
                <w:b/>
                <w:bCs/>
                <w:color w:val="4472C4"/>
              </w:rPr>
              <w:t>CONCERNING DETAILS OF FIXED TIME CONTRACTS FOR INTERNATIONAL SHIPMENTS].</w:t>
            </w:r>
          </w:p>
          <w:p w14:paraId="0000053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3C"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b/>
                <w:color w:val="4472C4"/>
              </w:rPr>
            </w:pPr>
            <w:r w:rsidRPr="007C60AF">
              <w:rPr>
                <w:rFonts w:eastAsia="Arial"/>
                <w:color w:val="4472C4"/>
              </w:rPr>
              <w:lastRenderedPageBreak/>
              <w:t>Details of the calculations are as follows (</w:t>
            </w:r>
            <w:r w:rsidRPr="007C60AF">
              <w:rPr>
                <w:rFonts w:eastAsia="Arial"/>
                <w:i/>
                <w:color w:val="4472C4"/>
              </w:rPr>
              <w:t>see</w:t>
            </w:r>
            <w:r w:rsidRPr="007C60AF">
              <w:rPr>
                <w:rFonts w:eastAsia="Arial"/>
                <w:color w:val="4472C4"/>
              </w:rPr>
              <w:t xml:space="preserve"> tab 'CA Price HVO (US)' of Appendix E.2):</w:t>
            </w:r>
          </w:p>
          <w:p w14:paraId="0000053D" w14:textId="5311E15D" w:rsidR="00416D85" w:rsidRPr="007C60AF" w:rsidRDefault="00130320">
            <w:pPr>
              <w:numPr>
                <w:ilvl w:val="0"/>
                <w:numId w:val="71"/>
              </w:numPr>
              <w:pBdr>
                <w:top w:val="nil"/>
                <w:left w:val="nil"/>
                <w:bottom w:val="nil"/>
                <w:right w:val="nil"/>
                <w:between w:val="nil"/>
              </w:pBdr>
              <w:spacing w:before="240" w:after="0"/>
              <w:jc w:val="both"/>
              <w:rPr>
                <w:rFonts w:eastAsia="Arial"/>
                <w:color w:val="4472C4"/>
              </w:rPr>
            </w:pPr>
            <w:r w:rsidRPr="007C60AF">
              <w:rPr>
                <w:rFonts w:eastAsia="Arial"/>
                <w:color w:val="4472C4"/>
              </w:rPr>
              <w:t>As a basis for the calculation in column C,</w:t>
            </w:r>
            <w:r w:rsidR="00731439" w:rsidRPr="007C60AF">
              <w:rPr>
                <w:rFonts w:eastAsia="Arial"/>
                <w:color w:val="4472C4"/>
              </w:rPr>
              <w:t xml:space="preserve"> </w:t>
            </w:r>
            <w:r w:rsidR="00B1324B" w:rsidRPr="007C60AF">
              <w:rPr>
                <w:rFonts w:eastAsia="Arial"/>
                <w:bCs/>
                <w:color w:val="4472C4"/>
              </w:rPr>
              <w:t>Argus quotes</w:t>
            </w:r>
            <w:r w:rsidRPr="007C60AF">
              <w:rPr>
                <w:rFonts w:eastAsia="Arial"/>
                <w:color w:val="4472C4"/>
              </w:rPr>
              <w:t xml:space="preserve"> for California renewable diesel (i.e. HVO) R100 were taken into consideration. </w:t>
            </w:r>
          </w:p>
          <w:p w14:paraId="0000053E" w14:textId="7C789BBB" w:rsidR="00416D85" w:rsidRPr="007C60AF" w:rsidRDefault="00130320">
            <w:pPr>
              <w:numPr>
                <w:ilvl w:val="0"/>
                <w:numId w:val="71"/>
              </w:numPr>
              <w:pBdr>
                <w:top w:val="nil"/>
                <w:left w:val="nil"/>
                <w:bottom w:val="nil"/>
                <w:right w:val="nil"/>
                <w:between w:val="nil"/>
              </w:pBdr>
              <w:spacing w:before="240" w:after="0"/>
              <w:jc w:val="both"/>
              <w:rPr>
                <w:rFonts w:eastAsia="Arial"/>
                <w:color w:val="4472C4"/>
              </w:rPr>
            </w:pPr>
            <w:proofErr w:type="gramStart"/>
            <w:r w:rsidRPr="007C60AF">
              <w:rPr>
                <w:rFonts w:eastAsia="Arial"/>
                <w:color w:val="4472C4"/>
              </w:rPr>
              <w:t>In order to</w:t>
            </w:r>
            <w:proofErr w:type="gramEnd"/>
            <w:r w:rsidRPr="007C60AF">
              <w:rPr>
                <w:rFonts w:eastAsia="Arial"/>
                <w:color w:val="4472C4"/>
              </w:rPr>
              <w:t xml:space="preserve"> bring the CIF price to the FOB level for the correct comparison with the UK imported US HVO, the Applicants have subtracted the shipment cost of</w:t>
            </w:r>
            <w:sdt>
              <w:sdtPr>
                <w:tag w:val="goog_rdk_131"/>
                <w:id w:val="1933308676"/>
              </w:sdtPr>
              <w:sdtContent>
                <w:sdt>
                  <w:sdtPr>
                    <w:tag w:val="goog_rdk_132"/>
                    <w:id w:val="-2119822891"/>
                  </w:sdtPr>
                  <w:sdtContent/>
                </w:sdt>
                <w:r w:rsidRPr="007C60AF">
                  <w:rPr>
                    <w:rFonts w:eastAsia="Arial"/>
                    <w:color w:val="4472C4"/>
                  </w:rPr>
                  <w:t xml:space="preserve"> </w:t>
                </w:r>
                <w:r w:rsidR="00731439" w:rsidRPr="007C60AF">
                  <w:rPr>
                    <w:rFonts w:eastAsia="Arial"/>
                    <w:b/>
                    <w:bCs/>
                    <w:color w:val="4472C4"/>
                  </w:rPr>
                  <w:t>[50-75]</w:t>
                </w:r>
                <w:r w:rsidRPr="007C60AF">
                  <w:rPr>
                    <w:rFonts w:eastAsia="Arial"/>
                    <w:color w:val="4472C4"/>
                  </w:rPr>
                  <w:t xml:space="preserve"> USD/cbm</w:t>
                </w:r>
              </w:sdtContent>
            </w:sdt>
            <w:r w:rsidRPr="007C60AF">
              <w:rPr>
                <w:rFonts w:eastAsia="Arial"/>
                <w:color w:val="4472C4"/>
              </w:rPr>
              <w:t xml:space="preserve"> </w:t>
            </w:r>
            <w:sdt>
              <w:sdtPr>
                <w:tag w:val="goog_rdk_133"/>
                <w:id w:val="751324285"/>
              </w:sdtPr>
              <w:sdtContent>
                <w:sdt>
                  <w:sdtPr>
                    <w:tag w:val="goog_rdk_134"/>
                    <w:id w:val="-363133514"/>
                  </w:sdtPr>
                  <w:sdtContent/>
                </w:sdt>
              </w:sdtContent>
            </w:sdt>
            <w:r w:rsidRPr="007C60AF">
              <w:rPr>
                <w:rFonts w:eastAsia="Arial"/>
                <w:color w:val="4472C4"/>
              </w:rPr>
              <w:t xml:space="preserve">(average of rail and vessel shipment costs) from USGC to California in column D. </w:t>
            </w:r>
          </w:p>
          <w:p w14:paraId="0000053F" w14:textId="77777777" w:rsidR="00416D85" w:rsidRPr="007C60AF" w:rsidRDefault="00130320">
            <w:pPr>
              <w:numPr>
                <w:ilvl w:val="0"/>
                <w:numId w:val="71"/>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As a result of the above calculations, column E expresses California HVO outright price FOB USGC. </w:t>
            </w:r>
          </w:p>
          <w:p w14:paraId="00000540" w14:textId="77777777" w:rsidR="00416D85" w:rsidRPr="007C60AF" w:rsidRDefault="00416D85">
            <w:pPr>
              <w:spacing w:after="0"/>
              <w:jc w:val="both"/>
            </w:pPr>
          </w:p>
        </w:tc>
      </w:tr>
    </w:tbl>
    <w:p w14:paraId="00000541" w14:textId="77777777" w:rsidR="00416D85" w:rsidRPr="007C60AF" w:rsidRDefault="00416D85">
      <w:pPr>
        <w:ind w:left="284"/>
        <w:jc w:val="both"/>
      </w:pPr>
    </w:p>
    <w:p w14:paraId="00000542" w14:textId="77777777" w:rsidR="00416D85" w:rsidRPr="007C60AF" w:rsidRDefault="00416D85">
      <w:pPr>
        <w:ind w:left="284"/>
        <w:jc w:val="both"/>
      </w:pPr>
    </w:p>
    <w:p w14:paraId="000005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E.10. </w:t>
      </w:r>
      <w:r w:rsidRPr="007C60AF">
        <w:rPr>
          <w:rFonts w:eastAsia="Arial"/>
          <w:b/>
          <w:color w:val="000000"/>
          <w:sz w:val="28"/>
          <w:szCs w:val="28"/>
        </w:rPr>
        <w:t>Constructed Export Price</w:t>
      </w:r>
    </w:p>
    <w:p w14:paraId="00000544"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Calculate the constructed export price(s).  </w:t>
      </w:r>
    </w:p>
    <w:p w14:paraId="00000545"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You may need to adjust for any costs included in the selling price which relate to the movement of the goods to the UK. If you are using sales to the first independent buyer as a basis for constructing, establish the details of the first sale to an independent buyer in the UK and deduct taxes, costs, charges, expenses and profit margins to obtain an ex-works price in the country of origin. </w:t>
      </w:r>
    </w:p>
    <w:p w14:paraId="0000054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there are different models or types of product for the imported goods, please construct a price for each one. Provide each adjustment separately. If your starting point is a CIF value, you will only have to find and deduct costs incurred by the exporter in the country of export from CIF back to the ex-works level. </w:t>
      </w:r>
    </w:p>
    <w:p w14:paraId="00000547"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Provide evidence to show how you have calculated or estimated the export prices. Include all the evidence you have on the resale price of the imported goods in the UK. Provide the basis for the costs and profits subtracted from this selling price to bring it back to an ex-works level such as published industry mark-ups or publicly available freight rates and give evidence to support each cost adjustment.</w:t>
      </w:r>
    </w:p>
    <w:tbl>
      <w:tblPr>
        <w:tblStyle w:val="affff7"/>
        <w:tblW w:w="9016" w:type="dxa"/>
        <w:tblLayout w:type="fixed"/>
        <w:tblLook w:val="0400" w:firstRow="0" w:lastRow="0" w:firstColumn="0" w:lastColumn="0" w:noHBand="0" w:noVBand="1"/>
      </w:tblPr>
      <w:tblGrid>
        <w:gridCol w:w="9016"/>
      </w:tblGrid>
      <w:tr w:rsidR="00416D85" w:rsidRPr="007C60AF" w14:paraId="03DB6A0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48" w14:textId="77777777" w:rsidR="00416D85" w:rsidRPr="007C60AF" w:rsidRDefault="00130320">
            <w:pPr>
              <w:spacing w:after="0"/>
              <w:jc w:val="both"/>
              <w:rPr>
                <w:color w:val="4472C4"/>
              </w:rPr>
            </w:pPr>
            <w:r w:rsidRPr="007C60AF">
              <w:rPr>
                <w:color w:val="4472C4"/>
              </w:rPr>
              <w:t xml:space="preserve">Please see the response to question E.9. above. </w:t>
            </w:r>
          </w:p>
        </w:tc>
      </w:tr>
    </w:tbl>
    <w:p w14:paraId="00000549" w14:textId="77777777" w:rsidR="00416D85" w:rsidRPr="007C60AF" w:rsidRDefault="00416D85">
      <w:pPr>
        <w:pBdr>
          <w:top w:val="nil"/>
          <w:left w:val="nil"/>
          <w:bottom w:val="nil"/>
          <w:right w:val="nil"/>
          <w:between w:val="nil"/>
        </w:pBdr>
        <w:spacing w:after="0" w:line="276" w:lineRule="auto"/>
        <w:jc w:val="both"/>
      </w:pPr>
    </w:p>
    <w:p w14:paraId="0000054A"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bookmarkStart w:id="43" w:name="_heading=h.k9kyp5n5ufg3" w:colFirst="0" w:colLast="0"/>
      <w:bookmarkEnd w:id="43"/>
      <w:r w:rsidRPr="007C60AF">
        <w:rPr>
          <w:rFonts w:eastAsia="Arial"/>
          <w:b/>
          <w:color w:val="4472C4"/>
          <w:sz w:val="28"/>
          <w:szCs w:val="28"/>
        </w:rPr>
        <w:t xml:space="preserve">E.11. </w:t>
      </w:r>
      <w:r w:rsidRPr="007C60AF">
        <w:rPr>
          <w:rFonts w:eastAsia="Arial"/>
          <w:b/>
          <w:color w:val="000000"/>
          <w:sz w:val="28"/>
          <w:szCs w:val="28"/>
        </w:rPr>
        <w:t>Fair Comparison</w:t>
      </w:r>
    </w:p>
    <w:p w14:paraId="0000054B"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To achieve an appropriate price comparison, the export price and the normal value should be compared at a fair level, in terms of their basic physical and chemical characteristics and the terms and conditions of sale. To achieve this comparison, please adjust your calculations to account for any differences which affect price comparability. This means that the comparison should be made at the same level of trade (such as wholesale or retail), at ex-factory level (EXW), and where possible, at the same time.</w:t>
      </w:r>
    </w:p>
    <w:p w14:paraId="0000054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For certain types of adjustment, only the normal value may need to be adjusted. Sometimes both the normal value and export price will need to be adjusted. Use the table of adjustments below to check if the adjustment can be applied to export price or normal value or both. For more information, please consult our </w:t>
      </w:r>
      <w:hyperlink r:id="rId34" w:anchor="making-a-fair-comparison">
        <w:r w:rsidRPr="007C60AF">
          <w:rPr>
            <w:rFonts w:eastAsia="Arial"/>
            <w:color w:val="0563C1"/>
            <w:u w:val="single"/>
          </w:rPr>
          <w:t>fair comparison guidance</w:t>
        </w:r>
      </w:hyperlink>
      <w:r w:rsidRPr="007C60AF">
        <w:rPr>
          <w:rFonts w:eastAsia="Arial"/>
          <w:color w:val="000000"/>
        </w:rPr>
        <w:t xml:space="preserve">. </w:t>
      </w:r>
    </w:p>
    <w:tbl>
      <w:tblPr>
        <w:tblStyle w:val="affff8"/>
        <w:tblW w:w="5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134"/>
        <w:gridCol w:w="1134"/>
      </w:tblGrid>
      <w:tr w:rsidR="00416D85" w:rsidRPr="007C60AF" w14:paraId="137F6670" w14:textId="77777777">
        <w:trPr>
          <w:jc w:val="center"/>
        </w:trPr>
        <w:tc>
          <w:tcPr>
            <w:tcW w:w="3686" w:type="dxa"/>
            <w:shd w:val="clear" w:color="auto" w:fill="auto"/>
            <w:vAlign w:val="center"/>
          </w:tcPr>
          <w:p w14:paraId="0000054D" w14:textId="77777777" w:rsidR="00416D85" w:rsidRPr="007C60AF" w:rsidRDefault="00130320">
            <w:pPr>
              <w:widowControl w:val="0"/>
              <w:spacing w:line="276" w:lineRule="auto"/>
              <w:jc w:val="both"/>
              <w:rPr>
                <w:b/>
              </w:rPr>
            </w:pPr>
            <w:r w:rsidRPr="007C60AF">
              <w:rPr>
                <w:b/>
              </w:rPr>
              <w:t>Table of adjustments</w:t>
            </w:r>
          </w:p>
        </w:tc>
        <w:tc>
          <w:tcPr>
            <w:tcW w:w="1134" w:type="dxa"/>
            <w:tcBorders>
              <w:bottom w:val="single" w:sz="4" w:space="0" w:color="000000"/>
            </w:tcBorders>
            <w:shd w:val="clear" w:color="auto" w:fill="auto"/>
            <w:vAlign w:val="center"/>
          </w:tcPr>
          <w:p w14:paraId="0000054E" w14:textId="77777777" w:rsidR="00416D85" w:rsidRPr="007C60AF" w:rsidRDefault="00130320">
            <w:pPr>
              <w:widowControl w:val="0"/>
              <w:spacing w:line="276" w:lineRule="auto"/>
              <w:jc w:val="both"/>
              <w:rPr>
                <w:b/>
              </w:rPr>
            </w:pPr>
            <w:r w:rsidRPr="007C60AF">
              <w:rPr>
                <w:b/>
              </w:rPr>
              <w:t>Export Price</w:t>
            </w:r>
          </w:p>
        </w:tc>
        <w:tc>
          <w:tcPr>
            <w:tcW w:w="1134" w:type="dxa"/>
            <w:shd w:val="clear" w:color="auto" w:fill="auto"/>
            <w:vAlign w:val="center"/>
          </w:tcPr>
          <w:p w14:paraId="0000054F" w14:textId="77777777" w:rsidR="00416D85" w:rsidRPr="007C60AF" w:rsidRDefault="00130320">
            <w:pPr>
              <w:widowControl w:val="0"/>
              <w:spacing w:line="276" w:lineRule="auto"/>
              <w:jc w:val="both"/>
              <w:rPr>
                <w:b/>
              </w:rPr>
            </w:pPr>
            <w:r w:rsidRPr="007C60AF">
              <w:rPr>
                <w:b/>
              </w:rPr>
              <w:t>Normal Value</w:t>
            </w:r>
          </w:p>
        </w:tc>
      </w:tr>
      <w:tr w:rsidR="00416D85" w:rsidRPr="007C60AF" w14:paraId="19898CA3" w14:textId="77777777">
        <w:trPr>
          <w:jc w:val="center"/>
        </w:trPr>
        <w:tc>
          <w:tcPr>
            <w:tcW w:w="3686" w:type="dxa"/>
          </w:tcPr>
          <w:p w14:paraId="00000550"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Physical characteristics</w:t>
            </w:r>
          </w:p>
        </w:tc>
        <w:tc>
          <w:tcPr>
            <w:tcW w:w="1134" w:type="dxa"/>
            <w:shd w:val="clear" w:color="auto" w:fill="auto"/>
            <w:vAlign w:val="center"/>
          </w:tcPr>
          <w:p w14:paraId="00000551"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No</w:t>
            </w:r>
          </w:p>
        </w:tc>
        <w:tc>
          <w:tcPr>
            <w:tcW w:w="1134" w:type="dxa"/>
            <w:vAlign w:val="center"/>
          </w:tcPr>
          <w:p w14:paraId="00000552"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4CE51AA9" w14:textId="77777777">
        <w:trPr>
          <w:jc w:val="center"/>
        </w:trPr>
        <w:tc>
          <w:tcPr>
            <w:tcW w:w="3686" w:type="dxa"/>
          </w:tcPr>
          <w:p w14:paraId="00000553"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Import charges and indirect taxes</w:t>
            </w:r>
          </w:p>
        </w:tc>
        <w:tc>
          <w:tcPr>
            <w:tcW w:w="1134" w:type="dxa"/>
            <w:shd w:val="clear" w:color="auto" w:fill="auto"/>
            <w:vAlign w:val="center"/>
          </w:tcPr>
          <w:p w14:paraId="00000554"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No</w:t>
            </w:r>
          </w:p>
        </w:tc>
        <w:tc>
          <w:tcPr>
            <w:tcW w:w="1134" w:type="dxa"/>
            <w:vAlign w:val="center"/>
          </w:tcPr>
          <w:p w14:paraId="00000555"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0C3CB03F" w14:textId="77777777">
        <w:trPr>
          <w:jc w:val="center"/>
        </w:trPr>
        <w:tc>
          <w:tcPr>
            <w:tcW w:w="3686" w:type="dxa"/>
          </w:tcPr>
          <w:p w14:paraId="00000556"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Discounts, rebates, quantities</w:t>
            </w:r>
          </w:p>
        </w:tc>
        <w:tc>
          <w:tcPr>
            <w:tcW w:w="1134" w:type="dxa"/>
            <w:shd w:val="clear" w:color="auto" w:fill="auto"/>
            <w:vAlign w:val="center"/>
          </w:tcPr>
          <w:p w14:paraId="00000557"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58"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0F42151D" w14:textId="77777777">
        <w:trPr>
          <w:jc w:val="center"/>
        </w:trPr>
        <w:tc>
          <w:tcPr>
            <w:tcW w:w="3686" w:type="dxa"/>
          </w:tcPr>
          <w:p w14:paraId="00000559"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Level of trade</w:t>
            </w:r>
          </w:p>
        </w:tc>
        <w:tc>
          <w:tcPr>
            <w:tcW w:w="1134" w:type="dxa"/>
            <w:shd w:val="clear" w:color="auto" w:fill="auto"/>
            <w:vAlign w:val="center"/>
          </w:tcPr>
          <w:p w14:paraId="0000055A"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No</w:t>
            </w:r>
          </w:p>
        </w:tc>
        <w:tc>
          <w:tcPr>
            <w:tcW w:w="1134" w:type="dxa"/>
            <w:vAlign w:val="center"/>
          </w:tcPr>
          <w:p w14:paraId="0000055B"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7530C429" w14:textId="77777777">
        <w:trPr>
          <w:jc w:val="center"/>
        </w:trPr>
        <w:tc>
          <w:tcPr>
            <w:tcW w:w="3686" w:type="dxa"/>
          </w:tcPr>
          <w:p w14:paraId="0000055C"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Transport, insurance, handling</w:t>
            </w:r>
          </w:p>
        </w:tc>
        <w:tc>
          <w:tcPr>
            <w:tcW w:w="1134" w:type="dxa"/>
            <w:vAlign w:val="center"/>
          </w:tcPr>
          <w:p w14:paraId="0000055D"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5E"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6AE255CC" w14:textId="77777777">
        <w:trPr>
          <w:jc w:val="center"/>
        </w:trPr>
        <w:tc>
          <w:tcPr>
            <w:tcW w:w="3686" w:type="dxa"/>
          </w:tcPr>
          <w:p w14:paraId="0000055F"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Packing</w:t>
            </w:r>
          </w:p>
        </w:tc>
        <w:tc>
          <w:tcPr>
            <w:tcW w:w="1134" w:type="dxa"/>
            <w:vAlign w:val="center"/>
          </w:tcPr>
          <w:p w14:paraId="00000560"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1"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08026B86" w14:textId="77777777">
        <w:trPr>
          <w:jc w:val="center"/>
        </w:trPr>
        <w:tc>
          <w:tcPr>
            <w:tcW w:w="3686" w:type="dxa"/>
          </w:tcPr>
          <w:p w14:paraId="00000562"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Credit</w:t>
            </w:r>
          </w:p>
        </w:tc>
        <w:tc>
          <w:tcPr>
            <w:tcW w:w="1134" w:type="dxa"/>
            <w:vAlign w:val="center"/>
          </w:tcPr>
          <w:p w14:paraId="00000563"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4"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5FE3A342" w14:textId="77777777">
        <w:trPr>
          <w:jc w:val="center"/>
        </w:trPr>
        <w:tc>
          <w:tcPr>
            <w:tcW w:w="3686" w:type="dxa"/>
          </w:tcPr>
          <w:p w14:paraId="00000565"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After sales costs</w:t>
            </w:r>
          </w:p>
        </w:tc>
        <w:tc>
          <w:tcPr>
            <w:tcW w:w="1134" w:type="dxa"/>
            <w:vAlign w:val="center"/>
          </w:tcPr>
          <w:p w14:paraId="00000566"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7"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3AFB01EE" w14:textId="77777777">
        <w:trPr>
          <w:jc w:val="center"/>
        </w:trPr>
        <w:tc>
          <w:tcPr>
            <w:tcW w:w="3686" w:type="dxa"/>
          </w:tcPr>
          <w:p w14:paraId="00000568"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Commissions</w:t>
            </w:r>
          </w:p>
        </w:tc>
        <w:tc>
          <w:tcPr>
            <w:tcW w:w="1134" w:type="dxa"/>
            <w:vAlign w:val="center"/>
          </w:tcPr>
          <w:p w14:paraId="00000569"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A"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4A85D0F7" w14:textId="77777777">
        <w:trPr>
          <w:jc w:val="center"/>
        </w:trPr>
        <w:tc>
          <w:tcPr>
            <w:tcW w:w="3686" w:type="dxa"/>
          </w:tcPr>
          <w:p w14:paraId="0000056B"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Currency Conversion</w:t>
            </w:r>
          </w:p>
        </w:tc>
        <w:tc>
          <w:tcPr>
            <w:tcW w:w="1134" w:type="dxa"/>
            <w:vAlign w:val="center"/>
          </w:tcPr>
          <w:p w14:paraId="0000056C"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D"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bl>
    <w:p w14:paraId="0000056E" w14:textId="77777777" w:rsidR="00416D85" w:rsidRPr="007C60AF" w:rsidRDefault="00416D85">
      <w:pPr>
        <w:spacing w:after="0"/>
        <w:jc w:val="both"/>
      </w:pPr>
    </w:p>
    <w:p w14:paraId="0000056F" w14:textId="77777777" w:rsidR="00416D85" w:rsidRPr="007C60AF" w:rsidRDefault="00130320">
      <w:pPr>
        <w:numPr>
          <w:ilvl w:val="3"/>
          <w:numId w:val="9"/>
        </w:numPr>
        <w:pBdr>
          <w:top w:val="nil"/>
          <w:left w:val="nil"/>
          <w:bottom w:val="nil"/>
          <w:right w:val="nil"/>
          <w:between w:val="nil"/>
        </w:pBdr>
        <w:spacing w:before="120" w:line="276" w:lineRule="auto"/>
        <w:jc w:val="both"/>
      </w:pPr>
      <w:r w:rsidRPr="007C60AF">
        <w:rPr>
          <w:rFonts w:eastAsia="Arial"/>
          <w:color w:val="000000"/>
        </w:rPr>
        <w:t>Provide the relevant adjustments so you can compare the export price and normal value.</w:t>
      </w:r>
    </w:p>
    <w:tbl>
      <w:tblPr>
        <w:tblStyle w:val="affff9"/>
        <w:tblW w:w="9016" w:type="dxa"/>
        <w:tblLayout w:type="fixed"/>
        <w:tblLook w:val="0400" w:firstRow="0" w:lastRow="0" w:firstColumn="0" w:lastColumn="0" w:noHBand="0" w:noVBand="1"/>
      </w:tblPr>
      <w:tblGrid>
        <w:gridCol w:w="9016"/>
      </w:tblGrid>
      <w:tr w:rsidR="00416D85" w:rsidRPr="007C60AF" w14:paraId="0AAE74D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70" w14:textId="77777777" w:rsidR="00416D85" w:rsidRPr="007C60AF" w:rsidRDefault="00130320">
            <w:pPr>
              <w:spacing w:after="0"/>
              <w:jc w:val="both"/>
              <w:rPr>
                <w:color w:val="4472C4"/>
              </w:rPr>
            </w:pPr>
            <w:r w:rsidRPr="007C60AF">
              <w:rPr>
                <w:color w:val="4472C4"/>
              </w:rPr>
              <w:t xml:space="preserve">Please see the response to question E.9. above. We have not made any adjustments at this stage and have compared the prices at the same level of trade. </w:t>
            </w:r>
          </w:p>
        </w:tc>
      </w:tr>
    </w:tbl>
    <w:p w14:paraId="00000571"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572" w14:textId="77777777" w:rsidR="00416D85" w:rsidRPr="007C60AF" w:rsidRDefault="00130320">
      <w:pPr>
        <w:numPr>
          <w:ilvl w:val="3"/>
          <w:numId w:val="9"/>
        </w:numPr>
        <w:pBdr>
          <w:top w:val="nil"/>
          <w:left w:val="nil"/>
          <w:bottom w:val="nil"/>
          <w:right w:val="nil"/>
          <w:between w:val="nil"/>
        </w:pBdr>
        <w:spacing w:line="276" w:lineRule="auto"/>
        <w:jc w:val="both"/>
      </w:pPr>
      <w:r w:rsidRPr="007C60AF">
        <w:rPr>
          <w:rFonts w:eastAsia="Arial"/>
          <w:color w:val="000000"/>
        </w:rPr>
        <w:t>Provide, for all adjustments you make, the following:</w:t>
      </w:r>
    </w:p>
    <w:p w14:paraId="0000057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details of the differences that resulted in an </w:t>
      </w:r>
      <w:proofErr w:type="gramStart"/>
      <w:r w:rsidRPr="007C60AF">
        <w:rPr>
          <w:rFonts w:eastAsia="Arial"/>
          <w:color w:val="000000"/>
        </w:rPr>
        <w:t>adjustment;</w:t>
      </w:r>
      <w:proofErr w:type="gramEnd"/>
    </w:p>
    <w:p w14:paraId="0000057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details of how you produced the estimate of the allowances for the differences; and</w:t>
      </w:r>
    </w:p>
    <w:p w14:paraId="0000057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supporting evidence concerning these differences.</w:t>
      </w:r>
    </w:p>
    <w:p w14:paraId="00000576"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p>
    <w:tbl>
      <w:tblPr>
        <w:tblStyle w:val="affffa"/>
        <w:tblW w:w="9016" w:type="dxa"/>
        <w:tblLayout w:type="fixed"/>
        <w:tblLook w:val="0400" w:firstRow="0" w:lastRow="0" w:firstColumn="0" w:lastColumn="0" w:noHBand="0" w:noVBand="1"/>
      </w:tblPr>
      <w:tblGrid>
        <w:gridCol w:w="9016"/>
      </w:tblGrid>
      <w:tr w:rsidR="00416D85" w:rsidRPr="007C60AF" w14:paraId="61C51F2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77" w14:textId="77777777" w:rsidR="00416D85" w:rsidRPr="007C60AF" w:rsidRDefault="00130320">
            <w:pPr>
              <w:spacing w:after="0"/>
              <w:jc w:val="both"/>
            </w:pPr>
            <w:r w:rsidRPr="007C60AF">
              <w:rPr>
                <w:color w:val="4472C4"/>
              </w:rPr>
              <w:t xml:space="preserve">Please see the response to question E.9. above. </w:t>
            </w:r>
          </w:p>
        </w:tc>
      </w:tr>
    </w:tbl>
    <w:p w14:paraId="00000578"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p>
    <w:p w14:paraId="00000579"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lastRenderedPageBreak/>
        <w:t xml:space="preserve">E.12. </w:t>
      </w:r>
      <w:r w:rsidRPr="007C60AF">
        <w:rPr>
          <w:rFonts w:eastAsia="Arial"/>
          <w:b/>
          <w:color w:val="000000"/>
          <w:sz w:val="28"/>
          <w:szCs w:val="28"/>
        </w:rPr>
        <w:t>Dumping Margin</w:t>
      </w:r>
    </w:p>
    <w:p w14:paraId="0000057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the overall dumping margin calculated across all product types/models and across all transactions is </w:t>
      </w:r>
      <w:r w:rsidRPr="007C60AF">
        <w:rPr>
          <w:rFonts w:eastAsia="Arial"/>
          <w:b/>
          <w:color w:val="000000"/>
        </w:rPr>
        <w:t>less than 2%</w:t>
      </w:r>
      <w:r w:rsidRPr="007C60AF">
        <w:rPr>
          <w:rFonts w:eastAsia="Arial"/>
          <w:color w:val="000000"/>
        </w:rPr>
        <w:t xml:space="preserve">, the Regulations consider this to be minimal and we cannot initiate an investigation. </w:t>
      </w:r>
    </w:p>
    <w:p w14:paraId="0000057B" w14:textId="77777777" w:rsidR="00416D85" w:rsidRPr="007C60AF" w:rsidRDefault="00130320">
      <w:pPr>
        <w:numPr>
          <w:ilvl w:val="3"/>
          <w:numId w:val="8"/>
        </w:numPr>
        <w:pBdr>
          <w:top w:val="nil"/>
          <w:left w:val="nil"/>
          <w:bottom w:val="nil"/>
          <w:right w:val="nil"/>
          <w:between w:val="nil"/>
        </w:pBdr>
        <w:spacing w:before="120" w:line="276" w:lineRule="auto"/>
        <w:jc w:val="both"/>
      </w:pPr>
      <w:r w:rsidRPr="007C60AF">
        <w:rPr>
          <w:rFonts w:eastAsia="Arial"/>
          <w:color w:val="000000"/>
        </w:rPr>
        <w:t xml:space="preserve">Calculate the dumping margin. </w:t>
      </w:r>
      <w:r w:rsidRPr="007C60AF">
        <w:rPr>
          <w:rFonts w:eastAsia="Arial"/>
          <w:b/>
          <w:color w:val="000000"/>
        </w:rPr>
        <w:t>Complete Annex 7</w:t>
      </w:r>
      <w:r w:rsidRPr="007C60AF">
        <w:rPr>
          <w:rFonts w:eastAsia="Arial"/>
          <w:color w:val="000000"/>
        </w:rPr>
        <w:t>, repeating the calculation for each different model of the imported goods you have previously identified. Make sure you do this for each export price you have provided and for the normal value you have provided which is most closely comparable to that export price. If your complaint concerns more than one exporting country, calculate the dumping margin for each country.</w:t>
      </w:r>
    </w:p>
    <w:p w14:paraId="0000057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the normal value or the export price (or both) you have used was not an ex-works price, please describe the level of trade it relates to. </w:t>
      </w:r>
    </w:p>
    <w:tbl>
      <w:tblPr>
        <w:tblStyle w:val="affffb"/>
        <w:tblW w:w="9016" w:type="dxa"/>
        <w:tblLayout w:type="fixed"/>
        <w:tblLook w:val="0400" w:firstRow="0" w:lastRow="0" w:firstColumn="0" w:lastColumn="0" w:noHBand="0" w:noVBand="1"/>
      </w:tblPr>
      <w:tblGrid>
        <w:gridCol w:w="9016"/>
      </w:tblGrid>
      <w:tr w:rsidR="00416D85" w:rsidRPr="007C60AF" w14:paraId="62497DE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7D" w14:textId="77777777" w:rsidR="00416D85" w:rsidRPr="007C60AF" w:rsidRDefault="00130320">
            <w:pPr>
              <w:numPr>
                <w:ilvl w:val="6"/>
                <w:numId w:val="72"/>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To ensure a fair comparison is maintained, the Applicants have compared domestic US HVO prices to imported US HVO prices of the same date. </w:t>
            </w:r>
          </w:p>
          <w:p w14:paraId="0000057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7F" w14:textId="02E1FB16" w:rsidR="00416D85" w:rsidRPr="007C60AF" w:rsidRDefault="00130320">
            <w:pPr>
              <w:numPr>
                <w:ilvl w:val="6"/>
                <w:numId w:val="7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To calculate the dumping margin, the Applicants have compared the calculated prices of California HVO outright price FOB USGC to UK HVO outright price FOB USGC. The average dumping margin is </w:t>
            </w:r>
            <w:r w:rsidRPr="007C60AF">
              <w:rPr>
                <w:rFonts w:eastAsia="Arial"/>
                <w:b/>
                <w:color w:val="4472C4"/>
              </w:rPr>
              <w:t>[25</w:t>
            </w:r>
            <w:r w:rsidR="00032AA5" w:rsidRPr="007C60AF">
              <w:rPr>
                <w:rFonts w:eastAsia="Arial"/>
                <w:b/>
                <w:color w:val="4472C4"/>
              </w:rPr>
              <w:t>0</w:t>
            </w:r>
            <w:r w:rsidRPr="007C60AF">
              <w:rPr>
                <w:b/>
                <w:color w:val="4472C4"/>
              </w:rPr>
              <w:t>-</w:t>
            </w:r>
            <w:r w:rsidR="00032AA5" w:rsidRPr="007C60AF">
              <w:rPr>
                <w:b/>
                <w:color w:val="4472C4"/>
              </w:rPr>
              <w:t>500</w:t>
            </w:r>
            <w:r w:rsidRPr="007C60AF">
              <w:rPr>
                <w:rFonts w:eastAsia="Arial"/>
                <w:b/>
                <w:color w:val="4472C4"/>
              </w:rPr>
              <w:t>]</w:t>
            </w:r>
            <w:r w:rsidRPr="007C60AF">
              <w:rPr>
                <w:rFonts w:eastAsia="Arial"/>
                <w:color w:val="4472C4"/>
              </w:rPr>
              <w:t xml:space="preserve"> GBP/MT.</w:t>
            </w:r>
          </w:p>
          <w:p w14:paraId="0000058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81" w14:textId="77777777" w:rsidR="00416D85" w:rsidRPr="007C60AF" w:rsidRDefault="00130320">
            <w:pPr>
              <w:numPr>
                <w:ilvl w:val="6"/>
                <w:numId w:val="7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0000"/>
                <w:sz w:val="20"/>
                <w:szCs w:val="20"/>
              </w:rPr>
            </w:pPr>
            <w:r w:rsidRPr="007C60AF">
              <w:rPr>
                <w:rFonts w:eastAsia="Arial"/>
                <w:color w:val="4472C4"/>
              </w:rPr>
              <w:t xml:space="preserve">To calculate the level of dumping (%), the Applicants calculated the percentage of the dumping margin against UK HVO outright price CIF UK. The average level of dumping is </w:t>
            </w:r>
            <w:r w:rsidRPr="007C60AF">
              <w:rPr>
                <w:rFonts w:eastAsia="Arial"/>
                <w:b/>
                <w:color w:val="4472C4"/>
              </w:rPr>
              <w:t>[15-35]</w:t>
            </w:r>
            <w:r w:rsidRPr="007C60AF">
              <w:rPr>
                <w:rFonts w:eastAsia="Arial"/>
                <w:color w:val="4472C4"/>
              </w:rPr>
              <w:t>%.</w:t>
            </w:r>
            <w:r w:rsidRPr="007C60AF">
              <w:rPr>
                <w:rFonts w:eastAsia="Arial"/>
                <w:color w:val="4472C4"/>
                <w:sz w:val="20"/>
                <w:szCs w:val="20"/>
              </w:rPr>
              <w:t xml:space="preserve"> </w:t>
            </w:r>
          </w:p>
          <w:p w14:paraId="00000582" w14:textId="77777777" w:rsidR="00416D85" w:rsidRPr="007C60AF" w:rsidRDefault="00416D85">
            <w:pPr>
              <w:pBdr>
                <w:top w:val="nil"/>
                <w:left w:val="nil"/>
                <w:bottom w:val="nil"/>
                <w:right w:val="nil"/>
                <w:between w:val="nil"/>
              </w:pBdr>
              <w:spacing w:after="0" w:line="276" w:lineRule="auto"/>
              <w:ind w:left="567" w:hanging="567"/>
              <w:rPr>
                <w:rFonts w:eastAsia="Arial"/>
                <w:color w:val="000000"/>
                <w:sz w:val="20"/>
                <w:szCs w:val="20"/>
              </w:rPr>
            </w:pPr>
          </w:p>
          <w:p w14:paraId="00000583" w14:textId="77777777" w:rsidR="00416D85" w:rsidRPr="007C60AF" w:rsidRDefault="00130320">
            <w:pPr>
              <w:numPr>
                <w:ilvl w:val="6"/>
                <w:numId w:val="72"/>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000000"/>
              </w:rPr>
            </w:pPr>
            <w:r w:rsidRPr="007C60AF">
              <w:rPr>
                <w:rFonts w:eastAsia="Arial"/>
                <w:color w:val="4472C4"/>
              </w:rPr>
              <w:t>Please refer to Appendix E.2 and Annex 7 in Appendix D.1 for the Applicants' calculations.</w:t>
            </w:r>
          </w:p>
        </w:tc>
      </w:tr>
    </w:tbl>
    <w:p w14:paraId="00000584" w14:textId="77777777" w:rsidR="00416D85" w:rsidRPr="007C60AF" w:rsidRDefault="00130320">
      <w:pPr>
        <w:jc w:val="both"/>
        <w:rPr>
          <w:b/>
          <w:sz w:val="36"/>
          <w:szCs w:val="36"/>
        </w:rPr>
      </w:pPr>
      <w:r w:rsidRPr="007C60AF">
        <w:br w:type="page"/>
      </w:r>
    </w:p>
    <w:p w14:paraId="00000585"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44" w:name="_heading=h.r9b3vv34t7w2" w:colFirst="0" w:colLast="0"/>
      <w:bookmarkEnd w:id="44"/>
      <w:r w:rsidRPr="007C60AF">
        <w:rPr>
          <w:rFonts w:eastAsia="Arial"/>
          <w:b/>
          <w:color w:val="4472C4"/>
          <w:sz w:val="36"/>
          <w:szCs w:val="36"/>
        </w:rPr>
        <w:lastRenderedPageBreak/>
        <w:t xml:space="preserve">SECTION F: </w:t>
      </w:r>
      <w:r w:rsidRPr="007C60AF">
        <w:rPr>
          <w:rFonts w:eastAsia="Arial"/>
          <w:b/>
          <w:color w:val="000000"/>
          <w:sz w:val="36"/>
          <w:szCs w:val="36"/>
        </w:rPr>
        <w:t>Subsidised imports</w:t>
      </w:r>
    </w:p>
    <w:p w14:paraId="0000058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Complete this section if you are making an application for a subsidy investigation.  </w:t>
      </w:r>
    </w:p>
    <w:p w14:paraId="00000587" w14:textId="77777777" w:rsidR="00416D85" w:rsidRPr="007C60AF" w:rsidRDefault="00130320">
      <w:pPr>
        <w:pBdr>
          <w:top w:val="nil"/>
          <w:left w:val="nil"/>
          <w:bottom w:val="nil"/>
          <w:right w:val="nil"/>
          <w:between w:val="nil"/>
        </w:pBdr>
        <w:spacing w:before="120" w:line="276" w:lineRule="auto"/>
        <w:jc w:val="both"/>
        <w:rPr>
          <w:rFonts w:eastAsia="Arial"/>
          <w:color w:val="000000"/>
        </w:rPr>
      </w:pPr>
      <w:proofErr w:type="gramStart"/>
      <w:r w:rsidRPr="007C60AF">
        <w:rPr>
          <w:rFonts w:eastAsia="Arial"/>
          <w:color w:val="000000"/>
        </w:rPr>
        <w:t>In order for</w:t>
      </w:r>
      <w:proofErr w:type="gramEnd"/>
      <w:r w:rsidRPr="007C60AF">
        <w:rPr>
          <w:rFonts w:eastAsia="Arial"/>
          <w:color w:val="000000"/>
        </w:rPr>
        <w:t xml:space="preserve"> us to investigate whether the goods are subsidised, we must be satisfied that the application contains enough evidence:</w:t>
      </w:r>
    </w:p>
    <w:p w14:paraId="0000058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that the goods are being imported</w:t>
      </w:r>
    </w:p>
    <w:p w14:paraId="0000058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that the goods are subsidised</w:t>
      </w:r>
    </w:p>
    <w:p w14:paraId="0000058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that the goods are causing injury to UK industry</w:t>
      </w:r>
    </w:p>
    <w:p w14:paraId="0000058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that the volume of goods and injury is more than </w:t>
      </w:r>
      <w:proofErr w:type="gramStart"/>
      <w:r w:rsidRPr="007C60AF">
        <w:rPr>
          <w:rFonts w:eastAsia="Arial"/>
          <w:color w:val="000000"/>
        </w:rPr>
        <w:t>negligible</w:t>
      </w:r>
      <w:proofErr w:type="gramEnd"/>
      <w:r w:rsidRPr="007C60AF">
        <w:rPr>
          <w:rFonts w:eastAsia="Arial"/>
          <w:color w:val="000000"/>
        </w:rPr>
        <w:t xml:space="preserve"> and the amount of subsidy is more than minimal</w:t>
      </w:r>
    </w:p>
    <w:p w14:paraId="0000058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that the market share is met or waived.</w:t>
      </w:r>
    </w:p>
    <w:p w14:paraId="0000058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‘Minimal’, for developed countries, means a subsidy amount that is less than 1% of the estimated value of the goods (2% in the case of a developing country).</w:t>
      </w:r>
    </w:p>
    <w:p w14:paraId="0000058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‘Negligible’ is where the exporting country accounts for less than 3% of imports of the goods in question into the UK (less than 4% in the case of a developing country). The other exception to this is where the exporting countries individually account for less than 3%, but collectively account for more than 7% of imports of the goods being imported.</w:t>
      </w:r>
    </w:p>
    <w:p w14:paraId="0000058F"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F.1. </w:t>
      </w:r>
      <w:r w:rsidRPr="007C60AF">
        <w:rPr>
          <w:rFonts w:eastAsia="Arial"/>
          <w:b/>
          <w:color w:val="000000"/>
          <w:sz w:val="28"/>
          <w:szCs w:val="28"/>
        </w:rPr>
        <w:t>Volume of subsidised imports</w:t>
      </w:r>
    </w:p>
    <w:p w14:paraId="00000590" w14:textId="77777777" w:rsidR="00416D85" w:rsidRPr="007C60AF" w:rsidRDefault="00130320">
      <w:pPr>
        <w:numPr>
          <w:ilvl w:val="3"/>
          <w:numId w:val="10"/>
        </w:numPr>
        <w:pBdr>
          <w:top w:val="nil"/>
          <w:left w:val="nil"/>
          <w:bottom w:val="nil"/>
          <w:right w:val="nil"/>
          <w:between w:val="nil"/>
        </w:pBdr>
        <w:spacing w:before="120" w:line="276" w:lineRule="auto"/>
        <w:jc w:val="both"/>
      </w:pPr>
      <w:r w:rsidRPr="007C60AF">
        <w:rPr>
          <w:rFonts w:eastAsia="Arial"/>
          <w:color w:val="000000"/>
        </w:rPr>
        <w:t>List all countries (or territories) that export the goods to the UK, noting whether they are the country of origin or just the exporting country; in the latter case, please provide the identity of the country of origin.</w:t>
      </w:r>
    </w:p>
    <w:tbl>
      <w:tblPr>
        <w:tblStyle w:val="affffc"/>
        <w:tblW w:w="9016" w:type="dxa"/>
        <w:tblLayout w:type="fixed"/>
        <w:tblLook w:val="0400" w:firstRow="0" w:lastRow="0" w:firstColumn="0" w:lastColumn="0" w:noHBand="0" w:noVBand="1"/>
      </w:tblPr>
      <w:tblGrid>
        <w:gridCol w:w="9016"/>
      </w:tblGrid>
      <w:tr w:rsidR="00416D85" w:rsidRPr="007C60AF" w14:paraId="386FD31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91" w14:textId="77777777" w:rsidR="00416D85" w:rsidRPr="007C60AF" w:rsidRDefault="00130320">
            <w:pPr>
              <w:pBdr>
                <w:top w:val="nil"/>
                <w:left w:val="nil"/>
                <w:bottom w:val="nil"/>
                <w:right w:val="nil"/>
                <w:between w:val="nil"/>
              </w:pBdr>
              <w:spacing w:after="0" w:line="276" w:lineRule="auto"/>
              <w:jc w:val="both"/>
              <w:rPr>
                <w:color w:val="4472C4"/>
              </w:rPr>
            </w:pPr>
            <w:r w:rsidRPr="007C60AF">
              <w:rPr>
                <w:color w:val="4472C4"/>
              </w:rPr>
              <w:t>Please refer to the response to question E.1.1. above.</w:t>
            </w:r>
          </w:p>
        </w:tc>
      </w:tr>
    </w:tbl>
    <w:p w14:paraId="00000592" w14:textId="77777777" w:rsidR="00416D85" w:rsidRPr="007C60AF" w:rsidRDefault="00416D85">
      <w:pPr>
        <w:widowControl w:val="0"/>
        <w:pBdr>
          <w:top w:val="nil"/>
          <w:left w:val="nil"/>
          <w:bottom w:val="nil"/>
          <w:right w:val="nil"/>
          <w:between w:val="nil"/>
        </w:pBdr>
        <w:spacing w:after="0" w:line="276" w:lineRule="auto"/>
        <w:rPr>
          <w:color w:val="4472C4"/>
        </w:rPr>
      </w:pPr>
    </w:p>
    <w:tbl>
      <w:tblPr>
        <w:tblStyle w:val="afff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35031BB0" w14:textId="77777777">
        <w:tc>
          <w:tcPr>
            <w:tcW w:w="4508" w:type="dxa"/>
            <w:tcBorders>
              <w:top w:val="single" w:sz="4" w:space="0" w:color="FFFFFF"/>
              <w:left w:val="nil"/>
              <w:bottom w:val="nil"/>
              <w:right w:val="single" w:sz="4" w:space="0" w:color="000000"/>
            </w:tcBorders>
          </w:tcPr>
          <w:p w14:paraId="00000593" w14:textId="77777777" w:rsidR="00416D85" w:rsidRPr="007C60AF" w:rsidRDefault="00416D85">
            <w:pPr>
              <w:jc w:val="both"/>
            </w:pPr>
          </w:p>
        </w:tc>
        <w:tc>
          <w:tcPr>
            <w:tcW w:w="4508" w:type="dxa"/>
            <w:tcBorders>
              <w:left w:val="single" w:sz="4" w:space="0" w:color="000000"/>
            </w:tcBorders>
          </w:tcPr>
          <w:p w14:paraId="00000594" w14:textId="77777777" w:rsidR="00416D85" w:rsidRPr="007C60AF" w:rsidRDefault="00130320">
            <w:pPr>
              <w:jc w:val="both"/>
            </w:pPr>
            <w:r w:rsidRPr="007C60AF">
              <w:t xml:space="preserve">Appendix reference: </w:t>
            </w:r>
            <w:r w:rsidRPr="007C60AF">
              <w:rPr>
                <w:color w:val="4472C4"/>
              </w:rPr>
              <w:t>N/A</w:t>
            </w:r>
          </w:p>
        </w:tc>
      </w:tr>
    </w:tbl>
    <w:p w14:paraId="00000595" w14:textId="77777777" w:rsidR="00416D85" w:rsidRPr="007C60AF" w:rsidRDefault="00416D85">
      <w:pPr>
        <w:pBdr>
          <w:top w:val="nil"/>
          <w:left w:val="nil"/>
          <w:bottom w:val="nil"/>
          <w:right w:val="nil"/>
          <w:between w:val="nil"/>
        </w:pBdr>
        <w:spacing w:before="120" w:line="276" w:lineRule="auto"/>
        <w:jc w:val="both"/>
        <w:rPr>
          <w:rFonts w:eastAsia="Arial"/>
          <w:color w:val="000000"/>
        </w:rPr>
      </w:pPr>
    </w:p>
    <w:p w14:paraId="00000596" w14:textId="77777777" w:rsidR="00416D85" w:rsidRPr="007C60AF" w:rsidRDefault="00130320">
      <w:pPr>
        <w:numPr>
          <w:ilvl w:val="3"/>
          <w:numId w:val="10"/>
        </w:numPr>
        <w:pBdr>
          <w:top w:val="nil"/>
          <w:left w:val="nil"/>
          <w:bottom w:val="nil"/>
          <w:right w:val="nil"/>
          <w:between w:val="nil"/>
        </w:pBdr>
        <w:spacing w:before="120" w:line="276" w:lineRule="auto"/>
        <w:jc w:val="both"/>
      </w:pPr>
      <w:r w:rsidRPr="007C60AF">
        <w:rPr>
          <w:rFonts w:eastAsia="Arial"/>
          <w:b/>
          <w:color w:val="000000"/>
        </w:rPr>
        <w:t>Complete the Annex 2</w:t>
      </w:r>
      <w:r w:rsidRPr="007C60AF">
        <w:rPr>
          <w:rFonts w:eastAsia="Arial"/>
          <w:color w:val="000000"/>
        </w:rPr>
        <w:t>, giving the volume and value of the imported goods for the POI, to demonstrate percentage of total imports.</w:t>
      </w:r>
    </w:p>
    <w:p w14:paraId="00000597" w14:textId="77777777" w:rsidR="00416D85" w:rsidRPr="007C60AF" w:rsidRDefault="00416D85">
      <w:pPr>
        <w:pBdr>
          <w:top w:val="nil"/>
          <w:left w:val="nil"/>
          <w:bottom w:val="nil"/>
          <w:right w:val="nil"/>
          <w:between w:val="nil"/>
        </w:pBdr>
        <w:spacing w:after="0" w:line="276" w:lineRule="auto"/>
        <w:jc w:val="both"/>
        <w:rPr>
          <w:color w:val="000000"/>
        </w:rPr>
      </w:pPr>
    </w:p>
    <w:p w14:paraId="00000598" w14:textId="77777777" w:rsidR="00416D85" w:rsidRPr="007C60AF" w:rsidRDefault="00130320">
      <w:pPr>
        <w:numPr>
          <w:ilvl w:val="3"/>
          <w:numId w:val="10"/>
        </w:numPr>
        <w:pBdr>
          <w:top w:val="nil"/>
          <w:left w:val="nil"/>
          <w:bottom w:val="nil"/>
          <w:right w:val="nil"/>
          <w:between w:val="nil"/>
        </w:pBdr>
        <w:spacing w:before="120" w:line="276" w:lineRule="auto"/>
        <w:jc w:val="both"/>
      </w:pPr>
      <w:r w:rsidRPr="007C60AF">
        <w:rPr>
          <w:rFonts w:eastAsia="Arial"/>
          <w:color w:val="000000"/>
        </w:rPr>
        <w:t xml:space="preserve">Provide details and evidence of how the volume and value of subsidised imports have been calculated. </w:t>
      </w:r>
    </w:p>
    <w:tbl>
      <w:tblPr>
        <w:tblStyle w:val="affffe"/>
        <w:tblW w:w="9016" w:type="dxa"/>
        <w:tblLayout w:type="fixed"/>
        <w:tblLook w:val="0400" w:firstRow="0" w:lastRow="0" w:firstColumn="0" w:lastColumn="0" w:noHBand="0" w:noVBand="1"/>
      </w:tblPr>
      <w:tblGrid>
        <w:gridCol w:w="9016"/>
      </w:tblGrid>
      <w:tr w:rsidR="00416D85" w:rsidRPr="007C60AF" w14:paraId="5349F71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99" w14:textId="77777777" w:rsidR="00416D85" w:rsidRPr="007C60AF" w:rsidRDefault="00130320">
            <w:pPr>
              <w:numPr>
                <w:ilvl w:val="6"/>
                <w:numId w:val="55"/>
              </w:numPr>
              <w:pBdr>
                <w:top w:val="nil"/>
                <w:left w:val="nil"/>
                <w:bottom w:val="nil"/>
                <w:right w:val="nil"/>
                <w:between w:val="nil"/>
              </w:pBdr>
              <w:spacing w:before="120" w:line="276" w:lineRule="auto"/>
              <w:jc w:val="both"/>
              <w:rPr>
                <w:rFonts w:eastAsia="Arial"/>
                <w:color w:val="4472C4"/>
              </w:rPr>
            </w:pPr>
            <w:r w:rsidRPr="007C60AF">
              <w:rPr>
                <w:rFonts w:eastAsia="Arial"/>
                <w:color w:val="4472C4"/>
              </w:rPr>
              <w:lastRenderedPageBreak/>
              <w:t xml:space="preserve">As explained in response to question E.1.3. above: </w:t>
            </w:r>
          </w:p>
          <w:p w14:paraId="0000059A" w14:textId="77777777" w:rsidR="00416D85" w:rsidRPr="007C60AF" w:rsidRDefault="00130320">
            <w:pPr>
              <w:numPr>
                <w:ilvl w:val="0"/>
                <w:numId w:val="5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Given that the UK Trade Info website shows data at the 8-digit level and considering that the commodity codes under which HVO imports can be declared apply not only to neat but also blended HVO and FAME, it is not possible to isolate the exact volume of HVO imports from the US using that database. </w:t>
            </w:r>
          </w:p>
          <w:p w14:paraId="0000059B" w14:textId="77777777" w:rsidR="00416D85" w:rsidRPr="007C60AF" w:rsidRDefault="00130320">
            <w:pPr>
              <w:numPr>
                <w:ilvl w:val="0"/>
                <w:numId w:val="5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In addition, because the RTFO statistics are based on the origin of the feedstock, this dataset cannot be used as a source of the volume of imports of US HVO either. </w:t>
            </w:r>
          </w:p>
          <w:p w14:paraId="0000059C" w14:textId="77777777" w:rsidR="00416D85" w:rsidRPr="007C60AF" w:rsidRDefault="00130320">
            <w:pPr>
              <w:numPr>
                <w:ilvl w:val="0"/>
                <w:numId w:val="5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Thus, </w:t>
            </w:r>
            <w:proofErr w:type="gramStart"/>
            <w:r w:rsidRPr="007C60AF">
              <w:rPr>
                <w:rFonts w:eastAsia="Arial"/>
                <w:color w:val="4472C4"/>
              </w:rPr>
              <w:t>in order to</w:t>
            </w:r>
            <w:proofErr w:type="gramEnd"/>
            <w:r w:rsidRPr="007C60AF">
              <w:rPr>
                <w:rFonts w:eastAsia="Arial"/>
                <w:color w:val="4472C4"/>
              </w:rPr>
              <w:t xml:space="preserve"> calculate the volume of imports, the Applicants refer to data obtained from the </w:t>
            </w:r>
            <w:r w:rsidRPr="007C60AF">
              <w:rPr>
                <w:rFonts w:eastAsia="Arial"/>
                <w:b/>
                <w:color w:val="4472C4"/>
              </w:rPr>
              <w:t>[SENSITIVE – INFORMATION OBTAINED FROM A SUBSCRIPTION SERVICE]</w:t>
            </w:r>
            <w:r w:rsidRPr="007C60AF">
              <w:rPr>
                <w:rFonts w:eastAsia="Arial"/>
                <w:color w:val="4472C4"/>
              </w:rPr>
              <w:t xml:space="preserve">. </w:t>
            </w:r>
          </w:p>
          <w:p w14:paraId="0000059D"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59E" w14:textId="77777777" w:rsidR="00416D85" w:rsidRPr="007C60AF" w:rsidRDefault="00130320">
            <w:pPr>
              <w:numPr>
                <w:ilvl w:val="6"/>
                <w:numId w:val="55"/>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Please refer to the response to question E.1.3., Appendices E.1 and F.2 and Annex 2 in Appendix D.1 regarding the Applicants' calculations of volume and value of dumped and subsidised imports of US HVO. </w:t>
            </w:r>
          </w:p>
        </w:tc>
      </w:tr>
    </w:tbl>
    <w:p w14:paraId="0000059F"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f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57992A7C" w14:textId="77777777">
        <w:tc>
          <w:tcPr>
            <w:tcW w:w="4508" w:type="dxa"/>
            <w:tcBorders>
              <w:top w:val="single" w:sz="4" w:space="0" w:color="FFFFFF"/>
              <w:left w:val="nil"/>
              <w:bottom w:val="nil"/>
              <w:right w:val="single" w:sz="4" w:space="0" w:color="000000"/>
            </w:tcBorders>
          </w:tcPr>
          <w:p w14:paraId="000005A0" w14:textId="77777777" w:rsidR="00416D85" w:rsidRPr="007C60AF" w:rsidRDefault="00416D85">
            <w:pPr>
              <w:jc w:val="both"/>
            </w:pPr>
          </w:p>
        </w:tc>
        <w:tc>
          <w:tcPr>
            <w:tcW w:w="4508" w:type="dxa"/>
            <w:tcBorders>
              <w:left w:val="single" w:sz="4" w:space="0" w:color="000000"/>
            </w:tcBorders>
          </w:tcPr>
          <w:p w14:paraId="000005A1" w14:textId="77777777" w:rsidR="00416D85" w:rsidRPr="007C60AF" w:rsidRDefault="00130320">
            <w:pPr>
              <w:jc w:val="both"/>
            </w:pPr>
            <w:r w:rsidRPr="007C60AF">
              <w:t xml:space="preserve">Appendix reference: </w:t>
            </w:r>
            <w:r w:rsidRPr="007C60AF">
              <w:rPr>
                <w:color w:val="4472C4"/>
              </w:rPr>
              <w:t xml:space="preserve">D.1, E.1, F.2 </w:t>
            </w:r>
          </w:p>
        </w:tc>
      </w:tr>
    </w:tbl>
    <w:p w14:paraId="000005A2" w14:textId="77777777" w:rsidR="00416D85" w:rsidRPr="007C60AF" w:rsidRDefault="00416D85">
      <w:pPr>
        <w:pBdr>
          <w:top w:val="nil"/>
          <w:left w:val="nil"/>
          <w:bottom w:val="nil"/>
          <w:right w:val="nil"/>
          <w:between w:val="nil"/>
        </w:pBdr>
        <w:spacing w:after="0" w:line="276" w:lineRule="auto"/>
        <w:jc w:val="both"/>
        <w:rPr>
          <w:color w:val="000000"/>
        </w:rPr>
      </w:pPr>
    </w:p>
    <w:p w14:paraId="000005A3"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F.2. </w:t>
      </w:r>
      <w:r w:rsidRPr="007C60AF">
        <w:rPr>
          <w:rFonts w:eastAsia="Arial"/>
          <w:b/>
          <w:color w:val="000000"/>
          <w:sz w:val="28"/>
          <w:szCs w:val="28"/>
        </w:rPr>
        <w:t>Countervailable subsidies in the exporting country</w:t>
      </w:r>
    </w:p>
    <w:p w14:paraId="000005A4"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A subsidy exists if there is a financial contribution by a foreign authority which confers a benefit on the recipient (usually an industry or business manufacturing goods</w:t>
      </w:r>
      <w:proofErr w:type="gramStart"/>
      <w:r w:rsidRPr="007C60AF">
        <w:rPr>
          <w:rFonts w:eastAsia="Arial"/>
          <w:color w:val="000000"/>
        </w:rPr>
        <w:t>)</w:t>
      </w:r>
      <w:proofErr w:type="gramEnd"/>
      <w:r w:rsidRPr="007C60AF">
        <w:rPr>
          <w:rFonts w:eastAsia="Arial"/>
          <w:color w:val="000000"/>
        </w:rPr>
        <w:t xml:space="preserve"> or a form of income or price support received from a foreign authority which confers a benefit on the recipient. Forms of income and price support are defined in </w:t>
      </w:r>
      <w:hyperlink r:id="rId35">
        <w:r w:rsidRPr="007C60AF">
          <w:rPr>
            <w:rFonts w:eastAsia="Arial"/>
            <w:color w:val="0563C1"/>
            <w:u w:val="single"/>
          </w:rPr>
          <w:t>Article XVI of the General Agreement on Tariffs and Trade 1994</w:t>
        </w:r>
      </w:hyperlink>
      <w:r w:rsidRPr="007C60AF">
        <w:rPr>
          <w:rFonts w:eastAsia="Arial"/>
          <w:color w:val="000000"/>
        </w:rPr>
        <w:t xml:space="preserve"> (part of Annex 1A to the WTO Agreement).</w:t>
      </w:r>
    </w:p>
    <w:p w14:paraId="000005A5"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Not all subsidies are countervailable. A subsidy is countervailable if it is specific to certain companies or industries (rather than general) and when it is granted either directly or indirectly for the manufacture, production, export or transport of goods.</w:t>
      </w:r>
    </w:p>
    <w:p w14:paraId="000005A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Please refer to our guidance on </w:t>
      </w:r>
      <w:hyperlink r:id="rId36">
        <w:r w:rsidRPr="007C60AF">
          <w:rPr>
            <w:rFonts w:eastAsia="Arial"/>
            <w:color w:val="0563C1"/>
            <w:u w:val="single"/>
          </w:rPr>
          <w:t>How we carry out a subsidy investigation</w:t>
        </w:r>
      </w:hyperlink>
      <w:r w:rsidRPr="007C60AF">
        <w:rPr>
          <w:rFonts w:eastAsia="Arial"/>
          <w:color w:val="000000"/>
        </w:rPr>
        <w:t xml:space="preserve"> for further information.</w:t>
      </w:r>
    </w:p>
    <w:p w14:paraId="000005A7"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lastRenderedPageBreak/>
        <w:t>Using the table below, list all known countervailable subsidy programmes in the exporting country which relate to the production and/or sale of the goods you are asking us to investigate. Subsidy programmes can include, but are not limited to:</w:t>
      </w:r>
    </w:p>
    <w:p w14:paraId="000005A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Grants</w:t>
      </w:r>
    </w:p>
    <w:p w14:paraId="000005A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Loans and loan guarantees</w:t>
      </w:r>
    </w:p>
    <w:p w14:paraId="000005A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Tariff/tax exemptions (including VAT/Sales Tax)</w:t>
      </w:r>
    </w:p>
    <w:p w14:paraId="000005A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Debt for equity swaps</w:t>
      </w:r>
    </w:p>
    <w:p w14:paraId="000005A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Land use rights</w:t>
      </w:r>
    </w:p>
    <w:p w14:paraId="000005A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Export credits and financing</w:t>
      </w:r>
    </w:p>
    <w:p w14:paraId="000005A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Equity infusions</w:t>
      </w:r>
    </w:p>
    <w:p w14:paraId="000005A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Provision of goods and services</w:t>
      </w:r>
    </w:p>
    <w:p w14:paraId="000005B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Purchase of goods</w:t>
      </w:r>
    </w:p>
    <w:p w14:paraId="000005B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Income or price support arrangements.</w:t>
      </w:r>
    </w:p>
    <w:p w14:paraId="000005B2" w14:textId="77777777" w:rsidR="00416D85" w:rsidRPr="007C60AF" w:rsidRDefault="00130320">
      <w:pPr>
        <w:pBdr>
          <w:top w:val="nil"/>
          <w:left w:val="nil"/>
          <w:bottom w:val="nil"/>
          <w:right w:val="nil"/>
          <w:between w:val="nil"/>
        </w:pBdr>
        <w:spacing w:before="120" w:line="276" w:lineRule="auto"/>
        <w:jc w:val="both"/>
        <w:rPr>
          <w:rFonts w:eastAsia="Arial"/>
          <w:b/>
          <w:color w:val="000000"/>
        </w:rPr>
      </w:pPr>
      <w:r w:rsidRPr="007C60AF">
        <w:rPr>
          <w:rFonts w:eastAsia="Arial"/>
          <w:b/>
          <w:color w:val="000000"/>
        </w:rPr>
        <w:t>Subsidy programmes</w:t>
      </w:r>
    </w:p>
    <w:tbl>
      <w:tblPr>
        <w:tblStyle w:val="afffff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276"/>
      </w:tblGrid>
      <w:tr w:rsidR="00416D85" w:rsidRPr="007C60AF" w14:paraId="29FFBDED" w14:textId="77777777">
        <w:tc>
          <w:tcPr>
            <w:tcW w:w="7650" w:type="dxa"/>
            <w:shd w:val="clear" w:color="auto" w:fill="auto"/>
            <w:vAlign w:val="center"/>
          </w:tcPr>
          <w:p w14:paraId="000005B3" w14:textId="77777777" w:rsidR="00416D85" w:rsidRPr="007C60AF" w:rsidRDefault="00130320">
            <w:pPr>
              <w:spacing w:after="0"/>
              <w:jc w:val="both"/>
              <w:rPr>
                <w:b/>
              </w:rPr>
            </w:pPr>
            <w:r w:rsidRPr="007C60AF">
              <w:rPr>
                <w:b/>
              </w:rPr>
              <w:t>Subsidy name  </w:t>
            </w:r>
          </w:p>
        </w:tc>
        <w:tc>
          <w:tcPr>
            <w:tcW w:w="1276" w:type="dxa"/>
            <w:shd w:val="clear" w:color="auto" w:fill="auto"/>
            <w:vAlign w:val="center"/>
          </w:tcPr>
          <w:p w14:paraId="000005B4" w14:textId="77777777" w:rsidR="00416D85" w:rsidRPr="007C60AF" w:rsidRDefault="00130320">
            <w:pPr>
              <w:spacing w:after="0"/>
              <w:jc w:val="both"/>
              <w:rPr>
                <w:b/>
              </w:rPr>
            </w:pPr>
            <w:r w:rsidRPr="007C60AF">
              <w:rPr>
                <w:b/>
              </w:rPr>
              <w:t>Subsidy type  </w:t>
            </w:r>
          </w:p>
        </w:tc>
      </w:tr>
      <w:tr w:rsidR="00416D85" w:rsidRPr="007C60AF" w14:paraId="5325EFA2" w14:textId="77777777">
        <w:tc>
          <w:tcPr>
            <w:tcW w:w="7650" w:type="dxa"/>
            <w:shd w:val="clear" w:color="auto" w:fill="auto"/>
            <w:vAlign w:val="center"/>
          </w:tcPr>
          <w:p w14:paraId="000005B5" w14:textId="77777777" w:rsidR="00416D85" w:rsidRPr="007C60AF" w:rsidRDefault="00130320">
            <w:pPr>
              <w:jc w:val="both"/>
              <w:rPr>
                <w:color w:val="4472C4"/>
              </w:rPr>
            </w:pPr>
            <w:r w:rsidRPr="007C60AF">
              <w:rPr>
                <w:color w:val="4472C4"/>
              </w:rPr>
              <w:t>The Applicants have identified 30 subsidy measures at both the federal and state level that have been provided to/made available to US producers of HVO, 29 of which are described in detail in Appendix F.1. The remaining one is described in detail in the response to question F.2.4 below.</w:t>
            </w:r>
          </w:p>
          <w:p w14:paraId="000005B6" w14:textId="77777777" w:rsidR="00416D85" w:rsidRPr="007C60AF" w:rsidRDefault="00130320">
            <w:pPr>
              <w:jc w:val="both"/>
              <w:rPr>
                <w:color w:val="4472C4"/>
              </w:rPr>
            </w:pPr>
            <w:r w:rsidRPr="007C60AF">
              <w:rPr>
                <w:color w:val="4472C4"/>
              </w:rPr>
              <w:t xml:space="preserve">Appendix F.1 provides the following publicly available information about the subsidy measures: (i) the name of the subsidy measure; (ii) the commencement date of the measure; (iii) value of the subsidies granted under the measure; (iv) the periodicity of the measure; (v) the eligibility criteria to apply the measure, and (vi) the region where the measure is applicable. </w:t>
            </w:r>
          </w:p>
          <w:p w14:paraId="000005B7" w14:textId="77777777" w:rsidR="00416D85" w:rsidRPr="007C60AF" w:rsidRDefault="00416D85">
            <w:pPr>
              <w:spacing w:after="0"/>
              <w:jc w:val="both"/>
            </w:pPr>
          </w:p>
          <w:p w14:paraId="000005B8" w14:textId="77777777" w:rsidR="00416D85" w:rsidRPr="007C60AF" w:rsidRDefault="00130320">
            <w:pPr>
              <w:jc w:val="both"/>
            </w:pPr>
            <w:r w:rsidRPr="007C60AF">
              <w:rPr>
                <w:color w:val="4472C4"/>
              </w:rPr>
              <w:t>For further information please see Appendix F.1.</w:t>
            </w:r>
          </w:p>
        </w:tc>
        <w:tc>
          <w:tcPr>
            <w:tcW w:w="1276" w:type="dxa"/>
            <w:shd w:val="clear" w:color="auto" w:fill="auto"/>
            <w:vAlign w:val="center"/>
          </w:tcPr>
          <w:p w14:paraId="000005B9" w14:textId="77777777" w:rsidR="00416D85" w:rsidRPr="007C60AF" w:rsidRDefault="00416D85">
            <w:pPr>
              <w:spacing w:after="0"/>
              <w:jc w:val="both"/>
            </w:pPr>
          </w:p>
        </w:tc>
      </w:tr>
    </w:tbl>
    <w:p w14:paraId="000005BA" w14:textId="77777777" w:rsidR="00416D85" w:rsidRPr="007C60AF" w:rsidRDefault="00130320">
      <w:pPr>
        <w:spacing w:after="0"/>
        <w:jc w:val="both"/>
      </w:pPr>
      <w:r w:rsidRPr="007C60AF">
        <w:t>+Add/remove additional rows as required. </w:t>
      </w:r>
    </w:p>
    <w:p w14:paraId="000005BB" w14:textId="77777777" w:rsidR="00416D85" w:rsidRPr="007C60AF" w:rsidRDefault="00416D85">
      <w:pPr>
        <w:pBdr>
          <w:top w:val="nil"/>
          <w:left w:val="nil"/>
          <w:bottom w:val="nil"/>
          <w:right w:val="nil"/>
          <w:between w:val="nil"/>
        </w:pBdr>
        <w:spacing w:before="120" w:line="276" w:lineRule="auto"/>
        <w:jc w:val="both"/>
        <w:rPr>
          <w:rFonts w:eastAsia="Arial"/>
          <w:color w:val="000000"/>
        </w:rPr>
      </w:pPr>
    </w:p>
    <w:tbl>
      <w:tblPr>
        <w:tblStyle w:val="afffff1"/>
        <w:tblW w:w="9016" w:type="dxa"/>
        <w:tblLayout w:type="fixed"/>
        <w:tblLook w:val="0400" w:firstRow="0" w:lastRow="0" w:firstColumn="0" w:lastColumn="0" w:noHBand="0" w:noVBand="1"/>
      </w:tblPr>
      <w:tblGrid>
        <w:gridCol w:w="9016"/>
      </w:tblGrid>
      <w:tr w:rsidR="00416D85" w:rsidRPr="007C60AF" w14:paraId="35102C3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311606FF" w14:textId="77777777" w:rsidR="008168ED" w:rsidRDefault="008168ED">
            <w:pPr>
              <w:spacing w:after="0"/>
              <w:jc w:val="both"/>
              <w:rPr>
                <w:b/>
                <w:color w:val="4472C4"/>
                <w:u w:val="single"/>
              </w:rPr>
            </w:pPr>
          </w:p>
          <w:p w14:paraId="008008CC" w14:textId="77777777" w:rsidR="008168ED" w:rsidRDefault="008168ED">
            <w:pPr>
              <w:spacing w:after="0"/>
              <w:jc w:val="both"/>
              <w:rPr>
                <w:b/>
                <w:color w:val="4472C4"/>
                <w:u w:val="single"/>
              </w:rPr>
            </w:pPr>
          </w:p>
          <w:p w14:paraId="000005BC" w14:textId="6CA491F3" w:rsidR="00416D85" w:rsidRPr="007C60AF" w:rsidRDefault="00130320">
            <w:pPr>
              <w:spacing w:after="0"/>
              <w:jc w:val="both"/>
              <w:rPr>
                <w:b/>
                <w:color w:val="4472C4"/>
                <w:u w:val="single"/>
              </w:rPr>
            </w:pPr>
            <w:r w:rsidRPr="007C60AF">
              <w:rPr>
                <w:b/>
                <w:color w:val="4472C4"/>
                <w:u w:val="single"/>
              </w:rPr>
              <w:lastRenderedPageBreak/>
              <w:t>General overview of the US market for Biofuels</w:t>
            </w:r>
          </w:p>
          <w:p w14:paraId="000005BD" w14:textId="77777777" w:rsidR="00416D85" w:rsidRPr="007C60AF" w:rsidRDefault="00416D85">
            <w:pPr>
              <w:spacing w:after="0"/>
              <w:jc w:val="both"/>
              <w:rPr>
                <w:b/>
                <w:color w:val="4472C4"/>
                <w:u w:val="single"/>
              </w:rPr>
            </w:pPr>
          </w:p>
          <w:p w14:paraId="000005BE"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In 2023, the US biofuels market size was valued at approximately 31.93 billion USD, and forecasting predictions showed that the market looks set to experience a compound annual growth rate of 11.5% from 2024 to 2030.</w:t>
            </w:r>
            <w:r w:rsidRPr="007C60AF">
              <w:rPr>
                <w:rFonts w:eastAsia="Arial"/>
                <w:color w:val="4472C4"/>
                <w:vertAlign w:val="superscript"/>
              </w:rPr>
              <w:footnoteReference w:id="129"/>
            </w:r>
          </w:p>
          <w:p w14:paraId="000005B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C0"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Please see the graph below showing the current and projected size of the US biofuels market in value from 2020 to 2030.</w:t>
            </w:r>
          </w:p>
          <w:p w14:paraId="000005C1"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5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noProof/>
                <w:color w:val="4472C4"/>
                <w:u w:val="single"/>
              </w:rPr>
              <w:drawing>
                <wp:inline distT="0" distB="0" distL="0" distR="0" wp14:anchorId="72B264BF" wp14:editId="40CFEF05">
                  <wp:extent cx="4330235" cy="2258691"/>
                  <wp:effectExtent l="0" t="0" r="0" b="0"/>
                  <wp:docPr id="21467316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4330235" cy="2258691"/>
                          </a:xfrm>
                          <a:prstGeom prst="rect">
                            <a:avLst/>
                          </a:prstGeom>
                          <a:ln/>
                        </pic:spPr>
                      </pic:pic>
                    </a:graphicData>
                  </a:graphic>
                </wp:inline>
              </w:drawing>
            </w:r>
          </w:p>
          <w:p w14:paraId="000005C3" w14:textId="77777777" w:rsidR="00416D85" w:rsidRPr="007C60AF" w:rsidRDefault="00416D85">
            <w:pPr>
              <w:jc w:val="both"/>
              <w:rPr>
                <w:color w:val="4472C4"/>
              </w:rPr>
            </w:pPr>
          </w:p>
          <w:p w14:paraId="000005C4"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increase in use and demand of biofuels is driven by the need to cut greenhouse gases ("</w:t>
            </w:r>
            <w:r w:rsidRPr="007C60AF">
              <w:rPr>
                <w:rFonts w:eastAsia="Arial"/>
                <w:b/>
                <w:color w:val="4472C4"/>
              </w:rPr>
              <w:t>GHG</w:t>
            </w:r>
            <w:r w:rsidRPr="007C60AF">
              <w:rPr>
                <w:rFonts w:eastAsia="Arial"/>
                <w:color w:val="4472C4"/>
              </w:rPr>
              <w:t xml:space="preserve">") and reduce reliance on fossil fuels. Biofuels are increasingly being used, for example, in the transportation sector by providing a low-carbon solution for these hard-to-abate sectors where it is difficult to lower GHG emissions, such as trucking, shipping, and aviation. </w:t>
            </w:r>
          </w:p>
          <w:p w14:paraId="000005C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C6"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US Government has initiated several regulations to reduce dependency on conventional fuels and carbon emissions. Significant factors influencing market growth in the US include "</w:t>
            </w:r>
            <w:r w:rsidRPr="007C60AF">
              <w:rPr>
                <w:rFonts w:eastAsia="Arial"/>
                <w:i/>
                <w:color w:val="4472C4"/>
              </w:rPr>
              <w:t>favourable regulatory and political support, innovation support (for second &amp; third generation biofuels), and environmental, customer, geopolitical, agricultural, and economic support</w:t>
            </w:r>
            <w:r w:rsidRPr="007C60AF">
              <w:rPr>
                <w:rFonts w:eastAsia="Arial"/>
                <w:color w:val="4472C4"/>
              </w:rPr>
              <w:t>".</w:t>
            </w:r>
            <w:r w:rsidRPr="007C60AF">
              <w:rPr>
                <w:rFonts w:eastAsia="Arial"/>
                <w:color w:val="4472C4"/>
                <w:vertAlign w:val="superscript"/>
              </w:rPr>
              <w:footnoteReference w:id="130"/>
            </w:r>
          </w:p>
          <w:p w14:paraId="000005C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C8"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lastRenderedPageBreak/>
              <w:t xml:space="preserve">More specifically, governmental support for the biofuel industry is based on three pillars of support listed below, which </w:t>
            </w:r>
            <w:r w:rsidRPr="007C60AF">
              <w:rPr>
                <w:rFonts w:eastAsia="Arial"/>
                <w:i/>
                <w:color w:val="4472C4"/>
              </w:rPr>
              <w:t>de facto</w:t>
            </w:r>
            <w:r w:rsidRPr="007C60AF">
              <w:rPr>
                <w:rFonts w:eastAsia="Arial"/>
                <w:color w:val="4472C4"/>
              </w:rPr>
              <w:t xml:space="preserve"> mean federal and state revenue streams:</w:t>
            </w:r>
          </w:p>
          <w:p w14:paraId="000005C9" w14:textId="77777777" w:rsidR="00416D85" w:rsidRPr="007C60AF" w:rsidRDefault="00130320">
            <w:pPr>
              <w:numPr>
                <w:ilvl w:val="0"/>
                <w:numId w:val="41"/>
              </w:numPr>
              <w:pBdr>
                <w:top w:val="nil"/>
                <w:left w:val="nil"/>
                <w:bottom w:val="nil"/>
                <w:right w:val="nil"/>
                <w:between w:val="nil"/>
              </w:pBdr>
              <w:spacing w:before="240" w:after="0"/>
              <w:jc w:val="both"/>
              <w:rPr>
                <w:rFonts w:eastAsia="Arial"/>
                <w:color w:val="4472C4"/>
                <w:u w:val="single"/>
              </w:rPr>
            </w:pPr>
            <w:r w:rsidRPr="007C60AF">
              <w:rPr>
                <w:rFonts w:eastAsia="Arial"/>
                <w:color w:val="4472C4"/>
              </w:rPr>
              <w:t>Renewable Identification Numbers ("</w:t>
            </w:r>
            <w:r w:rsidRPr="007C60AF">
              <w:rPr>
                <w:rFonts w:eastAsia="Arial"/>
                <w:b/>
                <w:color w:val="4472C4"/>
              </w:rPr>
              <w:t>RINs</w:t>
            </w:r>
            <w:r w:rsidRPr="007C60AF">
              <w:rPr>
                <w:rFonts w:eastAsia="Arial"/>
                <w:color w:val="4472C4"/>
              </w:rPr>
              <w:t>"</w:t>
            </w:r>
            <w:proofErr w:type="gramStart"/>
            <w:r w:rsidRPr="007C60AF">
              <w:rPr>
                <w:rFonts w:eastAsia="Arial"/>
                <w:color w:val="4472C4"/>
              </w:rPr>
              <w:t>);</w:t>
            </w:r>
            <w:proofErr w:type="gramEnd"/>
          </w:p>
          <w:p w14:paraId="000005CA" w14:textId="77777777" w:rsidR="00416D85" w:rsidRPr="007C60AF" w:rsidRDefault="00130320">
            <w:pPr>
              <w:numPr>
                <w:ilvl w:val="0"/>
                <w:numId w:val="41"/>
              </w:numPr>
              <w:pBdr>
                <w:top w:val="nil"/>
                <w:left w:val="nil"/>
                <w:bottom w:val="nil"/>
                <w:right w:val="nil"/>
                <w:between w:val="nil"/>
              </w:pBdr>
              <w:spacing w:before="240" w:after="0"/>
              <w:jc w:val="both"/>
              <w:rPr>
                <w:rFonts w:eastAsia="Arial"/>
                <w:color w:val="4472C4"/>
                <w:u w:val="single"/>
              </w:rPr>
            </w:pPr>
            <w:r w:rsidRPr="007C60AF">
              <w:rPr>
                <w:rFonts w:eastAsia="Arial"/>
                <w:color w:val="4472C4"/>
              </w:rPr>
              <w:t>Blender's Tax Credit ("</w:t>
            </w:r>
            <w:r w:rsidRPr="007C60AF">
              <w:rPr>
                <w:rFonts w:eastAsia="Arial"/>
                <w:b/>
                <w:color w:val="4472C4"/>
              </w:rPr>
              <w:t>BTC</w:t>
            </w:r>
            <w:r w:rsidRPr="007C60AF">
              <w:rPr>
                <w:rFonts w:eastAsia="Arial"/>
                <w:color w:val="4472C4"/>
              </w:rPr>
              <w:t>"); and</w:t>
            </w:r>
          </w:p>
          <w:p w14:paraId="000005CB" w14:textId="77777777" w:rsidR="00416D85" w:rsidRPr="007C60AF" w:rsidRDefault="00130320">
            <w:pPr>
              <w:numPr>
                <w:ilvl w:val="0"/>
                <w:numId w:val="41"/>
              </w:numPr>
              <w:pBdr>
                <w:top w:val="nil"/>
                <w:left w:val="nil"/>
                <w:bottom w:val="nil"/>
                <w:right w:val="nil"/>
                <w:between w:val="nil"/>
              </w:pBdr>
              <w:spacing w:before="240" w:after="0"/>
              <w:jc w:val="both"/>
              <w:rPr>
                <w:rFonts w:eastAsia="Arial"/>
                <w:color w:val="4472C4"/>
                <w:u w:val="single"/>
              </w:rPr>
            </w:pPr>
            <w:r w:rsidRPr="007C60AF">
              <w:rPr>
                <w:rFonts w:eastAsia="Arial"/>
                <w:color w:val="4472C4"/>
              </w:rPr>
              <w:t>California Low Carbon Fuel Standard ("</w:t>
            </w:r>
            <w:r w:rsidRPr="007C60AF">
              <w:rPr>
                <w:rFonts w:eastAsia="Arial"/>
                <w:b/>
                <w:color w:val="4472C4"/>
              </w:rPr>
              <w:t>LCFS</w:t>
            </w:r>
            <w:r w:rsidRPr="007C60AF">
              <w:rPr>
                <w:rFonts w:eastAsia="Arial"/>
                <w:color w:val="4472C4"/>
              </w:rPr>
              <w:t>").</w:t>
            </w:r>
          </w:p>
          <w:p w14:paraId="000005C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5CD"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These three core pillars of government support are explained in more detail in the section below, as well as other US government mandates and initiatives that are in place to assist US producers within the biofuels market. </w:t>
            </w:r>
          </w:p>
          <w:p w14:paraId="000005C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CF" w14:textId="77777777" w:rsidR="00416D85" w:rsidRPr="007C60AF" w:rsidRDefault="00130320">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US Government Mandates / Regulations</w:t>
            </w:r>
          </w:p>
          <w:p w14:paraId="000005D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1"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US Energy Policy Act 2015 established the Renewable Fuel Standard ("</w:t>
            </w:r>
            <w:r w:rsidRPr="007C60AF">
              <w:rPr>
                <w:rFonts w:eastAsia="Arial"/>
                <w:b/>
                <w:color w:val="4472C4"/>
              </w:rPr>
              <w:t>RFS</w:t>
            </w:r>
            <w:r w:rsidRPr="007C60AF">
              <w:rPr>
                <w:rFonts w:eastAsia="Arial"/>
                <w:color w:val="4472C4"/>
              </w:rPr>
              <w:t>"),</w:t>
            </w:r>
            <w:r w:rsidRPr="007C60AF">
              <w:rPr>
                <w:rFonts w:eastAsia="Arial"/>
                <w:color w:val="4472C4"/>
                <w:vertAlign w:val="superscript"/>
              </w:rPr>
              <w:footnoteReference w:id="131"/>
            </w:r>
            <w:r w:rsidRPr="007C60AF">
              <w:rPr>
                <w:rFonts w:eastAsia="Arial"/>
                <w:color w:val="4472C4"/>
              </w:rPr>
              <w:t xml:space="preserve"> which is a federal program requiring transportation fuel sold in the US to contain a minimum volume of renewable fuels.</w:t>
            </w:r>
          </w:p>
          <w:p w14:paraId="000005D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3"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RFS requires renewable fuel to be blended into transportation fuel in increasing amounts each year. The US Environmental Protection Agency ("</w:t>
            </w:r>
            <w:r w:rsidRPr="007C60AF">
              <w:rPr>
                <w:rFonts w:eastAsia="Arial"/>
                <w:b/>
                <w:color w:val="4472C4"/>
              </w:rPr>
              <w:t>EPA</w:t>
            </w:r>
            <w:r w:rsidRPr="007C60AF">
              <w:rPr>
                <w:rFonts w:eastAsia="Arial"/>
                <w:color w:val="4472C4"/>
              </w:rPr>
              <w:t>") manages the RFS programme and establishes the volume requirements for each category by setting annual quotas for the volume of renewable fuels that must be blended into petroleum-based transportation fuels consumed in the US in the following compliance year.</w:t>
            </w:r>
          </w:p>
          <w:p w14:paraId="000005D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5"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quotas are set by class of renewable fuel (i.e. biomass-based diesel, cellulosic biofuel, advanced biofuel, and total renewable fuel) and are collectively referred to as the renewable volume obligation ("</w:t>
            </w:r>
            <w:r w:rsidRPr="007C60AF">
              <w:rPr>
                <w:rFonts w:eastAsia="Arial"/>
                <w:b/>
                <w:color w:val="4472C4"/>
              </w:rPr>
              <w:t>RVO</w:t>
            </w:r>
            <w:r w:rsidRPr="007C60AF">
              <w:rPr>
                <w:rFonts w:eastAsia="Arial"/>
                <w:color w:val="4472C4"/>
              </w:rPr>
              <w:t>").</w:t>
            </w:r>
          </w:p>
          <w:p w14:paraId="000005D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7"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RFS program assigns obligated parties (fuel refiners, blenders, and importers) an RVO. The RVO for each party is the volume of renewable fuels it is obligated to sell, based on a percentage of the company's total fuel sales. </w:t>
            </w:r>
          </w:p>
          <w:p w14:paraId="000005D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9"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EPA tracks compliance with the RVO through the Renewable Identification Number ("</w:t>
            </w:r>
            <w:r w:rsidRPr="007C60AF">
              <w:rPr>
                <w:rFonts w:eastAsia="Arial"/>
                <w:b/>
                <w:color w:val="4472C4"/>
              </w:rPr>
              <w:t>RIN</w:t>
            </w:r>
            <w:r w:rsidRPr="007C60AF">
              <w:rPr>
                <w:rFonts w:eastAsia="Arial"/>
                <w:color w:val="4472C4"/>
              </w:rPr>
              <w:t xml:space="preserve">") system. A RIN is a 38-character number assigned to </w:t>
            </w:r>
            <w:r w:rsidRPr="007C60AF">
              <w:rPr>
                <w:rFonts w:eastAsia="Arial"/>
                <w:color w:val="4472C4"/>
              </w:rPr>
              <w:lastRenderedPageBreak/>
              <w:t xml:space="preserve">each physical gallon of renewable fuel produced or imported as it is transferred to a fuel blender. </w:t>
            </w:r>
          </w:p>
          <w:p w14:paraId="000005D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B"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By way of the first pillar of support, RINs are effectively a compliance credit, and obligated parties can also achieve compliance by purchasing RINs on the open market. RINs are the equivalent US mandate ticketing system to the UK RTFCs.</w:t>
            </w:r>
          </w:p>
          <w:p w14:paraId="000005D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D"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Obligated parties that produce or own RINs must register with EPA and comply with the RIN record and reporting guidelines on a quarterly basis. After blending, RINs are separated from the blended gallon and used by obligated parties (blenders, refiners, or importers) as proof that they have sold renewable fuels to meet their RFS mandated volumes.</w:t>
            </w:r>
            <w:r w:rsidRPr="007C60AF">
              <w:rPr>
                <w:rFonts w:eastAsia="Arial"/>
                <w:color w:val="4472C4"/>
                <w:vertAlign w:val="superscript"/>
              </w:rPr>
              <w:footnoteReference w:id="132"/>
            </w:r>
            <w:r w:rsidRPr="007C60AF">
              <w:rPr>
                <w:rFonts w:eastAsia="Arial"/>
                <w:color w:val="4472C4"/>
              </w:rPr>
              <w:t xml:space="preserve"> It should be noted that all US producers of HVO are both producers and blenders. </w:t>
            </w:r>
          </w:p>
          <w:p w14:paraId="000005D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F"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second pillar of support also sitting at the federal level is the BTC. This is a US federal tax incentive established under Section 6426 of the Internal Revenue Code of 1986 (as amended), which provides a tax credit to blenders of certain renewable fuels to encourage the production and blending of those fuels with traditional petroleum-based transportation fuels. </w:t>
            </w:r>
          </w:p>
          <w:p w14:paraId="000005E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1"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Blenders that have produced a mixture and either sold or used the fuel mixture as fuel qualify for this refundable tax credit of one dollar per gallon. The BTC applies to both blended and domestically sold fuel, as well as that which is exported. The US Department of Energy confirms that "</w:t>
            </w:r>
            <w:r w:rsidRPr="007C60AF">
              <w:rPr>
                <w:rFonts w:eastAsia="Arial"/>
                <w:i/>
                <w:color w:val="4472C4"/>
              </w:rPr>
              <w:t xml:space="preserve">a biodiesel blender that is registered with the Internal Revenue Service may be eligible for a tax incentive in the amount of $1.00 per gallon of pure biodiesel, </w:t>
            </w:r>
            <w:proofErr w:type="spellStart"/>
            <w:r w:rsidRPr="007C60AF">
              <w:rPr>
                <w:rFonts w:eastAsia="Arial"/>
                <w:i/>
                <w:color w:val="4472C4"/>
              </w:rPr>
              <w:t>agri</w:t>
            </w:r>
            <w:proofErr w:type="spellEnd"/>
            <w:r w:rsidRPr="007C60AF">
              <w:rPr>
                <w:rFonts w:eastAsia="Arial"/>
                <w:i/>
                <w:color w:val="4472C4"/>
              </w:rPr>
              <w:t xml:space="preserve">-biodiesel, </w:t>
            </w:r>
            <w:r w:rsidRPr="007C60AF">
              <w:rPr>
                <w:rFonts w:eastAsia="Arial"/>
                <w:i/>
                <w:color w:val="4472C4"/>
                <w:u w:val="single"/>
              </w:rPr>
              <w:t>or renewable diesel</w:t>
            </w:r>
            <w:r w:rsidRPr="007C60AF">
              <w:rPr>
                <w:rFonts w:eastAsia="Arial"/>
                <w:i/>
                <w:color w:val="4472C4"/>
              </w:rPr>
              <w:t xml:space="preserve"> blended with petroleum diesel to produce a mixture containing at least 0.1% diesel fuel</w:t>
            </w:r>
            <w:r w:rsidRPr="007C60AF">
              <w:rPr>
                <w:rFonts w:eastAsia="Arial"/>
                <w:color w:val="4472C4"/>
              </w:rPr>
              <w:t>."</w:t>
            </w:r>
            <w:r w:rsidRPr="007C60AF">
              <w:rPr>
                <w:rFonts w:eastAsia="Arial"/>
                <w:color w:val="4472C4"/>
                <w:vertAlign w:val="superscript"/>
              </w:rPr>
              <w:footnoteReference w:id="133"/>
            </w:r>
            <w:r w:rsidRPr="007C60AF">
              <w:rPr>
                <w:rFonts w:eastAsia="Arial"/>
                <w:color w:val="4472C4"/>
              </w:rPr>
              <w:t xml:space="preserve"> </w:t>
            </w:r>
          </w:p>
          <w:p w14:paraId="000005E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3"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Based on market intelligence, the Applicants are aware that US producers add 1% diesel into HVO to receive the BTC, but in practical terms the fuel is almost completely biofuel based and is sold as such.</w:t>
            </w:r>
            <w:r w:rsidRPr="007C60AF">
              <w:rPr>
                <w:rFonts w:eastAsia="Arial"/>
                <w:color w:val="4472C4"/>
                <w:vertAlign w:val="superscript"/>
              </w:rPr>
              <w:footnoteReference w:id="134"/>
            </w:r>
            <w:r w:rsidRPr="007C60AF">
              <w:rPr>
                <w:rFonts w:eastAsia="Arial"/>
                <w:color w:val="4472C4"/>
              </w:rPr>
              <w:t xml:space="preserve">  However, this is difficult to evidence since HVO is a drop-in fuel. </w:t>
            </w:r>
          </w:p>
          <w:p w14:paraId="000005E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5"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45" w:name="_heading=h.vxqvi714ex72" w:colFirst="0" w:colLast="0"/>
            <w:bookmarkEnd w:id="45"/>
            <w:r w:rsidRPr="007C60AF">
              <w:rPr>
                <w:rFonts w:eastAsia="Arial"/>
                <w:color w:val="4472C4"/>
              </w:rPr>
              <w:t xml:space="preserve">The BTC was due to expire on 31 December 2022 but was extended by the Inflation Reduction Act 2022 until 31 December 2024. From 1 January 2025 onwards, </w:t>
            </w:r>
            <w:r w:rsidRPr="007C60AF">
              <w:rPr>
                <w:rFonts w:eastAsia="Arial"/>
                <w:color w:val="4472C4"/>
              </w:rPr>
              <w:lastRenderedPageBreak/>
              <w:t>the BTC will be replaced by Section 45Z and will change to a producer's tax credit (known formally as the 'Clean Fuel Production Credit' ("</w:t>
            </w:r>
            <w:r w:rsidRPr="007C60AF">
              <w:rPr>
                <w:rFonts w:eastAsia="Arial"/>
                <w:b/>
                <w:color w:val="4472C4"/>
              </w:rPr>
              <w:t>CFPC</w:t>
            </w:r>
            <w:r w:rsidRPr="007C60AF">
              <w:rPr>
                <w:rFonts w:eastAsia="Arial"/>
                <w:color w:val="4472C4"/>
              </w:rPr>
              <w:t>" but more commonly referred to in this Application as the Producer's Tax Credit (the "</w:t>
            </w:r>
            <w:r w:rsidRPr="007C60AF">
              <w:rPr>
                <w:rFonts w:eastAsia="Arial"/>
                <w:b/>
                <w:color w:val="4472C4"/>
              </w:rPr>
              <w:t>PTC</w:t>
            </w:r>
            <w:r w:rsidRPr="007C60AF">
              <w:rPr>
                <w:rFonts w:eastAsia="Arial"/>
                <w:color w:val="4472C4"/>
              </w:rPr>
              <w:t>")), for years 2025 through 2027.</w:t>
            </w:r>
            <w:r w:rsidRPr="007C60AF">
              <w:rPr>
                <w:rFonts w:eastAsia="Arial"/>
                <w:color w:val="4472C4"/>
                <w:vertAlign w:val="superscript"/>
              </w:rPr>
              <w:footnoteReference w:id="135"/>
            </w:r>
            <w:r w:rsidRPr="007C60AF">
              <w:rPr>
                <w:rFonts w:eastAsia="Arial"/>
                <w:color w:val="4472C4"/>
              </w:rPr>
              <w:t xml:space="preserve">  The PTC is equal to the applicable credit amount per gallon multiplied by the fuel’s carbon dioxide emissions factor, and these emissions factors will be published annually by the Secretary of the Treasury. The PTC is outlined in more detail in the response to question F.2.4 below. </w:t>
            </w:r>
          </w:p>
          <w:p w14:paraId="000005E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7"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third pillar which sits at the state level is California's Low Carbon Fuel Standard ("</w:t>
            </w:r>
            <w:r w:rsidRPr="007C60AF">
              <w:rPr>
                <w:rFonts w:eastAsia="Arial"/>
                <w:b/>
                <w:color w:val="4472C4"/>
              </w:rPr>
              <w:t>LCFS</w:t>
            </w:r>
            <w:r w:rsidRPr="007C60AF">
              <w:rPr>
                <w:rFonts w:eastAsia="Arial"/>
                <w:color w:val="4472C4"/>
              </w:rPr>
              <w:t xml:space="preserve">"). California's LCFS program was created under California’s AB32 Global Warming Solutions Act. LCFS tasked state agencies to reduce GHG emissions from the transportation sector.  </w:t>
            </w:r>
          </w:p>
          <w:p w14:paraId="000005E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9"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LCFS established a market-based mechanism that caps the carbon intensity of fuels such as gasoline, diesel, and their substitutes used in California. California uses a credit and deficit system to enforce LCFS and if a fossil fuel producer or importer has a deficit at the end of any reporting year, they must purchase credits from those biofuel producers or importers that generated a surplus.</w:t>
            </w:r>
            <w:r w:rsidRPr="007C60AF">
              <w:rPr>
                <w:rFonts w:eastAsia="Arial"/>
                <w:color w:val="4472C4"/>
                <w:vertAlign w:val="superscript"/>
              </w:rPr>
              <w:footnoteReference w:id="136"/>
            </w:r>
            <w:r w:rsidRPr="007C60AF">
              <w:rPr>
                <w:rFonts w:eastAsia="Arial"/>
                <w:color w:val="4472C4"/>
              </w:rPr>
              <w:t xml:space="preserve"> One LCFS credit is equal to one metric ton (1MT CO</w:t>
            </w:r>
            <w:r w:rsidRPr="007C60AF">
              <w:rPr>
                <w:rFonts w:eastAsia="Arial"/>
                <w:color w:val="4472C4"/>
                <w:vertAlign w:val="subscript"/>
              </w:rPr>
              <w:t>2</w:t>
            </w:r>
            <w:r w:rsidRPr="007C60AF">
              <w:rPr>
                <w:rFonts w:eastAsia="Arial"/>
                <w:color w:val="4472C4"/>
              </w:rPr>
              <w:t xml:space="preserve">) of avoided GHG emissions. </w:t>
            </w:r>
          </w:p>
          <w:p w14:paraId="000005E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B"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Whilst other states such as Oregon and Washington have introduced their own LCFS equivalent legislation to establish state markets, California is the largest and the most lucrative of these markets making it the most attractive for HVO producers and sellers. </w:t>
            </w:r>
          </w:p>
          <w:p w14:paraId="000005E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D"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Furthermore, the Applicants are also aware that the US producers utilise Foreign Trade Zones ("</w:t>
            </w:r>
            <w:r w:rsidRPr="007C60AF">
              <w:rPr>
                <w:rFonts w:eastAsia="Arial"/>
                <w:b/>
                <w:color w:val="4472C4"/>
              </w:rPr>
              <w:t>FTZs</w:t>
            </w:r>
            <w:r w:rsidRPr="007C60AF">
              <w:rPr>
                <w:rFonts w:eastAsia="Arial"/>
                <w:color w:val="4472C4"/>
              </w:rPr>
              <w:t xml:space="preserve">") within their territory to potentially eliminate duty tariffs on certain goods, including in the renewable fuel sector. The FTZ Act of 1934 allows importers to do certain acts (e.g. store, assemble) without being subject to the customs laws of the US. Production activity (activity involving the substantial transformation resulting in a new and different article having a different name, character and use, or change in condition of the article resulting in a change in customs classification) needs to be specifically approved by the FTZ Board in accordance with 15 CFR 400.14.  </w:t>
            </w:r>
          </w:p>
          <w:p w14:paraId="000005E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F"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For example, the Applicants are aware that Valero applied for approval to use imported components, including UCO to manufacture renewable fuels in a FTZ.</w:t>
            </w:r>
            <w:r w:rsidRPr="007C60AF">
              <w:rPr>
                <w:rFonts w:eastAsia="Arial"/>
                <w:color w:val="4472C4"/>
                <w:vertAlign w:val="superscript"/>
              </w:rPr>
              <w:footnoteReference w:id="137"/>
            </w:r>
            <w:r w:rsidRPr="007C60AF">
              <w:rPr>
                <w:rFonts w:eastAsia="Arial"/>
                <w:color w:val="4472C4"/>
              </w:rPr>
              <w:t xml:space="preserve"> If approved, the company would be able to export the fuel without paying import tariffs on the UCO, or enter the fuel to the US market by paying the US tariff on the value of the foreign-status component (e.g. UCO) at the rate that applies to the finished product (e.g. fuel). In respect of UCO, the Harmonized Tariff Schedule indicates that this carries a general tariff rate of 8%. UCO originating from China carries an additional tariff of 7.5% equating to a tariff rate of 15.5%. However, if the UCO from China enters a FTZ and a production application is approved by the FTZ Board, then this could result in the tariff rate of 15.5% being refunded to the producer and the final goods being re-exported tariff-free. This is discussed in more detail in the response to question F.3 below. </w:t>
            </w:r>
          </w:p>
          <w:p w14:paraId="000005F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F1"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Overall, US blenders can take advantage of the various federal and state level initiatives in place while remaining eligible to receive RIN credits that show compliance with the US RFS program, as well as the 1 USD per gallon BTC. In addition, they can take advantage of LCFS in California. This is known as the "revenue stack", which is the composition of different elements that add into revenue. The revenue stack varies from state to state with California having the optimal revenue stack in the US as it is subsidised to the highest level. However, in terms of HVO, not all produced in the Gulf Coast can realistically be sold to buyers in California. Therefore, as capacity has grown exponentially, producers of goods that are no longer destined for the West Coast are cutting the price of those goods and selling them on the UK market.</w:t>
            </w:r>
          </w:p>
          <w:p w14:paraId="000005F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F3"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4472C4"/>
              </w:rPr>
            </w:pPr>
            <w:proofErr w:type="gramStart"/>
            <w:r w:rsidRPr="007C60AF">
              <w:rPr>
                <w:color w:val="4472C4"/>
              </w:rPr>
              <w:t>Taking into account</w:t>
            </w:r>
            <w:proofErr w:type="gramEnd"/>
            <w:r w:rsidRPr="007C60AF">
              <w:rPr>
                <w:color w:val="4472C4"/>
              </w:rPr>
              <w:t xml:space="preserve"> the initiatives discussed, the graphs set out below represent the revenue stack / theoretical margin for: (i) a US producer selling to the US market (California); (ii) a UK producer selling to the UK market; and (iii) a US producer selling to the UK market. </w:t>
            </w:r>
          </w:p>
          <w:p w14:paraId="000005F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i/>
                <w:color w:val="4472C4"/>
              </w:rPr>
            </w:pPr>
            <w:r w:rsidRPr="007C60AF">
              <w:rPr>
                <w:i/>
                <w:color w:val="4472C4"/>
              </w:rPr>
              <w:t>Revenue stack / theoretical margin for a US producer selling to the US market (California)</w:t>
            </w:r>
          </w:p>
          <w:p w14:paraId="000005F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4472C4"/>
              </w:rPr>
            </w:pPr>
            <w:r w:rsidRPr="007C60AF">
              <w:rPr>
                <w:noProof/>
                <w:color w:val="4472C4"/>
              </w:rPr>
              <w:lastRenderedPageBreak/>
              <w:drawing>
                <wp:inline distT="114300" distB="114300" distL="114300" distR="114300" wp14:anchorId="04116192" wp14:editId="29D8CDD8">
                  <wp:extent cx="3981001" cy="2611873"/>
                  <wp:effectExtent l="0" t="0" r="0" b="0"/>
                  <wp:docPr id="21467316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3981001" cy="2611873"/>
                          </a:xfrm>
                          <a:prstGeom prst="rect">
                            <a:avLst/>
                          </a:prstGeom>
                          <a:ln/>
                        </pic:spPr>
                      </pic:pic>
                    </a:graphicData>
                  </a:graphic>
                </wp:inline>
              </w:drawing>
            </w:r>
          </w:p>
          <w:p w14:paraId="000005F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4472C4"/>
              </w:rPr>
            </w:pPr>
          </w:p>
          <w:p w14:paraId="000005F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4472C4"/>
              </w:rPr>
            </w:pPr>
            <w:r w:rsidRPr="007C60AF">
              <w:rPr>
                <w:color w:val="4472C4"/>
              </w:rPr>
              <w:t>Revenue stack / theoretical margin for a UK producer selling to the UK market</w:t>
            </w:r>
          </w:p>
          <w:p w14:paraId="000005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4472C4"/>
              </w:rPr>
            </w:pPr>
            <w:r w:rsidRPr="007C60AF">
              <w:rPr>
                <w:b/>
                <w:noProof/>
                <w:color w:val="4472C4"/>
              </w:rPr>
              <w:drawing>
                <wp:inline distT="114300" distB="114300" distL="114300" distR="114300" wp14:anchorId="7D5DACF5" wp14:editId="0DC13CE0">
                  <wp:extent cx="3976688" cy="3098461"/>
                  <wp:effectExtent l="0" t="0" r="0" b="0"/>
                  <wp:docPr id="21467316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3976688" cy="3098461"/>
                          </a:xfrm>
                          <a:prstGeom prst="rect">
                            <a:avLst/>
                          </a:prstGeom>
                          <a:ln/>
                        </pic:spPr>
                      </pic:pic>
                    </a:graphicData>
                  </a:graphic>
                </wp:inline>
              </w:drawing>
            </w:r>
          </w:p>
          <w:p w14:paraId="000005F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color w:val="4472C4"/>
              </w:rPr>
            </w:pPr>
          </w:p>
          <w:p w14:paraId="000005F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color w:val="4472C4"/>
              </w:rPr>
            </w:pPr>
            <w:r w:rsidRPr="007C60AF">
              <w:rPr>
                <w:color w:val="4472C4"/>
              </w:rPr>
              <w:t>Revenue stack / theoretical margin for a US producer selling to the UK market</w:t>
            </w:r>
          </w:p>
          <w:p w14:paraId="00000606" w14:textId="53A0B1A8"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4472C4"/>
              </w:rPr>
            </w:pPr>
            <w:r w:rsidRPr="007C60AF">
              <w:rPr>
                <w:b/>
                <w:noProof/>
                <w:color w:val="4472C4"/>
              </w:rPr>
              <w:lastRenderedPageBreak/>
              <w:drawing>
                <wp:inline distT="114300" distB="114300" distL="114300" distR="114300" wp14:anchorId="4949193E" wp14:editId="145A3E63">
                  <wp:extent cx="4004535" cy="2564248"/>
                  <wp:effectExtent l="0" t="0" r="0" b="0"/>
                  <wp:docPr id="21467316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4004535" cy="2564248"/>
                          </a:xfrm>
                          <a:prstGeom prst="rect">
                            <a:avLst/>
                          </a:prstGeom>
                          <a:ln/>
                        </pic:spPr>
                      </pic:pic>
                    </a:graphicData>
                  </a:graphic>
                </wp:inline>
              </w:drawing>
            </w:r>
          </w:p>
        </w:tc>
      </w:tr>
    </w:tbl>
    <w:p w14:paraId="00000607"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 xml:space="preserve">To understand if there has been a financial contribution, we need to identify if: </w:t>
      </w:r>
    </w:p>
    <w:p w14:paraId="0000060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there has been a direct transfer of funds from a foreign authority, including making money and financial resources </w:t>
      </w:r>
      <w:proofErr w:type="gramStart"/>
      <w:r w:rsidRPr="007C60AF">
        <w:rPr>
          <w:rFonts w:eastAsia="Arial"/>
          <w:color w:val="000000"/>
        </w:rPr>
        <w:t>available;</w:t>
      </w:r>
      <w:proofErr w:type="gramEnd"/>
      <w:r w:rsidRPr="007C60AF">
        <w:rPr>
          <w:rFonts w:eastAsia="Arial"/>
          <w:color w:val="000000"/>
        </w:rPr>
        <w:t xml:space="preserve"> </w:t>
      </w:r>
    </w:p>
    <w:p w14:paraId="0000060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there has been a potential direct transfer of funds from a foreign authority, including a commitment to transfer </w:t>
      </w:r>
      <w:proofErr w:type="gramStart"/>
      <w:r w:rsidRPr="007C60AF">
        <w:rPr>
          <w:rFonts w:eastAsia="Arial"/>
          <w:color w:val="000000"/>
        </w:rPr>
        <w:t>funds;</w:t>
      </w:r>
      <w:proofErr w:type="gramEnd"/>
      <w:r w:rsidRPr="007C60AF">
        <w:rPr>
          <w:rFonts w:eastAsia="Arial"/>
          <w:color w:val="000000"/>
        </w:rPr>
        <w:t xml:space="preserve"> </w:t>
      </w:r>
    </w:p>
    <w:p w14:paraId="0000060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revenue that is rightfully due to government has not been collected (waived or deferred), including, taxes, debt, derivatives, or </w:t>
      </w:r>
      <w:proofErr w:type="gramStart"/>
      <w:r w:rsidRPr="007C60AF">
        <w:rPr>
          <w:rFonts w:eastAsia="Arial"/>
          <w:color w:val="000000"/>
        </w:rPr>
        <w:t>dividends;</w:t>
      </w:r>
      <w:proofErr w:type="gramEnd"/>
      <w:r w:rsidRPr="007C60AF">
        <w:rPr>
          <w:rFonts w:eastAsia="Arial"/>
          <w:color w:val="000000"/>
        </w:rPr>
        <w:t xml:space="preserve"> </w:t>
      </w:r>
    </w:p>
    <w:p w14:paraId="0000060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goods and services have been provided for by a foreign authority, at a lower amount than normally would have been </w:t>
      </w:r>
      <w:proofErr w:type="gramStart"/>
      <w:r w:rsidRPr="007C60AF">
        <w:rPr>
          <w:rFonts w:eastAsia="Arial"/>
          <w:color w:val="000000"/>
        </w:rPr>
        <w:t>paid;</w:t>
      </w:r>
      <w:proofErr w:type="gramEnd"/>
      <w:r w:rsidRPr="007C60AF">
        <w:rPr>
          <w:rFonts w:eastAsia="Arial"/>
          <w:color w:val="000000"/>
        </w:rPr>
        <w:t xml:space="preserve"> </w:t>
      </w:r>
    </w:p>
    <w:p w14:paraId="0000060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goods were purchased from a producer by a foreign authority, that artificially increases the revenue gained from selling the goods; or</w:t>
      </w:r>
    </w:p>
    <w:p w14:paraId="0000060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 foreign authority has:  </w:t>
      </w:r>
    </w:p>
    <w:p w14:paraId="0000060E" w14:textId="77777777" w:rsidR="00416D85" w:rsidRPr="007C60AF" w:rsidRDefault="00130320">
      <w:pPr>
        <w:numPr>
          <w:ilvl w:val="1"/>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made payments through a financial mechanism, or </w:t>
      </w:r>
    </w:p>
    <w:p w14:paraId="0000060F" w14:textId="77777777" w:rsidR="00416D85" w:rsidRPr="007C60AF" w:rsidRDefault="00130320">
      <w:pPr>
        <w:numPr>
          <w:ilvl w:val="1"/>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entrusted or directed a private body to carry out any of the above functions.</w:t>
      </w:r>
    </w:p>
    <w:p w14:paraId="00000610"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t>For all subsidy programmes listed above, please explain and provide documentary evidence of the subsidy programme (the financial contribution), including:</w:t>
      </w:r>
    </w:p>
    <w:p w14:paraId="0000061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subsidy programme’s commencement </w:t>
      </w:r>
      <w:proofErr w:type="gramStart"/>
      <w:r w:rsidRPr="007C60AF">
        <w:rPr>
          <w:rFonts w:eastAsia="Arial"/>
          <w:color w:val="000000"/>
        </w:rPr>
        <w:t>date;</w:t>
      </w:r>
      <w:proofErr w:type="gramEnd"/>
    </w:p>
    <w:p w14:paraId="0000061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subsidy amount or value; and</w:t>
      </w:r>
    </w:p>
    <w:p w14:paraId="0000061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frequency of subsidy i.e. one-off or re-occurring.</w:t>
      </w:r>
    </w:p>
    <w:tbl>
      <w:tblPr>
        <w:tblStyle w:val="afffff2"/>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7"/>
        <w:gridCol w:w="4462"/>
        <w:gridCol w:w="7"/>
      </w:tblGrid>
      <w:tr w:rsidR="00416D85" w:rsidRPr="007C60AF" w14:paraId="487CE5F7" w14:textId="77777777">
        <w:trPr>
          <w:gridAfter w:val="1"/>
          <w:wAfter w:w="7" w:type="dxa"/>
        </w:trPr>
        <w:tc>
          <w:tcPr>
            <w:tcW w:w="8919" w:type="dxa"/>
            <w:gridSpan w:val="2"/>
          </w:tcPr>
          <w:p w14:paraId="00000614" w14:textId="77777777" w:rsidR="00416D85" w:rsidRPr="007C60AF" w:rsidRDefault="00130320">
            <w:pPr>
              <w:pBdr>
                <w:top w:val="nil"/>
                <w:left w:val="nil"/>
                <w:bottom w:val="nil"/>
                <w:right w:val="nil"/>
                <w:between w:val="nil"/>
              </w:pBdr>
              <w:spacing w:after="0" w:line="276" w:lineRule="auto"/>
              <w:jc w:val="both"/>
              <w:rPr>
                <w:color w:val="4472C4"/>
              </w:rPr>
            </w:pPr>
            <w:r w:rsidRPr="007C60AF">
              <w:rPr>
                <w:color w:val="4472C4"/>
              </w:rPr>
              <w:lastRenderedPageBreak/>
              <w:t>Please see Appendix F.1 for this response.</w:t>
            </w:r>
          </w:p>
        </w:tc>
      </w:tr>
      <w:tr w:rsidR="00416D85" w:rsidRPr="007C60AF" w14:paraId="7A8F001B" w14:textId="77777777">
        <w:tc>
          <w:tcPr>
            <w:tcW w:w="4457" w:type="dxa"/>
            <w:tcBorders>
              <w:top w:val="single" w:sz="4" w:space="0" w:color="FFFFFF"/>
              <w:left w:val="nil"/>
              <w:bottom w:val="nil"/>
              <w:right w:val="single" w:sz="4" w:space="0" w:color="000000"/>
            </w:tcBorders>
            <w:tcMar>
              <w:top w:w="28" w:type="dxa"/>
              <w:left w:w="57" w:type="dxa"/>
              <w:bottom w:w="28" w:type="dxa"/>
              <w:right w:w="28" w:type="dxa"/>
            </w:tcMar>
          </w:tcPr>
          <w:p w14:paraId="00000616" w14:textId="77777777" w:rsidR="00416D85" w:rsidRPr="007C60AF" w:rsidRDefault="00416D85">
            <w:pPr>
              <w:jc w:val="both"/>
            </w:pPr>
          </w:p>
        </w:tc>
        <w:tc>
          <w:tcPr>
            <w:tcW w:w="4469" w:type="dxa"/>
            <w:gridSpan w:val="2"/>
            <w:tcBorders>
              <w:left w:val="single" w:sz="4" w:space="0" w:color="000000"/>
            </w:tcBorders>
            <w:tcMar>
              <w:top w:w="28" w:type="dxa"/>
              <w:left w:w="57" w:type="dxa"/>
              <w:bottom w:w="28" w:type="dxa"/>
              <w:right w:w="28" w:type="dxa"/>
            </w:tcMar>
          </w:tcPr>
          <w:p w14:paraId="00000617" w14:textId="77777777" w:rsidR="00416D85" w:rsidRPr="007C60AF" w:rsidRDefault="00130320">
            <w:pPr>
              <w:jc w:val="both"/>
            </w:pPr>
            <w:r w:rsidRPr="007C60AF">
              <w:t xml:space="preserve">Appendix reference: </w:t>
            </w:r>
            <w:r w:rsidRPr="007C60AF">
              <w:rPr>
                <w:color w:val="4472C4"/>
              </w:rPr>
              <w:t>F.1</w:t>
            </w:r>
          </w:p>
        </w:tc>
      </w:tr>
    </w:tbl>
    <w:p w14:paraId="00000619" w14:textId="77777777" w:rsidR="00416D85" w:rsidRPr="007C60AF" w:rsidRDefault="00416D85">
      <w:pPr>
        <w:pBdr>
          <w:top w:val="nil"/>
          <w:left w:val="nil"/>
          <w:bottom w:val="nil"/>
          <w:right w:val="nil"/>
          <w:between w:val="nil"/>
        </w:pBdr>
        <w:spacing w:after="0" w:line="276" w:lineRule="auto"/>
        <w:ind w:firstLine="284"/>
        <w:jc w:val="both"/>
        <w:rPr>
          <w:color w:val="000000"/>
        </w:rPr>
      </w:pPr>
    </w:p>
    <w:p w14:paraId="0000061A"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t>For all subsidy programmes listed above, please explain and provide documentary evidence that the subsidy has been (or is still being) provided by a foreign authority.</w:t>
      </w:r>
    </w:p>
    <w:tbl>
      <w:tblPr>
        <w:tblStyle w:val="afffff3"/>
        <w:tblW w:w="9016" w:type="dxa"/>
        <w:tblLayout w:type="fixed"/>
        <w:tblLook w:val="0400" w:firstRow="0" w:lastRow="0" w:firstColumn="0" w:lastColumn="0" w:noHBand="0" w:noVBand="1"/>
      </w:tblPr>
      <w:tblGrid>
        <w:gridCol w:w="9016"/>
      </w:tblGrid>
      <w:tr w:rsidR="00416D85" w:rsidRPr="007C60AF" w14:paraId="5B0401AB"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1B" w14:textId="77777777" w:rsidR="00416D85" w:rsidRPr="007C60AF" w:rsidRDefault="00130320">
            <w:pPr>
              <w:pBdr>
                <w:top w:val="nil"/>
                <w:left w:val="nil"/>
                <w:bottom w:val="nil"/>
                <w:right w:val="nil"/>
                <w:between w:val="nil"/>
              </w:pBdr>
              <w:spacing w:after="0" w:line="276" w:lineRule="auto"/>
              <w:jc w:val="both"/>
              <w:rPr>
                <w:i/>
                <w:color w:val="808080"/>
              </w:rPr>
            </w:pPr>
            <w:r w:rsidRPr="007C60AF">
              <w:rPr>
                <w:color w:val="4472C4"/>
              </w:rPr>
              <w:t xml:space="preserve">Please see Appendices F.1 for this response. </w:t>
            </w:r>
          </w:p>
        </w:tc>
      </w:tr>
    </w:tbl>
    <w:p w14:paraId="0000061C" w14:textId="77777777" w:rsidR="00416D85" w:rsidRPr="007C60AF" w:rsidRDefault="00416D85">
      <w:pPr>
        <w:widowControl w:val="0"/>
        <w:pBdr>
          <w:top w:val="nil"/>
          <w:left w:val="nil"/>
          <w:bottom w:val="nil"/>
          <w:right w:val="nil"/>
          <w:between w:val="nil"/>
        </w:pBdr>
        <w:spacing w:after="0" w:line="276" w:lineRule="auto"/>
        <w:rPr>
          <w:i/>
          <w:color w:val="808080"/>
        </w:rPr>
      </w:pPr>
    </w:p>
    <w:tbl>
      <w:tblPr>
        <w:tblStyle w:val="affff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43C0F2AF" w14:textId="77777777">
        <w:tc>
          <w:tcPr>
            <w:tcW w:w="4508" w:type="dxa"/>
            <w:tcBorders>
              <w:top w:val="single" w:sz="4" w:space="0" w:color="FFFFFF"/>
              <w:left w:val="nil"/>
              <w:bottom w:val="nil"/>
              <w:right w:val="single" w:sz="4" w:space="0" w:color="000000"/>
            </w:tcBorders>
          </w:tcPr>
          <w:p w14:paraId="0000061D" w14:textId="77777777" w:rsidR="00416D85" w:rsidRPr="007C60AF" w:rsidRDefault="00416D85">
            <w:pPr>
              <w:jc w:val="both"/>
            </w:pPr>
          </w:p>
        </w:tc>
        <w:tc>
          <w:tcPr>
            <w:tcW w:w="4508" w:type="dxa"/>
            <w:tcBorders>
              <w:left w:val="single" w:sz="4" w:space="0" w:color="000000"/>
            </w:tcBorders>
          </w:tcPr>
          <w:p w14:paraId="0000061E" w14:textId="77777777" w:rsidR="00416D85" w:rsidRPr="007C60AF" w:rsidRDefault="00130320">
            <w:pPr>
              <w:jc w:val="both"/>
            </w:pPr>
            <w:r w:rsidRPr="007C60AF">
              <w:t xml:space="preserve">Appendix reference: </w:t>
            </w:r>
            <w:r w:rsidRPr="007C60AF">
              <w:rPr>
                <w:color w:val="4472C4"/>
              </w:rPr>
              <w:t>F.1</w:t>
            </w:r>
          </w:p>
        </w:tc>
      </w:tr>
    </w:tbl>
    <w:p w14:paraId="0000061F" w14:textId="77777777" w:rsidR="00416D85" w:rsidRPr="007C60AF" w:rsidRDefault="00416D85">
      <w:pPr>
        <w:pBdr>
          <w:top w:val="nil"/>
          <w:left w:val="nil"/>
          <w:bottom w:val="nil"/>
          <w:right w:val="nil"/>
          <w:between w:val="nil"/>
        </w:pBdr>
        <w:spacing w:after="0" w:line="276" w:lineRule="auto"/>
        <w:ind w:firstLine="284"/>
        <w:jc w:val="both"/>
        <w:rPr>
          <w:color w:val="000000"/>
        </w:rPr>
      </w:pPr>
    </w:p>
    <w:p w14:paraId="00000620"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As well as establishing that a subsidy is in place, we need to understand the benefit it confers on the recipient. A benefit cannot exist theoretically – it </w:t>
      </w:r>
      <w:proofErr w:type="gramStart"/>
      <w:r w:rsidRPr="007C60AF">
        <w:rPr>
          <w:rFonts w:eastAsia="Arial"/>
          <w:color w:val="000000"/>
        </w:rPr>
        <w:t>has to</w:t>
      </w:r>
      <w:proofErr w:type="gramEnd"/>
      <w:r w:rsidRPr="007C60AF">
        <w:rPr>
          <w:rFonts w:eastAsia="Arial"/>
          <w:color w:val="000000"/>
        </w:rPr>
        <w:t xml:space="preserve"> be received by a recipient. It is important to note that the recipient of the benefit doesn’t necessarily need to be the same recipient that received the financial contribution. For example, a subsidy provided to an upstream industry provides a benefit to a downstream industry.</w:t>
      </w:r>
    </w:p>
    <w:p w14:paraId="00000621"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t>For all subsidy programmes listed above, please explain and provide documentary evidence of the effect of the subsidy on the production and sales of the goods being imported to the UK.</w:t>
      </w:r>
    </w:p>
    <w:tbl>
      <w:tblPr>
        <w:tblStyle w:val="afffff5"/>
        <w:tblW w:w="9016" w:type="dxa"/>
        <w:tblLayout w:type="fixed"/>
        <w:tblLook w:val="0400" w:firstRow="0" w:lastRow="0" w:firstColumn="0" w:lastColumn="0" w:noHBand="0" w:noVBand="1"/>
      </w:tblPr>
      <w:tblGrid>
        <w:gridCol w:w="9016"/>
      </w:tblGrid>
      <w:tr w:rsidR="00416D85" w:rsidRPr="007C60AF" w14:paraId="6275688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22" w14:textId="77777777" w:rsidR="00416D85" w:rsidRPr="007C60AF" w:rsidRDefault="00130320">
            <w:pPr>
              <w:numPr>
                <w:ilvl w:val="6"/>
                <w:numId w:val="50"/>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The requested details are available in Appendix F.1. However, given the magnitude and importance of several subsidy schemes, this section describes the following and their effect on the production and sales of the goods concerned in detail: (i) Blender's Tax Credit; (ii) Producer's Tax Credit; and (iii) Import duty elimination on UCO.</w:t>
            </w:r>
          </w:p>
          <w:p w14:paraId="0000062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4" w14:textId="77777777" w:rsidR="00416D85" w:rsidRPr="007C60AF" w:rsidRDefault="00130320">
            <w:pPr>
              <w:numPr>
                <w:ilvl w:val="0"/>
                <w:numId w:val="73"/>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Blender's Tax Credit</w:t>
            </w:r>
          </w:p>
          <w:p w14:paraId="00000625" w14:textId="77777777" w:rsidR="00416D85" w:rsidRPr="007C60AF" w:rsidRDefault="00416D85">
            <w:pPr>
              <w:pBdr>
                <w:top w:val="nil"/>
                <w:left w:val="nil"/>
                <w:bottom w:val="nil"/>
                <w:right w:val="nil"/>
                <w:between w:val="nil"/>
              </w:pBdr>
              <w:spacing w:after="0" w:line="276" w:lineRule="auto"/>
              <w:ind w:left="720"/>
              <w:jc w:val="both"/>
              <w:rPr>
                <w:rFonts w:eastAsia="Arial"/>
                <w:color w:val="4472C4"/>
              </w:rPr>
            </w:pPr>
          </w:p>
          <w:p w14:paraId="00000626"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principal federal subsidy programme in the US is the Biodiesel Mixture Credit (also known as the Blender's Tax Credit (the "</w:t>
            </w:r>
            <w:r w:rsidRPr="007C60AF">
              <w:rPr>
                <w:rFonts w:eastAsia="Arial"/>
                <w:b/>
                <w:color w:val="4472C4"/>
              </w:rPr>
              <w:t>BTC</w:t>
            </w:r>
            <w:r w:rsidRPr="007C60AF">
              <w:rPr>
                <w:rFonts w:eastAsia="Arial"/>
                <w:color w:val="4472C4"/>
              </w:rPr>
              <w:t>")). This subsidy was established in 2005 by the American Jobs Creation Act of 2004, and has been amended over time, mostly recently by the Inflation Reduction Act of 2022. The key provision detailing the BTC is set out at Section 40A of the Internal Revenue Code of 1986 (the "</w:t>
            </w:r>
            <w:r w:rsidRPr="007C60AF">
              <w:rPr>
                <w:rFonts w:eastAsia="Arial"/>
                <w:b/>
                <w:color w:val="4472C4"/>
              </w:rPr>
              <w:t>IRC</w:t>
            </w:r>
            <w:r w:rsidRPr="007C60AF">
              <w:rPr>
                <w:rFonts w:eastAsia="Arial"/>
                <w:color w:val="4472C4"/>
              </w:rPr>
              <w:t xml:space="preserve">"). Section 40A comprises of three credits: the BTC, the biodiesel credit, and in the case of an eligible small </w:t>
            </w:r>
            <w:proofErr w:type="spellStart"/>
            <w:r w:rsidRPr="007C60AF">
              <w:rPr>
                <w:rFonts w:eastAsia="Arial"/>
                <w:color w:val="4472C4"/>
              </w:rPr>
              <w:t>agri</w:t>
            </w:r>
            <w:proofErr w:type="spellEnd"/>
            <w:r w:rsidRPr="007C60AF">
              <w:rPr>
                <w:rFonts w:eastAsia="Arial"/>
                <w:color w:val="4472C4"/>
              </w:rPr>
              <w:t xml:space="preserve">-biodiesel producer, the 'small </w:t>
            </w:r>
            <w:proofErr w:type="spellStart"/>
            <w:r w:rsidRPr="007C60AF">
              <w:rPr>
                <w:rFonts w:eastAsia="Arial"/>
                <w:color w:val="4472C4"/>
              </w:rPr>
              <w:t>agri</w:t>
            </w:r>
            <w:proofErr w:type="spellEnd"/>
            <w:r w:rsidRPr="007C60AF">
              <w:rPr>
                <w:rFonts w:eastAsia="Arial"/>
                <w:color w:val="4472C4"/>
              </w:rPr>
              <w:t xml:space="preserve">-biodiesel producer credit'. The BTC is the largest known subsidy scheme utilised by US HVO producers; therefore, it has the biggest effect on the production and sales of the goods and is set out in more detail this section. </w:t>
            </w:r>
          </w:p>
          <w:p w14:paraId="0000062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8"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BTC will apply in its current form as described here until 31 December 2024, at which point it will be replaced by the Clean Fuel Production Credit (also referred to here as the Producer's Tax Credit, ("</w:t>
            </w:r>
            <w:r w:rsidRPr="007C60AF">
              <w:rPr>
                <w:rFonts w:eastAsia="Arial"/>
                <w:b/>
                <w:color w:val="4472C4"/>
              </w:rPr>
              <w:t>PTC</w:t>
            </w:r>
            <w:r w:rsidRPr="007C60AF">
              <w:rPr>
                <w:rFonts w:eastAsia="Arial"/>
                <w:color w:val="4472C4"/>
              </w:rPr>
              <w:t xml:space="preserve">")). For more information on these two subsidy programmes, please also refer to Appendix F.1 as well as Part II below. </w:t>
            </w:r>
          </w:p>
          <w:p w14:paraId="00000629"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A"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To be eligible for the BTC, a company must create a mixture of biodiesel and diesel fuel, which is sold as a fuel or for use as a fuel by the taxpayer producing the mixture. For the purposes of the BTC, renewable diesel (i.e. HVO) is treated in the same manner as biodiesel and is also eligible. The BTC allows a tax credit of 1.00 USD for each gallon for biodiesel, for any taxable year, used by the taxpayer/producer in the production of a qualified biodiesel mixture, as outlined in Section 40A of the IRC.</w:t>
            </w:r>
            <w:r w:rsidRPr="007C60AF">
              <w:rPr>
                <w:rFonts w:eastAsia="Arial"/>
                <w:color w:val="4472C4"/>
                <w:vertAlign w:val="superscript"/>
              </w:rPr>
              <w:footnoteReference w:id="138"/>
            </w:r>
            <w:r w:rsidRPr="007C60AF">
              <w:rPr>
                <w:rFonts w:eastAsia="Arial"/>
                <w:color w:val="4472C4"/>
                <w:vertAlign w:val="superscript"/>
              </w:rPr>
              <w:t xml:space="preserve"> </w:t>
            </w:r>
          </w:p>
          <w:p w14:paraId="0000062B"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C"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Joint Committee on Taxation estimates that for fiscal years 2023 through 2025, producers will claim 5.6 billion USD in biofuel tax credits, including the BTC.</w:t>
            </w:r>
            <w:r w:rsidRPr="007C60AF">
              <w:rPr>
                <w:rFonts w:eastAsia="Arial"/>
                <w:color w:val="4472C4"/>
                <w:vertAlign w:val="superscript"/>
              </w:rPr>
              <w:footnoteReference w:id="139"/>
            </w:r>
            <w:r w:rsidRPr="007C60AF">
              <w:rPr>
                <w:rFonts w:eastAsia="Arial"/>
                <w:color w:val="4472C4"/>
              </w:rPr>
              <w:t xml:space="preserve"> As found by the European Commission during its expiry review, this credit takes the form of an excise tax credit or, if a company’s excise tax liability is less than the total excise tax credit, the company may then claim the residual credit as a refundable income tax credit. A refundable income tax credit is a credit against the taxpayer’s income taxes or a direct payment. It is refundable because the excess credit can be disbursed to the taxpayer as a direct cash payment if the credit is greater than the individual’s tax liability. The European Commission held that the BTC was a subsidy under EU law and that the BTC provided a significant </w:t>
            </w:r>
            <w:proofErr w:type="gramStart"/>
            <w:r w:rsidRPr="007C60AF">
              <w:rPr>
                <w:rFonts w:eastAsia="Arial"/>
                <w:color w:val="4472C4"/>
              </w:rPr>
              <w:t>amount</w:t>
            </w:r>
            <w:proofErr w:type="gramEnd"/>
            <w:r w:rsidRPr="007C60AF">
              <w:rPr>
                <w:rFonts w:eastAsia="Arial"/>
                <w:color w:val="4472C4"/>
              </w:rPr>
              <w:t xml:space="preserve"> of subsidies to the US biodiesel exporting producers.</w:t>
            </w:r>
            <w:r w:rsidRPr="007C60AF">
              <w:rPr>
                <w:rFonts w:eastAsia="Arial"/>
                <w:color w:val="4472C4"/>
                <w:vertAlign w:val="superscript"/>
              </w:rPr>
              <w:footnoteReference w:id="140"/>
            </w:r>
          </w:p>
          <w:p w14:paraId="0000062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E"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To calculate the amount of benefit that the US producers receive from the BTC the following methodology was applied. Producers receive a tax credit of 1.00 USD for each gallon of biodiesel. One US gallon is 3.78541 litres, which means that the tax credit is 0.26 USD per litre. Given the average density of HVO of 0.780 l/MT, a producer receives 264.00 USD per cubic metre and 336.00 USD per MT. </w:t>
            </w:r>
          </w:p>
          <w:p w14:paraId="0000062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30"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current market situation favours US HVO, which is heavily subsidised.</w:t>
            </w:r>
          </w:p>
          <w:p w14:paraId="0000063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32"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lastRenderedPageBreak/>
              <w:t>This is causing RTFC prices in the UK to be negatively impacted, where HVO is directly competing with FAME for blending into road diesel. There have been several occasions during 2024 where it has been more expensive to blend UCOME into diesel than just buy RTFCs from imported US HVO. The effect of the BTC has resulted in the production of US HVO being much cheaper and, consequently, the UK producers of FAME are less competitive in the biofuel market.</w:t>
            </w:r>
          </w:p>
          <w:p w14:paraId="0000063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34" w14:textId="77777777" w:rsidR="00416D85" w:rsidRPr="007C60AF" w:rsidRDefault="00130320">
            <w:pPr>
              <w:numPr>
                <w:ilvl w:val="0"/>
                <w:numId w:val="73"/>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Producer's Tax Credit</w:t>
            </w:r>
          </w:p>
          <w:p w14:paraId="00000635" w14:textId="77777777" w:rsidR="00416D85" w:rsidRPr="007C60AF" w:rsidRDefault="00416D85">
            <w:pPr>
              <w:pBdr>
                <w:top w:val="nil"/>
                <w:left w:val="nil"/>
                <w:bottom w:val="nil"/>
                <w:right w:val="nil"/>
                <w:between w:val="nil"/>
              </w:pBdr>
              <w:spacing w:after="0" w:line="276" w:lineRule="auto"/>
              <w:ind w:left="720"/>
              <w:jc w:val="both"/>
              <w:rPr>
                <w:rFonts w:eastAsia="Arial"/>
                <w:color w:val="4472C4"/>
              </w:rPr>
            </w:pPr>
          </w:p>
          <w:p w14:paraId="00000636"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Inflation Reduction Act of 2022 added new Section 45Z to the IRC. This consolidates and replaces the expiring legacy subsidies, including the BTC, to provide a tax credit for the US domestic production of clean transportation fuels meeting the emissions and production standards. The PTC takes effect from 1 January 2025. To distinguish from the expiring legacy subsidies which subsidise specific types of low-GHG emission fuels, the PTC is technology neutral and is intended to subsidise the production of </w:t>
            </w:r>
            <w:r w:rsidRPr="007C60AF">
              <w:rPr>
                <w:rFonts w:eastAsia="Arial"/>
                <w:color w:val="4472C4"/>
                <w:u w:val="single"/>
              </w:rPr>
              <w:t>any</w:t>
            </w:r>
            <w:r w:rsidRPr="007C60AF">
              <w:rPr>
                <w:rFonts w:eastAsia="Arial"/>
                <w:color w:val="4472C4"/>
              </w:rPr>
              <w:t xml:space="preserve"> transportation fuel with zero or low GHG emissions.</w:t>
            </w:r>
            <w:r w:rsidRPr="007C60AF">
              <w:rPr>
                <w:rFonts w:eastAsia="Arial"/>
                <w:color w:val="4472C4"/>
                <w:vertAlign w:val="superscript"/>
              </w:rPr>
              <w:footnoteReference w:id="141"/>
            </w:r>
          </w:p>
          <w:p w14:paraId="0000063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38" w14:textId="77777777" w:rsidR="00416D85" w:rsidRPr="007C60AF" w:rsidRDefault="00130320">
            <w:pPr>
              <w:numPr>
                <w:ilvl w:val="6"/>
                <w:numId w:val="50"/>
              </w:numPr>
              <w:pBdr>
                <w:top w:val="nil"/>
                <w:left w:val="nil"/>
                <w:bottom w:val="nil"/>
                <w:right w:val="nil"/>
                <w:between w:val="nil"/>
              </w:pBdr>
              <w:spacing w:line="276" w:lineRule="auto"/>
              <w:jc w:val="both"/>
              <w:rPr>
                <w:rFonts w:eastAsia="Arial"/>
                <w:color w:val="4472C4"/>
              </w:rPr>
            </w:pPr>
            <w:r w:rsidRPr="007C60AF">
              <w:rPr>
                <w:rFonts w:eastAsia="Arial"/>
                <w:color w:val="4472C4"/>
              </w:rPr>
              <w:t>The PTC is divided into two broad categories of fuel: SAF and non-SAF transportation fuel.  The definitions applicable of non-SAF transportation fuel includes renewable diesel i.e. HVO, within the definition of a low-GHG diesel fuel. The PTC is described as a "non-refundable general business credit" which meets the following credit for a qualifying transportation fuels:</w:t>
            </w:r>
            <w:r w:rsidRPr="007C60AF">
              <w:rPr>
                <w:rFonts w:eastAsia="Arial"/>
                <w:color w:val="4472C4"/>
                <w:vertAlign w:val="superscript"/>
              </w:rPr>
              <w:footnoteReference w:id="142"/>
            </w:r>
          </w:p>
          <w:p w14:paraId="00000639"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Is suitable for use in a highway vehicle or </w:t>
            </w:r>
            <w:proofErr w:type="gramStart"/>
            <w:r w:rsidRPr="007C60AF">
              <w:rPr>
                <w:rFonts w:eastAsia="Arial"/>
                <w:color w:val="4472C4"/>
              </w:rPr>
              <w:t>aircraft;</w:t>
            </w:r>
            <w:proofErr w:type="gramEnd"/>
          </w:p>
          <w:p w14:paraId="0000063A"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Has an emissions rate that is not greater than 50 grams of carbon dioxide equivalent per million British thermal </w:t>
            </w:r>
            <w:proofErr w:type="gramStart"/>
            <w:r w:rsidRPr="007C60AF">
              <w:rPr>
                <w:rFonts w:eastAsia="Arial"/>
                <w:color w:val="4472C4"/>
              </w:rPr>
              <w:t>units;</w:t>
            </w:r>
            <w:proofErr w:type="gramEnd"/>
          </w:p>
          <w:p w14:paraId="0000063B"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Is produced by the claimant at a qualified </w:t>
            </w:r>
            <w:proofErr w:type="gramStart"/>
            <w:r w:rsidRPr="007C60AF">
              <w:rPr>
                <w:rFonts w:eastAsia="Arial"/>
                <w:color w:val="4472C4"/>
              </w:rPr>
              <w:t>facility;</w:t>
            </w:r>
            <w:proofErr w:type="gramEnd"/>
          </w:p>
          <w:p w14:paraId="0000063C"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Is sold by the claimant to an unrelated third party for specified uses or for retail sale; and</w:t>
            </w:r>
          </w:p>
          <w:p w14:paraId="0000063D"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Is produced in the US.</w:t>
            </w:r>
          </w:p>
          <w:p w14:paraId="0000063E" w14:textId="77777777" w:rsidR="00416D85" w:rsidRPr="007C60AF" w:rsidRDefault="00416D85">
            <w:pPr>
              <w:pBdr>
                <w:top w:val="nil"/>
                <w:left w:val="nil"/>
                <w:bottom w:val="nil"/>
                <w:right w:val="nil"/>
                <w:between w:val="nil"/>
              </w:pBdr>
              <w:spacing w:after="0" w:line="276" w:lineRule="auto"/>
              <w:jc w:val="both"/>
              <w:rPr>
                <w:color w:val="4472C4"/>
              </w:rPr>
            </w:pPr>
          </w:p>
          <w:p w14:paraId="0000063F" w14:textId="77777777" w:rsidR="00416D85" w:rsidRPr="007C60AF" w:rsidRDefault="00130320">
            <w:pPr>
              <w:numPr>
                <w:ilvl w:val="6"/>
                <w:numId w:val="50"/>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lastRenderedPageBreak/>
              <w:t>Additionally, the guidance in Appendix A of the IRS Notice identifies the feedstocks and feedstock types associated with the varieties of fuel that may qualify as transportation fuel. These include but are not limited to agricultural residue, biogas, biomass, ethanol, industrial byproducts, and mixed organic waste.</w:t>
            </w:r>
            <w:r w:rsidRPr="007C60AF">
              <w:rPr>
                <w:rFonts w:eastAsia="Arial"/>
                <w:color w:val="4472C4"/>
                <w:vertAlign w:val="superscript"/>
              </w:rPr>
              <w:footnoteReference w:id="143"/>
            </w:r>
            <w:r w:rsidRPr="007C60AF">
              <w:rPr>
                <w:rFonts w:eastAsia="Arial"/>
                <w:color w:val="4472C4"/>
                <w:vertAlign w:val="superscript"/>
              </w:rPr>
              <w:t xml:space="preserve">  </w:t>
            </w:r>
          </w:p>
          <w:p w14:paraId="00000640"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41"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PTC will apply to the qualifying clean fuel produced after 31 December 2024 and before 1 January 2028. The PTC is structured on a sliding scale so that producers become eligible for larger credits as the GHG emissions of the fuels they produce approach zero. For producers meeting prevailing wage and registered apprenticeship requirements, the maximum credit is 1.00 USD per gallon of non-aviation fuel and 1.75 USD per gallon of aviation fuel. For producers not meeting prevailing wage and registered apprenticeship requirements, the maximum credit is 0.20 USD per gallon of non-aviation fuel and 0.35 USD per gallon of aviation fuel.</w:t>
            </w:r>
            <w:r w:rsidRPr="007C60AF">
              <w:rPr>
                <w:rFonts w:eastAsia="Arial"/>
                <w:color w:val="4472C4"/>
                <w:vertAlign w:val="superscript"/>
              </w:rPr>
              <w:footnoteReference w:id="144"/>
            </w:r>
            <w:r w:rsidRPr="007C60AF">
              <w:rPr>
                <w:rFonts w:eastAsia="Arial"/>
                <w:color w:val="4472C4"/>
              </w:rPr>
              <w:t xml:space="preserve"> It is reported that 1.96 billion USD</w:t>
            </w:r>
            <w:r w:rsidRPr="007C60AF">
              <w:rPr>
                <w:rFonts w:eastAsia="Arial"/>
                <w:color w:val="4472C4"/>
                <w:vertAlign w:val="superscript"/>
              </w:rPr>
              <w:footnoteReference w:id="145"/>
            </w:r>
            <w:r w:rsidRPr="007C60AF">
              <w:rPr>
                <w:rFonts w:eastAsia="Arial"/>
                <w:color w:val="4472C4"/>
              </w:rPr>
              <w:t xml:space="preserve"> has been allocated for the PTC beginning in 2025, which provides a significant subsidy to the production of clean fuels, including HVO and SAF. </w:t>
            </w:r>
          </w:p>
          <w:p w14:paraId="00000642"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43" w14:textId="77777777" w:rsidR="00416D85" w:rsidRPr="007C60AF" w:rsidRDefault="00130320">
            <w:pPr>
              <w:numPr>
                <w:ilvl w:val="0"/>
                <w:numId w:val="73"/>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Import duty elimination on UCO</w:t>
            </w:r>
          </w:p>
          <w:p w14:paraId="00000644" w14:textId="77777777" w:rsidR="00416D85" w:rsidRPr="007C60AF" w:rsidRDefault="00416D85">
            <w:pPr>
              <w:pBdr>
                <w:top w:val="nil"/>
                <w:left w:val="nil"/>
                <w:bottom w:val="nil"/>
                <w:right w:val="nil"/>
                <w:between w:val="nil"/>
              </w:pBdr>
              <w:spacing w:after="0" w:line="276" w:lineRule="auto"/>
              <w:ind w:left="720"/>
              <w:jc w:val="both"/>
              <w:rPr>
                <w:rFonts w:eastAsia="Arial"/>
                <w:color w:val="4472C4"/>
                <w:u w:val="single"/>
              </w:rPr>
            </w:pPr>
          </w:p>
          <w:p w14:paraId="00000645" w14:textId="42B77844"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In addition, it is understood that, on top of the BTC, US HVO producers that are importing Chinese UCO feedstock via Foreign Trade Zones ("</w:t>
            </w:r>
            <w:r w:rsidRPr="007C60AF">
              <w:rPr>
                <w:rFonts w:eastAsia="Arial"/>
                <w:b/>
                <w:color w:val="4472C4"/>
              </w:rPr>
              <w:t>FTZs</w:t>
            </w:r>
            <w:r w:rsidRPr="007C60AF">
              <w:rPr>
                <w:rFonts w:eastAsia="Arial"/>
                <w:color w:val="4472C4"/>
              </w:rPr>
              <w:t xml:space="preserve">") also benefit from an exemption on import duties. Chinese UCO is subject to a tariff rate of 15.5% when exported to the US. </w:t>
            </w:r>
            <w:r w:rsidR="00032AA5" w:rsidRPr="007C60AF">
              <w:rPr>
                <w:color w:val="4472C4"/>
              </w:rPr>
              <w:t xml:space="preserve">As referred to in the response to question F.1.1 above, the statistics from the RTFO show that </w:t>
            </w:r>
            <w:proofErr w:type="gramStart"/>
            <w:r w:rsidR="00032AA5" w:rsidRPr="007C60AF">
              <w:rPr>
                <w:color w:val="4472C4"/>
              </w:rPr>
              <w:t>the vast majority of</w:t>
            </w:r>
            <w:proofErr w:type="gramEnd"/>
            <w:r w:rsidR="00032AA5" w:rsidRPr="007C60AF">
              <w:rPr>
                <w:color w:val="4472C4"/>
              </w:rPr>
              <w:t xml:space="preserve"> imports of UCO originate from China. However, if the UCO from China enters an FTZ in the US and a production application is approved by the FTZ Board, then this could result in the tariff rate of 15.5% due by the US producer being eliminated. This is because a formal customs entry with duty payment is not made unless and until the product is shipped from the FTZ to the US market, with the final goods being re-exported tariff-free.</w:t>
            </w:r>
            <w:r w:rsidR="00032AA5" w:rsidRPr="007C60AF">
              <w:rPr>
                <w:b/>
                <w:bCs/>
                <w:color w:val="4472C4"/>
              </w:rPr>
              <w:t xml:space="preserve"> </w:t>
            </w:r>
            <w:r w:rsidRPr="007C60AF">
              <w:rPr>
                <w:rFonts w:eastAsia="Arial"/>
                <w:color w:val="4472C4"/>
              </w:rPr>
              <w:t xml:space="preserve">Therefore, where UCO is imported to an FTZ and used to produce fuel (after the importer has received production authorisation from the FTZ Board), if the fuel is then exported and does not enter US market, it is re-exported tariff-free. </w:t>
            </w:r>
          </w:p>
          <w:p w14:paraId="00000646"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47" w14:textId="22A5F611"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lastRenderedPageBreak/>
              <w:t>This is described in more detail in the response to question F.2.1 above,</w:t>
            </w:r>
            <w:r w:rsidRPr="007C60AF">
              <w:rPr>
                <w:color w:val="4472C4"/>
              </w:rPr>
              <w:t xml:space="preserve"> </w:t>
            </w:r>
            <w:r w:rsidR="00032AA5" w:rsidRPr="007C60AF">
              <w:rPr>
                <w:color w:val="4472C4"/>
              </w:rPr>
              <w:t>however, it arguably equates to a subsidy of 15.5% to the US HVO producer in the form of revenue forgone and not collected due to this incentive.</w:t>
            </w:r>
            <w:r w:rsidR="00032AA5" w:rsidRPr="007C60AF">
              <w:rPr>
                <w:rStyle w:val="FootnoteReference"/>
                <w:color w:val="4472C4"/>
              </w:rPr>
              <w:footnoteReference w:id="146"/>
            </w:r>
          </w:p>
          <w:p w14:paraId="00000648"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49" w14:textId="77777777" w:rsidR="00416D85" w:rsidRPr="007C60AF" w:rsidRDefault="00130320">
            <w:pPr>
              <w:numPr>
                <w:ilvl w:val="6"/>
                <w:numId w:val="50"/>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In addition to the core subsidies described in Parts I, II, and III, there is a broad spectrum of subsidies found at the state level in the US which are listed in Appendix F.1 and are suspected to benefit US HVO producers, resulting in lower production costs for HVO in the US. The cumulative effect of these subsidy programmes, which the Applicants estimate to be a combined amount of approximately </w:t>
            </w:r>
            <w:r w:rsidRPr="007C60AF">
              <w:rPr>
                <w:rFonts w:eastAsia="Arial"/>
                <w:b/>
                <w:color w:val="4472C4"/>
              </w:rPr>
              <w:t>[15-40]</w:t>
            </w:r>
            <w:r w:rsidRPr="007C60AF">
              <w:rPr>
                <w:rFonts w:eastAsia="Arial"/>
                <w:color w:val="4472C4"/>
              </w:rPr>
              <w:t>% subsidisation (</w:t>
            </w:r>
            <w:r w:rsidRPr="007C60AF">
              <w:rPr>
                <w:rFonts w:eastAsia="Arial"/>
                <w:i/>
                <w:color w:val="4472C4"/>
              </w:rPr>
              <w:t xml:space="preserve">see </w:t>
            </w:r>
            <w:r w:rsidRPr="007C60AF">
              <w:rPr>
                <w:rFonts w:eastAsia="Arial"/>
                <w:color w:val="4472C4"/>
              </w:rPr>
              <w:t xml:space="preserve">Appendix F.2), has resulted in UK producers of FAME being less able to compete on a level playing field with the HVO imported from the US. </w:t>
            </w:r>
          </w:p>
        </w:tc>
      </w:tr>
    </w:tbl>
    <w:p w14:paraId="0000064A"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f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4D371C51" w14:textId="77777777">
        <w:tc>
          <w:tcPr>
            <w:tcW w:w="4508" w:type="dxa"/>
            <w:tcBorders>
              <w:top w:val="single" w:sz="4" w:space="0" w:color="FFFFFF"/>
              <w:left w:val="nil"/>
              <w:bottom w:val="nil"/>
              <w:right w:val="single" w:sz="4" w:space="0" w:color="000000"/>
            </w:tcBorders>
          </w:tcPr>
          <w:p w14:paraId="0000064B" w14:textId="77777777" w:rsidR="00416D85" w:rsidRPr="007C60AF" w:rsidRDefault="00416D85">
            <w:pPr>
              <w:jc w:val="both"/>
            </w:pPr>
          </w:p>
        </w:tc>
        <w:tc>
          <w:tcPr>
            <w:tcW w:w="4508" w:type="dxa"/>
            <w:tcBorders>
              <w:left w:val="single" w:sz="4" w:space="0" w:color="000000"/>
            </w:tcBorders>
          </w:tcPr>
          <w:p w14:paraId="0000064C" w14:textId="77777777" w:rsidR="00416D85" w:rsidRPr="007C60AF" w:rsidRDefault="00130320">
            <w:pPr>
              <w:jc w:val="both"/>
            </w:pPr>
            <w:r w:rsidRPr="007C60AF">
              <w:t xml:space="preserve">Appendix reference: </w:t>
            </w:r>
            <w:r w:rsidRPr="007C60AF">
              <w:rPr>
                <w:color w:val="4472C4"/>
              </w:rPr>
              <w:t>F.1, F.2, F.12, F.13, F.14, F.15, F.16, F.17</w:t>
            </w:r>
          </w:p>
        </w:tc>
      </w:tr>
    </w:tbl>
    <w:p w14:paraId="0000064D" w14:textId="77777777" w:rsidR="00416D85" w:rsidRPr="007C60AF" w:rsidRDefault="00416D85">
      <w:pPr>
        <w:pBdr>
          <w:top w:val="nil"/>
          <w:left w:val="nil"/>
          <w:bottom w:val="nil"/>
          <w:right w:val="nil"/>
          <w:between w:val="nil"/>
        </w:pBdr>
        <w:spacing w:after="0" w:line="276" w:lineRule="auto"/>
        <w:jc w:val="both"/>
        <w:rPr>
          <w:color w:val="000000"/>
        </w:rPr>
      </w:pPr>
    </w:p>
    <w:p w14:paraId="0000064E"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t>For all subsidy programmes listed above, please explain and provide documentary evidence of the specific nature of the subsidy, including:</w:t>
      </w:r>
    </w:p>
    <w:p w14:paraId="0000064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conditions of eligibility to receive the </w:t>
      </w:r>
      <w:proofErr w:type="gramStart"/>
      <w:r w:rsidRPr="007C60AF">
        <w:rPr>
          <w:rFonts w:eastAsia="Arial"/>
          <w:color w:val="000000"/>
        </w:rPr>
        <w:t>subsidy;</w:t>
      </w:r>
      <w:proofErr w:type="gramEnd"/>
      <w:r w:rsidRPr="007C60AF">
        <w:rPr>
          <w:rFonts w:eastAsia="Arial"/>
          <w:color w:val="000000"/>
        </w:rPr>
        <w:t xml:space="preserve"> </w:t>
      </w:r>
    </w:p>
    <w:p w14:paraId="0000065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all known recipients of the </w:t>
      </w:r>
      <w:proofErr w:type="gramStart"/>
      <w:r w:rsidRPr="007C60AF">
        <w:rPr>
          <w:rFonts w:eastAsia="Arial"/>
          <w:color w:val="000000"/>
        </w:rPr>
        <w:t>subsidy;</w:t>
      </w:r>
      <w:proofErr w:type="gramEnd"/>
    </w:p>
    <w:p w14:paraId="0000065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whether the subsidy is only available to certain regions or territories within the exporting country.</w:t>
      </w:r>
    </w:p>
    <w:tbl>
      <w:tblPr>
        <w:tblStyle w:val="afffff7"/>
        <w:tblW w:w="9016" w:type="dxa"/>
        <w:tblLayout w:type="fixed"/>
        <w:tblLook w:val="0400" w:firstRow="0" w:lastRow="0" w:firstColumn="0" w:lastColumn="0" w:noHBand="0" w:noVBand="1"/>
      </w:tblPr>
      <w:tblGrid>
        <w:gridCol w:w="9016"/>
      </w:tblGrid>
      <w:tr w:rsidR="00416D85" w:rsidRPr="007C60AF" w14:paraId="56462824"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52" w14:textId="77777777" w:rsidR="00416D85" w:rsidRPr="007C60AF" w:rsidRDefault="00130320">
            <w:pPr>
              <w:pBdr>
                <w:top w:val="nil"/>
                <w:left w:val="nil"/>
                <w:bottom w:val="nil"/>
                <w:right w:val="nil"/>
                <w:between w:val="nil"/>
              </w:pBdr>
              <w:spacing w:after="0" w:line="276" w:lineRule="auto"/>
              <w:jc w:val="both"/>
              <w:rPr>
                <w:i/>
                <w:color w:val="808080"/>
              </w:rPr>
            </w:pPr>
            <w:r w:rsidRPr="007C60AF">
              <w:rPr>
                <w:color w:val="4472C4"/>
              </w:rPr>
              <w:t>Please see Appendix F.1 for this response.</w:t>
            </w:r>
          </w:p>
        </w:tc>
      </w:tr>
    </w:tbl>
    <w:p w14:paraId="00000653" w14:textId="77777777" w:rsidR="00416D85" w:rsidRPr="007C60AF" w:rsidRDefault="00416D85">
      <w:pPr>
        <w:widowControl w:val="0"/>
        <w:pBdr>
          <w:top w:val="nil"/>
          <w:left w:val="nil"/>
          <w:bottom w:val="nil"/>
          <w:right w:val="nil"/>
          <w:between w:val="nil"/>
        </w:pBdr>
        <w:spacing w:after="0" w:line="276" w:lineRule="auto"/>
        <w:rPr>
          <w:i/>
          <w:color w:val="808080"/>
        </w:rPr>
      </w:pPr>
    </w:p>
    <w:tbl>
      <w:tblPr>
        <w:tblStyle w:val="afff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5C7EC950" w14:textId="77777777">
        <w:tc>
          <w:tcPr>
            <w:tcW w:w="4508" w:type="dxa"/>
            <w:tcBorders>
              <w:top w:val="single" w:sz="4" w:space="0" w:color="FFFFFF"/>
              <w:left w:val="nil"/>
              <w:bottom w:val="nil"/>
              <w:right w:val="single" w:sz="4" w:space="0" w:color="000000"/>
            </w:tcBorders>
          </w:tcPr>
          <w:p w14:paraId="00000654" w14:textId="77777777" w:rsidR="00416D85" w:rsidRPr="007C60AF" w:rsidRDefault="00416D85">
            <w:pPr>
              <w:jc w:val="both"/>
            </w:pPr>
          </w:p>
        </w:tc>
        <w:tc>
          <w:tcPr>
            <w:tcW w:w="4508" w:type="dxa"/>
            <w:tcBorders>
              <w:left w:val="single" w:sz="4" w:space="0" w:color="000000"/>
            </w:tcBorders>
          </w:tcPr>
          <w:p w14:paraId="00000655" w14:textId="77777777" w:rsidR="00416D85" w:rsidRPr="007C60AF" w:rsidRDefault="00130320">
            <w:pPr>
              <w:jc w:val="both"/>
            </w:pPr>
            <w:r w:rsidRPr="007C60AF">
              <w:t xml:space="preserve">Appendix reference: </w:t>
            </w:r>
            <w:r w:rsidRPr="007C60AF">
              <w:rPr>
                <w:color w:val="4472C4"/>
              </w:rPr>
              <w:t>F.1</w:t>
            </w:r>
          </w:p>
        </w:tc>
      </w:tr>
    </w:tbl>
    <w:p w14:paraId="00000656" w14:textId="77777777" w:rsidR="00416D85" w:rsidRPr="007C60AF" w:rsidRDefault="00416D85">
      <w:pPr>
        <w:jc w:val="both"/>
        <w:rPr>
          <w:b/>
        </w:rPr>
      </w:pPr>
    </w:p>
    <w:p w14:paraId="00000657"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F.3. </w:t>
      </w:r>
      <w:r w:rsidRPr="007C60AF">
        <w:rPr>
          <w:rFonts w:eastAsia="Arial"/>
          <w:b/>
          <w:color w:val="000000"/>
          <w:sz w:val="28"/>
          <w:szCs w:val="28"/>
        </w:rPr>
        <w:t>Calculating how much subsidy the imported goods attract</w:t>
      </w:r>
    </w:p>
    <w:p w14:paraId="00000658"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We need to understand the amount of subsidy which the subsidised imports receive. If we establish that a measure is needed to counteract the injury the goods are causing to the UK market, this will help us determine what sort of measure to recommend and at what level.</w:t>
      </w:r>
    </w:p>
    <w:p w14:paraId="0000065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To make this calculation, we will need to establish:</w:t>
      </w:r>
    </w:p>
    <w:p w14:paraId="0000065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total amount of the countervailable </w:t>
      </w:r>
      <w:proofErr w:type="gramStart"/>
      <w:r w:rsidRPr="007C60AF">
        <w:rPr>
          <w:rFonts w:eastAsia="Arial"/>
          <w:color w:val="000000"/>
        </w:rPr>
        <w:t>subsidy;</w:t>
      </w:r>
      <w:proofErr w:type="gramEnd"/>
    </w:p>
    <w:p w14:paraId="0000065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amount of the countervailable subsidy that can be attributed to the POI; and</w:t>
      </w:r>
    </w:p>
    <w:p w14:paraId="0000065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which goods the countervailable subsidy can be allocated to during the POI.</w:t>
      </w:r>
      <w:r w:rsidRPr="007C60AF">
        <w:rPr>
          <w:rFonts w:eastAsia="Arial"/>
          <w:color w:val="000000"/>
        </w:rPr>
        <w:br/>
      </w:r>
    </w:p>
    <w:p w14:paraId="0000065D" w14:textId="77777777" w:rsidR="00416D85" w:rsidRPr="007C60AF" w:rsidRDefault="00130320">
      <w:pPr>
        <w:numPr>
          <w:ilvl w:val="3"/>
          <w:numId w:val="12"/>
        </w:numPr>
        <w:pBdr>
          <w:top w:val="nil"/>
          <w:left w:val="nil"/>
          <w:bottom w:val="nil"/>
          <w:right w:val="nil"/>
          <w:between w:val="nil"/>
        </w:pBdr>
        <w:spacing w:before="120" w:line="276" w:lineRule="auto"/>
        <w:jc w:val="both"/>
      </w:pPr>
      <w:r w:rsidRPr="007C60AF">
        <w:rPr>
          <w:rFonts w:eastAsia="Arial"/>
          <w:color w:val="000000"/>
        </w:rPr>
        <w:t xml:space="preserve">For all subsidy programmes listed above, please explain and provide documentary evidence about the total amount of countervailable subsidy that the imported goods attract. You will need to explain the calculation methodology used. It is the benefit to the recipient that matters, not the cost (or opportunity cost) to the foreign authority. You should refer to our </w:t>
      </w:r>
      <w:hyperlink r:id="rId41" w:anchor="how-we-assess-the-benefit-a-subsidy-provides">
        <w:r w:rsidRPr="007C60AF">
          <w:rPr>
            <w:rFonts w:eastAsia="Arial"/>
            <w:color w:val="0563C1"/>
            <w:u w:val="single"/>
          </w:rPr>
          <w:t>How we assess the benefit a subsidy provides</w:t>
        </w:r>
      </w:hyperlink>
      <w:r w:rsidRPr="007C60AF">
        <w:rPr>
          <w:rFonts w:eastAsia="Arial"/>
          <w:color w:val="000000"/>
        </w:rPr>
        <w:t xml:space="preserve"> guidance to understand what is required.</w:t>
      </w:r>
    </w:p>
    <w:tbl>
      <w:tblPr>
        <w:tblStyle w:val="afffff9"/>
        <w:tblW w:w="9016" w:type="dxa"/>
        <w:tblLayout w:type="fixed"/>
        <w:tblLook w:val="0400" w:firstRow="0" w:lastRow="0" w:firstColumn="0" w:lastColumn="0" w:noHBand="0" w:noVBand="1"/>
      </w:tblPr>
      <w:tblGrid>
        <w:gridCol w:w="9016"/>
      </w:tblGrid>
      <w:tr w:rsidR="00416D85" w:rsidRPr="007C60AF" w14:paraId="06FDF2E9"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5E" w14:textId="77777777" w:rsidR="00416D85" w:rsidRPr="007C60AF" w:rsidRDefault="00130320">
            <w:pPr>
              <w:numPr>
                <w:ilvl w:val="6"/>
                <w:numId w:val="51"/>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 xml:space="preserve">The value of subsidies was calculated in Appendix F.2 based on the value and volume of imports as explained in the responses to questions E.1.3. and F.1.3 above. </w:t>
            </w:r>
          </w:p>
          <w:p w14:paraId="0000065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0" w14:textId="77777777" w:rsidR="00416D85" w:rsidRPr="007C60AF" w:rsidRDefault="00130320">
            <w:pPr>
              <w:numPr>
                <w:ilvl w:val="6"/>
                <w:numId w:val="51"/>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Applicants </w:t>
            </w:r>
            <w:proofErr w:type="gramStart"/>
            <w:r w:rsidRPr="007C60AF">
              <w:rPr>
                <w:rFonts w:eastAsia="Arial"/>
                <w:color w:val="4472C4"/>
              </w:rPr>
              <w:t>took into account</w:t>
            </w:r>
            <w:proofErr w:type="gramEnd"/>
            <w:r w:rsidRPr="007C60AF">
              <w:rPr>
                <w:rFonts w:eastAsia="Arial"/>
                <w:color w:val="4472C4"/>
              </w:rPr>
              <w:t xml:space="preserve"> two subsidy schemes that are possible to calculate without having access to any additional exporting producer-specific data. More specifically, the Applicants taken into consideration the BTC and the 15.5% duty elimination scheme. Therefore, the level of subsidies that resulted from those calculations is very conservative, as the US exporting producers benefit from a broader range of subsidies.</w:t>
            </w:r>
          </w:p>
          <w:p w14:paraId="0000066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2" w14:textId="77777777" w:rsidR="00416D85" w:rsidRPr="007C60AF" w:rsidRDefault="00130320">
            <w:pPr>
              <w:numPr>
                <w:ilvl w:val="6"/>
                <w:numId w:val="51"/>
              </w:numPr>
              <w:pBdr>
                <w:top w:val="nil"/>
                <w:left w:val="nil"/>
                <w:bottom w:val="nil"/>
                <w:right w:val="nil"/>
                <w:between w:val="nil"/>
              </w:pBdr>
              <w:spacing w:after="0" w:line="276" w:lineRule="auto"/>
              <w:jc w:val="both"/>
              <w:rPr>
                <w:rFonts w:eastAsia="Arial"/>
                <w:color w:val="4472C4"/>
              </w:rPr>
            </w:pPr>
            <w:r w:rsidRPr="007C60AF">
              <w:rPr>
                <w:rFonts w:eastAsia="Arial"/>
                <w:color w:val="4472C4"/>
                <w:u w:val="single"/>
              </w:rPr>
              <w:t>First</w:t>
            </w:r>
            <w:r w:rsidRPr="007C60AF">
              <w:rPr>
                <w:rFonts w:eastAsia="Arial"/>
                <w:color w:val="4472C4"/>
              </w:rPr>
              <w:t xml:space="preserve">, as explained in the response to question F.2.4. above, exporting producers receive the BTC in the amount of 336.00 USD/MT. </w:t>
            </w:r>
          </w:p>
          <w:p w14:paraId="0000066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4" w14:textId="189410F1" w:rsidR="00416D85" w:rsidRPr="007C60AF" w:rsidRDefault="00130320">
            <w:pPr>
              <w:numPr>
                <w:ilvl w:val="6"/>
                <w:numId w:val="51"/>
              </w:numPr>
              <w:pBdr>
                <w:top w:val="nil"/>
                <w:left w:val="nil"/>
                <w:bottom w:val="nil"/>
                <w:right w:val="nil"/>
                <w:between w:val="nil"/>
              </w:pBdr>
              <w:spacing w:after="0" w:line="276" w:lineRule="auto"/>
              <w:jc w:val="both"/>
              <w:rPr>
                <w:rFonts w:eastAsia="Arial"/>
                <w:color w:val="4472C4"/>
              </w:rPr>
            </w:pPr>
            <w:r w:rsidRPr="007C60AF">
              <w:rPr>
                <w:rFonts w:eastAsia="Arial"/>
                <w:color w:val="4472C4"/>
                <w:u w:val="single"/>
              </w:rPr>
              <w:t>Second</w:t>
            </w:r>
            <w:r w:rsidRPr="007C60AF">
              <w:rPr>
                <w:rFonts w:eastAsia="Arial"/>
                <w:color w:val="4472C4"/>
              </w:rPr>
              <w:t xml:space="preserve">, the exporting producers benefit from the 15.5% duty elimination scheme </w:t>
            </w:r>
            <w:proofErr w:type="gramStart"/>
            <w:r w:rsidRPr="007C60AF">
              <w:rPr>
                <w:rFonts w:eastAsia="Arial"/>
                <w:color w:val="4472C4"/>
              </w:rPr>
              <w:t>provided that</w:t>
            </w:r>
            <w:proofErr w:type="gramEnd"/>
            <w:r w:rsidRPr="007C60AF">
              <w:rPr>
                <w:rFonts w:eastAsia="Arial"/>
                <w:color w:val="4472C4"/>
              </w:rPr>
              <w:t xml:space="preserve"> they manufacture the exported HVO in a FTZ from Chinese UCO. Market intelligence sources of the Applicants confirm that the USGC HVO producers export the HVO that they manufacture from Chinese UCO. Given that UCO represents </w:t>
            </w:r>
            <w:r w:rsidRPr="007C60AF">
              <w:rPr>
                <w:rFonts w:eastAsia="Arial"/>
                <w:b/>
                <w:color w:val="4472C4"/>
              </w:rPr>
              <w:t>[75-90]</w:t>
            </w:r>
            <w:r w:rsidRPr="007C60AF">
              <w:rPr>
                <w:rFonts w:eastAsia="Arial"/>
                <w:color w:val="4472C4"/>
              </w:rPr>
              <w:t xml:space="preserve">% of the final price of the HVO, the producers receive on average a benefit of </w:t>
            </w:r>
            <w:r w:rsidRPr="007C60AF">
              <w:rPr>
                <w:rFonts w:eastAsia="Arial"/>
                <w:b/>
                <w:bCs/>
                <w:color w:val="4472C4"/>
              </w:rPr>
              <w:t>[</w:t>
            </w:r>
            <w:r w:rsidR="00032AA5" w:rsidRPr="007C60AF">
              <w:rPr>
                <w:rFonts w:eastAsia="Arial"/>
                <w:b/>
                <w:bCs/>
                <w:color w:val="4472C4"/>
              </w:rPr>
              <w:t>0-250</w:t>
            </w:r>
            <w:r w:rsidRPr="007C60AF">
              <w:rPr>
                <w:b/>
                <w:color w:val="4472C4"/>
              </w:rPr>
              <w:t>]</w:t>
            </w:r>
            <w:r w:rsidR="000932A9" w:rsidRPr="007C60AF">
              <w:rPr>
                <w:b/>
                <w:color w:val="4472C4"/>
              </w:rPr>
              <w:t xml:space="preserve"> </w:t>
            </w:r>
            <w:r w:rsidRPr="007C60AF">
              <w:rPr>
                <w:rFonts w:eastAsia="Arial"/>
                <w:color w:val="4472C4"/>
              </w:rPr>
              <w:t xml:space="preserve">USD/MT for exporting goods. </w:t>
            </w:r>
          </w:p>
          <w:p w14:paraId="00000665"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6" w14:textId="55EFBD87" w:rsidR="00416D85" w:rsidRPr="007C60AF" w:rsidRDefault="00130320">
            <w:pPr>
              <w:numPr>
                <w:ilvl w:val="6"/>
                <w:numId w:val="51"/>
              </w:numPr>
              <w:pBdr>
                <w:top w:val="nil"/>
                <w:left w:val="nil"/>
                <w:bottom w:val="nil"/>
                <w:right w:val="nil"/>
                <w:between w:val="nil"/>
              </w:pBdr>
              <w:spacing w:after="0" w:line="276" w:lineRule="auto"/>
              <w:jc w:val="both"/>
              <w:rPr>
                <w:rFonts w:eastAsia="Arial"/>
                <w:color w:val="4472C4"/>
              </w:rPr>
            </w:pPr>
            <w:r w:rsidRPr="007C60AF">
              <w:rPr>
                <w:rFonts w:eastAsia="Arial"/>
                <w:color w:val="4472C4"/>
                <w:u w:val="single"/>
              </w:rPr>
              <w:t>Third</w:t>
            </w:r>
            <w:r w:rsidRPr="007C60AF">
              <w:rPr>
                <w:rFonts w:eastAsia="Arial"/>
                <w:color w:val="4472C4"/>
              </w:rPr>
              <w:t xml:space="preserve">, the US exporting producers receive a total of approx. </w:t>
            </w:r>
            <w:r w:rsidRPr="007C60AF">
              <w:rPr>
                <w:rFonts w:eastAsia="Arial"/>
                <w:b/>
                <w:color w:val="4472C4"/>
              </w:rPr>
              <w:t>[</w:t>
            </w:r>
            <w:r w:rsidR="00F84758" w:rsidRPr="007C60AF">
              <w:rPr>
                <w:b/>
                <w:color w:val="4472C4"/>
              </w:rPr>
              <w:t>250</w:t>
            </w:r>
            <w:r w:rsidRPr="007C60AF">
              <w:rPr>
                <w:b/>
                <w:color w:val="4472C4"/>
              </w:rPr>
              <w:t>-5</w:t>
            </w:r>
            <w:r w:rsidR="00F84758" w:rsidRPr="007C60AF">
              <w:rPr>
                <w:b/>
                <w:color w:val="4472C4"/>
              </w:rPr>
              <w:t>0</w:t>
            </w:r>
            <w:r w:rsidRPr="007C60AF">
              <w:rPr>
                <w:b/>
                <w:color w:val="4472C4"/>
              </w:rPr>
              <w:t>0</w:t>
            </w:r>
            <w:r w:rsidRPr="007C60AF">
              <w:rPr>
                <w:rFonts w:eastAsia="Arial"/>
                <w:b/>
                <w:color w:val="4472C4"/>
              </w:rPr>
              <w:t>]</w:t>
            </w:r>
            <w:r w:rsidRPr="007C60AF">
              <w:rPr>
                <w:rFonts w:eastAsia="Arial"/>
                <w:color w:val="4472C4"/>
              </w:rPr>
              <w:t xml:space="preserve"> USD/MT, which represents a subsidy level of at least </w:t>
            </w:r>
            <w:r w:rsidRPr="007C60AF">
              <w:rPr>
                <w:rFonts w:eastAsia="Arial"/>
                <w:b/>
                <w:color w:val="4472C4"/>
              </w:rPr>
              <w:t>[15-40]</w:t>
            </w:r>
            <w:r w:rsidRPr="007C60AF">
              <w:rPr>
                <w:rFonts w:eastAsia="Arial"/>
                <w:color w:val="4472C4"/>
              </w:rPr>
              <w:t xml:space="preserve">% (as it does not include benefits received by the US exporting producers under different subsidy schemes). </w:t>
            </w:r>
          </w:p>
          <w:p w14:paraId="0000066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8" w14:textId="77777777" w:rsidR="00416D85" w:rsidRPr="007C60AF" w:rsidRDefault="00130320">
            <w:pPr>
              <w:numPr>
                <w:ilvl w:val="6"/>
                <w:numId w:val="51"/>
              </w:numPr>
              <w:pBdr>
                <w:top w:val="nil"/>
                <w:left w:val="nil"/>
                <w:bottom w:val="nil"/>
                <w:right w:val="nil"/>
                <w:between w:val="nil"/>
              </w:pBdr>
              <w:spacing w:line="276" w:lineRule="auto"/>
              <w:jc w:val="both"/>
              <w:rPr>
                <w:rFonts w:eastAsia="Arial"/>
                <w:color w:val="4472C4"/>
              </w:rPr>
            </w:pPr>
            <w:r w:rsidRPr="007C60AF">
              <w:rPr>
                <w:rFonts w:eastAsia="Arial"/>
                <w:color w:val="4472C4"/>
                <w:u w:val="single"/>
              </w:rPr>
              <w:t>Fourth</w:t>
            </w:r>
            <w:r w:rsidRPr="007C60AF">
              <w:rPr>
                <w:rFonts w:eastAsia="Arial"/>
                <w:color w:val="4472C4"/>
              </w:rPr>
              <w:t xml:space="preserve">, should some of the US exporting producers sell HVO </w:t>
            </w:r>
            <w:r w:rsidRPr="007C60AF">
              <w:rPr>
                <w:rFonts w:eastAsia="Arial"/>
                <w:b/>
                <w:color w:val="4472C4"/>
              </w:rPr>
              <w:t>not made</w:t>
            </w:r>
            <w:r w:rsidRPr="007C60AF">
              <w:rPr>
                <w:rFonts w:eastAsia="Arial"/>
                <w:color w:val="4472C4"/>
              </w:rPr>
              <w:t xml:space="preserve"> from Chinese UCO, then the level of subsidy received by them represents at least </w:t>
            </w:r>
            <w:r w:rsidRPr="007C60AF">
              <w:rPr>
                <w:rFonts w:eastAsia="Arial"/>
                <w:b/>
                <w:color w:val="4472C4"/>
              </w:rPr>
              <w:t>[15-</w:t>
            </w:r>
            <w:r w:rsidRPr="007C60AF">
              <w:rPr>
                <w:rFonts w:eastAsia="Arial"/>
                <w:b/>
                <w:color w:val="4472C4"/>
              </w:rPr>
              <w:lastRenderedPageBreak/>
              <w:t>40]</w:t>
            </w:r>
            <w:r w:rsidRPr="007C60AF">
              <w:rPr>
                <w:rFonts w:eastAsia="Arial"/>
                <w:color w:val="4472C4"/>
              </w:rPr>
              <w:t>% (as it does not include benefits received by the US exporting producers under different subsidy schemes).</w:t>
            </w:r>
          </w:p>
        </w:tc>
      </w:tr>
    </w:tbl>
    <w:p w14:paraId="00000669"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ff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575C76E3" w14:textId="77777777">
        <w:tc>
          <w:tcPr>
            <w:tcW w:w="4508" w:type="dxa"/>
            <w:tcBorders>
              <w:top w:val="single" w:sz="4" w:space="0" w:color="FFFFFF"/>
              <w:left w:val="nil"/>
              <w:bottom w:val="nil"/>
              <w:right w:val="single" w:sz="4" w:space="0" w:color="000000"/>
            </w:tcBorders>
          </w:tcPr>
          <w:p w14:paraId="0000066A" w14:textId="77777777" w:rsidR="00416D85" w:rsidRPr="007C60AF" w:rsidRDefault="00416D85">
            <w:pPr>
              <w:jc w:val="both"/>
            </w:pPr>
          </w:p>
        </w:tc>
        <w:tc>
          <w:tcPr>
            <w:tcW w:w="4508" w:type="dxa"/>
            <w:tcBorders>
              <w:left w:val="single" w:sz="4" w:space="0" w:color="000000"/>
            </w:tcBorders>
          </w:tcPr>
          <w:p w14:paraId="0000066B" w14:textId="77777777" w:rsidR="00416D85" w:rsidRPr="007C60AF" w:rsidRDefault="00130320">
            <w:pPr>
              <w:jc w:val="both"/>
            </w:pPr>
            <w:r w:rsidRPr="007C60AF">
              <w:t xml:space="preserve">Appendix reference: </w:t>
            </w:r>
            <w:r w:rsidRPr="007C60AF">
              <w:rPr>
                <w:color w:val="4472C4"/>
              </w:rPr>
              <w:t>F.2</w:t>
            </w:r>
          </w:p>
        </w:tc>
      </w:tr>
    </w:tbl>
    <w:p w14:paraId="0000066C"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66D" w14:textId="77777777" w:rsidR="00416D85" w:rsidRPr="007C60AF" w:rsidRDefault="00130320">
      <w:pPr>
        <w:numPr>
          <w:ilvl w:val="3"/>
          <w:numId w:val="12"/>
        </w:numPr>
        <w:pBdr>
          <w:top w:val="nil"/>
          <w:left w:val="nil"/>
          <w:bottom w:val="nil"/>
          <w:right w:val="nil"/>
          <w:between w:val="nil"/>
        </w:pBdr>
        <w:spacing w:line="276" w:lineRule="auto"/>
        <w:jc w:val="both"/>
      </w:pPr>
      <w:r w:rsidRPr="007C60AF">
        <w:rPr>
          <w:rFonts w:eastAsia="Arial"/>
          <w:color w:val="000000"/>
        </w:rPr>
        <w:t xml:space="preserve">For all subsidy programmes listed above, please explain and provide documentary evidence relating to the amount of the countervailable subsidy that can attributed to the period of investigation, including the calculation methodology you used.  You should refer to our guidance on </w:t>
      </w:r>
      <w:hyperlink r:id="rId42" w:anchor="how-we-assess-the-benefit-a-subsidy-provides">
        <w:r w:rsidRPr="007C60AF">
          <w:rPr>
            <w:rFonts w:eastAsia="Arial"/>
            <w:color w:val="0563C1"/>
            <w:u w:val="single"/>
          </w:rPr>
          <w:t>Determining the amount of the subsidy that can be attributed to the period of investigation</w:t>
        </w:r>
      </w:hyperlink>
      <w:r w:rsidRPr="007C60AF">
        <w:rPr>
          <w:rFonts w:eastAsia="Arial"/>
          <w:color w:val="000000"/>
        </w:rPr>
        <w:t xml:space="preserve"> when completing this section. </w:t>
      </w:r>
    </w:p>
    <w:tbl>
      <w:tblPr>
        <w:tblStyle w:val="afffffb"/>
        <w:tblW w:w="9016" w:type="dxa"/>
        <w:tblLayout w:type="fixed"/>
        <w:tblLook w:val="0400" w:firstRow="0" w:lastRow="0" w:firstColumn="0" w:lastColumn="0" w:noHBand="0" w:noVBand="1"/>
      </w:tblPr>
      <w:tblGrid>
        <w:gridCol w:w="9016"/>
      </w:tblGrid>
      <w:tr w:rsidR="00416D85" w:rsidRPr="007C60AF" w14:paraId="1149BCA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6E" w14:textId="77777777" w:rsidR="00416D85" w:rsidRPr="007C60AF" w:rsidRDefault="00130320">
            <w:pPr>
              <w:pBdr>
                <w:top w:val="nil"/>
                <w:left w:val="nil"/>
                <w:bottom w:val="nil"/>
                <w:right w:val="nil"/>
                <w:between w:val="nil"/>
              </w:pBdr>
              <w:spacing w:after="0" w:line="276" w:lineRule="auto"/>
              <w:jc w:val="both"/>
              <w:rPr>
                <w:color w:val="808080"/>
              </w:rPr>
            </w:pPr>
            <w:r w:rsidRPr="007C60AF">
              <w:rPr>
                <w:color w:val="4472C4"/>
              </w:rPr>
              <w:t>Given that the two main subsidy measures that formed the basis of subsidy calculations are of financial (monetary) nature, their total amount can be attributed to the POI.</w:t>
            </w:r>
          </w:p>
        </w:tc>
      </w:tr>
    </w:tbl>
    <w:p w14:paraId="0000066F" w14:textId="77777777" w:rsidR="00416D85" w:rsidRPr="007C60AF" w:rsidRDefault="00416D85">
      <w:pPr>
        <w:widowControl w:val="0"/>
        <w:pBdr>
          <w:top w:val="nil"/>
          <w:left w:val="nil"/>
          <w:bottom w:val="nil"/>
          <w:right w:val="nil"/>
          <w:between w:val="nil"/>
        </w:pBdr>
        <w:spacing w:after="0" w:line="276" w:lineRule="auto"/>
        <w:rPr>
          <w:color w:val="808080"/>
        </w:rPr>
      </w:pPr>
    </w:p>
    <w:tbl>
      <w:tblPr>
        <w:tblStyle w:val="afff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54D82D5C" w14:textId="77777777">
        <w:tc>
          <w:tcPr>
            <w:tcW w:w="4508" w:type="dxa"/>
            <w:tcBorders>
              <w:top w:val="single" w:sz="4" w:space="0" w:color="FFFFFF"/>
              <w:left w:val="nil"/>
              <w:bottom w:val="nil"/>
              <w:right w:val="single" w:sz="4" w:space="0" w:color="000000"/>
            </w:tcBorders>
          </w:tcPr>
          <w:p w14:paraId="00000670" w14:textId="77777777" w:rsidR="00416D85" w:rsidRPr="007C60AF" w:rsidRDefault="00416D85">
            <w:pPr>
              <w:jc w:val="both"/>
            </w:pPr>
          </w:p>
        </w:tc>
        <w:tc>
          <w:tcPr>
            <w:tcW w:w="4508" w:type="dxa"/>
            <w:tcBorders>
              <w:left w:val="single" w:sz="4" w:space="0" w:color="000000"/>
            </w:tcBorders>
          </w:tcPr>
          <w:p w14:paraId="00000671" w14:textId="77777777" w:rsidR="00416D85" w:rsidRPr="007C60AF" w:rsidRDefault="00130320">
            <w:pPr>
              <w:jc w:val="both"/>
            </w:pPr>
            <w:r w:rsidRPr="007C60AF">
              <w:t xml:space="preserve">Appendix reference: </w:t>
            </w:r>
            <w:r w:rsidRPr="007C60AF">
              <w:rPr>
                <w:color w:val="4472C4"/>
              </w:rPr>
              <w:t>N/A</w:t>
            </w:r>
          </w:p>
        </w:tc>
      </w:tr>
    </w:tbl>
    <w:p w14:paraId="00000672"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673" w14:textId="77777777" w:rsidR="00416D85" w:rsidRPr="007C60AF" w:rsidRDefault="00130320">
      <w:pPr>
        <w:numPr>
          <w:ilvl w:val="3"/>
          <w:numId w:val="12"/>
        </w:numPr>
        <w:pBdr>
          <w:top w:val="nil"/>
          <w:left w:val="nil"/>
          <w:bottom w:val="nil"/>
          <w:right w:val="nil"/>
          <w:between w:val="nil"/>
        </w:pBdr>
        <w:spacing w:line="276" w:lineRule="auto"/>
        <w:jc w:val="both"/>
      </w:pPr>
      <w:r w:rsidRPr="007C60AF">
        <w:rPr>
          <w:rFonts w:eastAsia="Arial"/>
          <w:color w:val="000000"/>
        </w:rPr>
        <w:t xml:space="preserve">For all subsidy programmes listed above, please explain and provide documentary evidence relating to the goods the countervailable subsidy that can be attributed to during the period of investigation, including any calculation methodologies used.  You should refer to our guidance on </w:t>
      </w:r>
      <w:hyperlink r:id="rId43" w:anchor="how-we-assess-the-benefit-a-subsidy-provides">
        <w:r w:rsidRPr="007C60AF">
          <w:rPr>
            <w:rFonts w:eastAsia="Arial"/>
            <w:color w:val="0563C1"/>
            <w:u w:val="single"/>
          </w:rPr>
          <w:t>Determining the amount of the subsidy that can be attributed to the period of investigation</w:t>
        </w:r>
      </w:hyperlink>
      <w:r w:rsidRPr="007C60AF">
        <w:rPr>
          <w:rFonts w:eastAsia="Arial"/>
          <w:color w:val="000000"/>
        </w:rPr>
        <w:t xml:space="preserve"> when completing this section. We will be specifically looking at whether the subsidy is linked to the export of certain goods, the sale of certain goods, or to sales to a certain market.</w:t>
      </w:r>
    </w:p>
    <w:p w14:paraId="00000674" w14:textId="77777777" w:rsidR="00416D85" w:rsidRPr="007C60AF" w:rsidRDefault="00416D85">
      <w:pPr>
        <w:pBdr>
          <w:top w:val="nil"/>
          <w:left w:val="nil"/>
          <w:bottom w:val="nil"/>
          <w:right w:val="nil"/>
          <w:between w:val="nil"/>
        </w:pBdr>
        <w:spacing w:after="0" w:line="276" w:lineRule="auto"/>
        <w:ind w:firstLine="284"/>
        <w:jc w:val="both"/>
        <w:rPr>
          <w:color w:val="000000"/>
        </w:rPr>
      </w:pPr>
    </w:p>
    <w:tbl>
      <w:tblPr>
        <w:tblStyle w:val="afffffd"/>
        <w:tblW w:w="9016" w:type="dxa"/>
        <w:tblLayout w:type="fixed"/>
        <w:tblLook w:val="0400" w:firstRow="0" w:lastRow="0" w:firstColumn="0" w:lastColumn="0" w:noHBand="0" w:noVBand="1"/>
      </w:tblPr>
      <w:tblGrid>
        <w:gridCol w:w="9016"/>
      </w:tblGrid>
      <w:tr w:rsidR="00416D85" w:rsidRPr="007C60AF" w14:paraId="28F38CA3"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75" w14:textId="77777777" w:rsidR="00416D85" w:rsidRPr="007C60AF" w:rsidRDefault="00130320">
            <w:pPr>
              <w:numPr>
                <w:ilvl w:val="6"/>
                <w:numId w:val="29"/>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The Applicants are aware from their research that US producers are receiving at least the BTC. To provide an example, the Applicants analysed Annual Reports of Valero Energy Corporation ("</w:t>
            </w:r>
            <w:r w:rsidRPr="007C60AF">
              <w:rPr>
                <w:rFonts w:eastAsia="Arial"/>
                <w:b/>
                <w:color w:val="4472C4"/>
              </w:rPr>
              <w:t>Valero Energy</w:t>
            </w:r>
            <w:r w:rsidRPr="007C60AF">
              <w:rPr>
                <w:rFonts w:eastAsia="Arial"/>
                <w:color w:val="4472C4"/>
              </w:rPr>
              <w:t>") and Darling Ingredients Inc. ("</w:t>
            </w:r>
            <w:r w:rsidRPr="007C60AF">
              <w:rPr>
                <w:rFonts w:eastAsia="Arial"/>
                <w:b/>
                <w:color w:val="4472C4"/>
              </w:rPr>
              <w:t>Darling</w:t>
            </w:r>
            <w:r w:rsidRPr="007C60AF">
              <w:rPr>
                <w:rFonts w:eastAsia="Arial"/>
                <w:color w:val="4472C4"/>
              </w:rPr>
              <w:t xml:space="preserve">"). Valero Energy and Darling have </w:t>
            </w:r>
            <w:proofErr w:type="gramStart"/>
            <w:r w:rsidRPr="007C60AF">
              <w:rPr>
                <w:rFonts w:eastAsia="Arial"/>
                <w:color w:val="4472C4"/>
              </w:rPr>
              <w:t>entered into</w:t>
            </w:r>
            <w:proofErr w:type="gramEnd"/>
            <w:r w:rsidRPr="007C60AF">
              <w:rPr>
                <w:rFonts w:eastAsia="Arial"/>
                <w:color w:val="4472C4"/>
              </w:rPr>
              <w:t xml:space="preserve"> a 50/50 joint venture to form Diamond Green Diesel LLC ("</w:t>
            </w:r>
            <w:r w:rsidRPr="007C60AF">
              <w:rPr>
                <w:rFonts w:eastAsia="Arial"/>
                <w:b/>
                <w:color w:val="4472C4"/>
              </w:rPr>
              <w:t>DGD</w:t>
            </w:r>
            <w:r w:rsidRPr="007C60AF">
              <w:rPr>
                <w:rFonts w:eastAsia="Arial"/>
                <w:color w:val="4472C4"/>
              </w:rPr>
              <w:t xml:space="preserve">"). DGD is the largest HVO (referred to in the US as "renewable diesel") producer in North America. </w:t>
            </w:r>
          </w:p>
          <w:p w14:paraId="00000676"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77" w14:textId="77777777" w:rsidR="00416D85" w:rsidRPr="007C60AF" w:rsidRDefault="00130320">
            <w:pPr>
              <w:numPr>
                <w:ilvl w:val="6"/>
                <w:numId w:val="29"/>
              </w:numPr>
              <w:pBdr>
                <w:top w:val="nil"/>
                <w:left w:val="nil"/>
                <w:bottom w:val="nil"/>
                <w:right w:val="nil"/>
                <w:between w:val="nil"/>
              </w:pBdr>
              <w:spacing w:line="276" w:lineRule="auto"/>
              <w:jc w:val="both"/>
              <w:rPr>
                <w:rFonts w:eastAsia="Arial"/>
                <w:color w:val="4472C4"/>
              </w:rPr>
            </w:pPr>
            <w:r w:rsidRPr="007C60AF">
              <w:rPr>
                <w:rFonts w:eastAsia="Arial"/>
                <w:color w:val="4472C4"/>
              </w:rPr>
              <w:lastRenderedPageBreak/>
              <w:t>The exact amounts of the subsidy schemes received by Valero Energy are unknown. However, the Applicants were able to extract the following relevant information from Valero Energy's recent Annual Reports:</w:t>
            </w:r>
          </w:p>
          <w:p w14:paraId="00000678" w14:textId="77777777" w:rsidR="00416D85" w:rsidRPr="007C60AF" w:rsidRDefault="00130320">
            <w:pPr>
              <w:numPr>
                <w:ilvl w:val="0"/>
                <w:numId w:val="3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Valero Energy's Q1 </w:t>
            </w:r>
            <w:r w:rsidRPr="007C60AF">
              <w:rPr>
                <w:rFonts w:eastAsia="Arial"/>
                <w:color w:val="4472C4"/>
                <w:u w:val="single"/>
              </w:rPr>
              <w:t>2024</w:t>
            </w:r>
            <w:r w:rsidRPr="007C60AF">
              <w:rPr>
                <w:rFonts w:eastAsia="Arial"/>
                <w:color w:val="4472C4"/>
              </w:rPr>
              <w:t> Financial Report states that: "</w:t>
            </w:r>
            <w:r w:rsidRPr="007C60AF">
              <w:rPr>
                <w:rFonts w:eastAsia="Arial"/>
                <w:i/>
                <w:color w:val="4472C4"/>
              </w:rPr>
              <w:t xml:space="preserve">The cost of materials and other for the Renewable Diesel segment is </w:t>
            </w:r>
            <w:r w:rsidRPr="007C60AF">
              <w:rPr>
                <w:rFonts w:eastAsia="Arial"/>
                <w:b/>
                <w:i/>
                <w:color w:val="4472C4"/>
              </w:rPr>
              <w:t>net</w:t>
            </w:r>
            <w:r w:rsidRPr="007C60AF">
              <w:rPr>
                <w:rFonts w:eastAsia="Arial"/>
                <w:i/>
                <w:color w:val="4472C4"/>
              </w:rPr>
              <w:t xml:space="preserve"> of the blender’s tax credit on qualified fuel mixtures, amounting to $331 million and $246 million for the three months ended March 31, 2024, and 2023, respectively".</w:t>
            </w:r>
            <w:r w:rsidRPr="007C60AF">
              <w:rPr>
                <w:rFonts w:eastAsia="Arial"/>
                <w:color w:val="4472C4"/>
                <w:vertAlign w:val="superscript"/>
              </w:rPr>
              <w:footnoteReference w:id="147"/>
            </w:r>
            <w:r w:rsidRPr="007C60AF">
              <w:rPr>
                <w:rFonts w:eastAsia="Arial"/>
                <w:i/>
                <w:color w:val="4472C4"/>
              </w:rPr>
              <w:t xml:space="preserve"> </w:t>
            </w:r>
          </w:p>
          <w:p w14:paraId="00000679" w14:textId="77777777" w:rsidR="00416D85" w:rsidRPr="007C60AF" w:rsidRDefault="00130320">
            <w:pPr>
              <w:numPr>
                <w:ilvl w:val="0"/>
                <w:numId w:val="3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Valero Energy's </w:t>
            </w:r>
            <w:r w:rsidRPr="007C60AF">
              <w:rPr>
                <w:rFonts w:eastAsia="Arial"/>
                <w:color w:val="4472C4"/>
                <w:u w:val="single"/>
              </w:rPr>
              <w:t>2023</w:t>
            </w:r>
            <w:r w:rsidRPr="007C60AF">
              <w:rPr>
                <w:rFonts w:eastAsia="Arial"/>
                <w:color w:val="4472C4"/>
              </w:rPr>
              <w:t xml:space="preserve"> Annual Financial Report states that: "</w:t>
            </w:r>
            <w:r w:rsidRPr="007C60AF">
              <w:rPr>
                <w:rFonts w:eastAsia="Arial"/>
                <w:i/>
                <w:color w:val="4472C4"/>
              </w:rPr>
              <w:t>The company collected $449 million from a blender’s tax credit receivable related to volumes blended in 2019 and 2018. This was partially offset by a $1.0 billion increase in income taxes receivable, primarily due to the recognition of a current income tax benefit</w:t>
            </w:r>
            <w:r w:rsidRPr="007C60AF">
              <w:rPr>
                <w:rFonts w:eastAsia="Arial"/>
                <w:color w:val="4472C4"/>
              </w:rPr>
              <w:t>."</w:t>
            </w:r>
            <w:r w:rsidRPr="007C60AF">
              <w:rPr>
                <w:rFonts w:eastAsia="Arial"/>
                <w:color w:val="4472C4"/>
                <w:vertAlign w:val="superscript"/>
              </w:rPr>
              <w:footnoteReference w:id="148"/>
            </w:r>
          </w:p>
          <w:p w14:paraId="0000067A" w14:textId="77777777" w:rsidR="00416D85" w:rsidRPr="007C60AF" w:rsidRDefault="00130320">
            <w:pPr>
              <w:numPr>
                <w:ilvl w:val="0"/>
                <w:numId w:val="3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Valero Energy's </w:t>
            </w:r>
            <w:r w:rsidRPr="007C60AF">
              <w:rPr>
                <w:rFonts w:eastAsia="Arial"/>
                <w:color w:val="4472C4"/>
                <w:u w:val="single"/>
              </w:rPr>
              <w:t>2023</w:t>
            </w:r>
            <w:r w:rsidRPr="007C60AF">
              <w:rPr>
                <w:rFonts w:eastAsia="Arial"/>
                <w:color w:val="4472C4"/>
              </w:rPr>
              <w:t xml:space="preserve"> Annual Financial Report states that: "</w:t>
            </w:r>
            <w:r w:rsidRPr="007C60AF">
              <w:rPr>
                <w:rFonts w:eastAsia="Arial"/>
                <w:i/>
                <w:color w:val="4472C4"/>
              </w:rPr>
              <w:t>As of December 31, 2021, our liability for unrecognized tax benefits included $525 million of refund claims associated with taxes paid on incentive payments received from the U.S. federal government for blending biofuels into petroleum-based transportation fuels. We recorded a tax refund receivable of $525 million in connection with our refund claims</w:t>
            </w:r>
            <w:r w:rsidRPr="007C60AF">
              <w:rPr>
                <w:rFonts w:eastAsia="Arial"/>
                <w:color w:val="4472C4"/>
              </w:rPr>
              <w:t>."</w:t>
            </w:r>
            <w:r w:rsidRPr="007C60AF">
              <w:rPr>
                <w:rFonts w:eastAsia="Arial"/>
                <w:color w:val="4472C4"/>
                <w:vertAlign w:val="superscript"/>
              </w:rPr>
              <w:footnoteReference w:id="149"/>
            </w:r>
          </w:p>
          <w:p w14:paraId="0000067B"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67C" w14:textId="77777777" w:rsidR="00416D85" w:rsidRPr="007C60AF" w:rsidRDefault="00130320">
            <w:pPr>
              <w:numPr>
                <w:ilvl w:val="6"/>
                <w:numId w:val="29"/>
              </w:numPr>
              <w:pBdr>
                <w:top w:val="nil"/>
                <w:left w:val="nil"/>
                <w:bottom w:val="nil"/>
                <w:right w:val="nil"/>
                <w:between w:val="nil"/>
              </w:pBdr>
              <w:spacing w:after="0" w:line="276" w:lineRule="auto"/>
              <w:jc w:val="both"/>
              <w:rPr>
                <w:rFonts w:eastAsia="Arial"/>
                <w:color w:val="4472C4"/>
              </w:rPr>
            </w:pPr>
            <w:r w:rsidRPr="007C60AF">
              <w:rPr>
                <w:rFonts w:eastAsia="Arial"/>
                <w:color w:val="4472C4"/>
              </w:rPr>
              <w:t>In addition, Darling stated its 2023 Annual Financial Report in relation to DGD that in "</w:t>
            </w:r>
            <w:r w:rsidRPr="007C60AF">
              <w:rPr>
                <w:rFonts w:eastAsia="Arial"/>
                <w:i/>
                <w:color w:val="4472C4"/>
              </w:rPr>
              <w:t>fiscal 2023, fiscal 2022 and fiscal 2021, the DGD Joint Venture recorded approximately $1.2 billion, $761.1 million and $371.2 million, respectively, in blenders tax credits</w:t>
            </w:r>
            <w:r w:rsidRPr="007C60AF">
              <w:rPr>
                <w:rFonts w:eastAsia="Arial"/>
                <w:color w:val="4472C4"/>
              </w:rPr>
              <w:t>."</w:t>
            </w:r>
            <w:r w:rsidRPr="007C60AF">
              <w:rPr>
                <w:rFonts w:eastAsia="Arial"/>
                <w:color w:val="4472C4"/>
                <w:vertAlign w:val="superscript"/>
              </w:rPr>
              <w:footnoteReference w:id="150"/>
            </w:r>
          </w:p>
          <w:p w14:paraId="0000067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7E" w14:textId="77777777" w:rsidR="00416D85" w:rsidRPr="007C60AF" w:rsidRDefault="00130320">
            <w:pPr>
              <w:numPr>
                <w:ilvl w:val="6"/>
                <w:numId w:val="29"/>
              </w:numPr>
              <w:pBdr>
                <w:top w:val="nil"/>
                <w:left w:val="nil"/>
                <w:bottom w:val="nil"/>
                <w:right w:val="nil"/>
                <w:between w:val="nil"/>
              </w:pBdr>
              <w:spacing w:line="276" w:lineRule="auto"/>
              <w:jc w:val="both"/>
              <w:rPr>
                <w:rFonts w:eastAsia="Arial"/>
                <w:color w:val="808080"/>
              </w:rPr>
            </w:pPr>
            <w:r w:rsidRPr="007C60AF">
              <w:rPr>
                <w:rFonts w:eastAsia="Arial"/>
                <w:color w:val="4472C4"/>
              </w:rPr>
              <w:t>There is otherwise limited publicly available information to confirm which US producers are receiving which subsidy schemes, which is not unexpected for the US market.</w:t>
            </w:r>
          </w:p>
        </w:tc>
      </w:tr>
    </w:tbl>
    <w:p w14:paraId="0000067F" w14:textId="77777777" w:rsidR="00416D85" w:rsidRPr="007C60AF" w:rsidRDefault="00416D85">
      <w:pPr>
        <w:widowControl w:val="0"/>
        <w:pBdr>
          <w:top w:val="nil"/>
          <w:left w:val="nil"/>
          <w:bottom w:val="nil"/>
          <w:right w:val="nil"/>
          <w:between w:val="nil"/>
        </w:pBdr>
        <w:spacing w:after="0" w:line="276" w:lineRule="auto"/>
        <w:rPr>
          <w:rFonts w:eastAsia="Arial"/>
          <w:color w:val="808080"/>
        </w:rPr>
      </w:pPr>
    </w:p>
    <w:tbl>
      <w:tblPr>
        <w:tblStyle w:val="afff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2267126C" w14:textId="77777777">
        <w:tc>
          <w:tcPr>
            <w:tcW w:w="4508" w:type="dxa"/>
            <w:tcBorders>
              <w:top w:val="single" w:sz="4" w:space="0" w:color="FFFFFF"/>
              <w:left w:val="nil"/>
              <w:bottom w:val="nil"/>
              <w:right w:val="single" w:sz="4" w:space="0" w:color="000000"/>
            </w:tcBorders>
          </w:tcPr>
          <w:p w14:paraId="00000680" w14:textId="77777777" w:rsidR="00416D85" w:rsidRPr="007C60AF" w:rsidRDefault="00416D85">
            <w:pPr>
              <w:jc w:val="both"/>
            </w:pPr>
          </w:p>
        </w:tc>
        <w:tc>
          <w:tcPr>
            <w:tcW w:w="4508" w:type="dxa"/>
            <w:tcBorders>
              <w:left w:val="single" w:sz="4" w:space="0" w:color="000000"/>
            </w:tcBorders>
          </w:tcPr>
          <w:p w14:paraId="00000681" w14:textId="77777777" w:rsidR="00416D85" w:rsidRPr="007C60AF" w:rsidRDefault="00130320">
            <w:pPr>
              <w:jc w:val="both"/>
            </w:pPr>
            <w:r w:rsidRPr="007C60AF">
              <w:t xml:space="preserve">Appendix reference: </w:t>
            </w:r>
            <w:r w:rsidRPr="007C60AF">
              <w:rPr>
                <w:color w:val="4472C4"/>
              </w:rPr>
              <w:t>F.18, F.19, F.20, F.21</w:t>
            </w:r>
          </w:p>
        </w:tc>
      </w:tr>
    </w:tbl>
    <w:p w14:paraId="00000682" w14:textId="77777777" w:rsidR="00416D85" w:rsidRPr="007C60AF" w:rsidRDefault="00130320">
      <w:pPr>
        <w:jc w:val="both"/>
        <w:rPr>
          <w:color w:val="000000"/>
        </w:rPr>
      </w:pPr>
      <w:r w:rsidRPr="007C60AF">
        <w:br w:type="page"/>
      </w:r>
    </w:p>
    <w:p w14:paraId="00000683"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28"/>
          <w:szCs w:val="28"/>
        </w:rPr>
      </w:pPr>
      <w:bookmarkStart w:id="46" w:name="_heading=h.eqg2j1d0mdjm" w:colFirst="0" w:colLast="0"/>
      <w:bookmarkEnd w:id="46"/>
      <w:r w:rsidRPr="007C60AF">
        <w:rPr>
          <w:rFonts w:eastAsia="Arial"/>
          <w:b/>
          <w:color w:val="4472C4"/>
          <w:sz w:val="36"/>
          <w:szCs w:val="36"/>
        </w:rPr>
        <w:lastRenderedPageBreak/>
        <w:t xml:space="preserve">SECTION G: </w:t>
      </w:r>
      <w:r w:rsidRPr="007C60AF">
        <w:rPr>
          <w:rFonts w:eastAsia="Arial"/>
          <w:b/>
          <w:color w:val="000000"/>
          <w:sz w:val="36"/>
          <w:szCs w:val="36"/>
        </w:rPr>
        <w:t>Injury</w:t>
      </w:r>
    </w:p>
    <w:p w14:paraId="00000684"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section is about injury which the imports may be causing to the UK industry for the goods. </w:t>
      </w:r>
    </w:p>
    <w:p w14:paraId="00000685"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Injury as defined by the Act can refer to: </w:t>
      </w:r>
    </w:p>
    <w:p w14:paraId="0000068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Material injury, or the threat of material injury to the industry, or</w:t>
      </w:r>
    </w:p>
    <w:p w14:paraId="0000068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Material retardation of the establishment of the industry. </w:t>
      </w:r>
    </w:p>
    <w:p w14:paraId="00000688"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your industry has suffered or is suffering material injury, all companies/associations involved in this application must complete the section G1 separately. This section should also be completed to represent the entire UK industry. Label each completed section clearly showing who it relates to.  </w:t>
      </w:r>
    </w:p>
    <w:p w14:paraId="0000068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your industry is threatened with material injury but there is no injury yet, all companies/associations involved in this application must complete the section G1 separately. This section should also be completed to represent the entire UK industry. Label each completed section clearly showing who it relates to.  </w:t>
      </w:r>
    </w:p>
    <w:p w14:paraId="0000068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your industry is nascent and is being or has been materially retarded, please contact us at </w:t>
      </w:r>
      <w:hyperlink r:id="rId44">
        <w:r w:rsidRPr="007C60AF">
          <w:rPr>
            <w:rFonts w:eastAsia="Arial"/>
            <w:color w:val="0563C1"/>
            <w:u w:val="single"/>
          </w:rPr>
          <w:t>contact@traderemedies.gov.uk</w:t>
        </w:r>
      </w:hyperlink>
      <w:r w:rsidRPr="007C60AF">
        <w:rPr>
          <w:rFonts w:eastAsia="Arial"/>
          <w:color w:val="000000"/>
        </w:rPr>
        <w:t xml:space="preserve">. </w:t>
      </w:r>
    </w:p>
    <w:p w14:paraId="0000068B"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t xml:space="preserve">G.1. </w:t>
      </w:r>
      <w:r w:rsidRPr="007C60AF">
        <w:rPr>
          <w:rFonts w:eastAsia="Arial"/>
          <w:b/>
          <w:color w:val="000000"/>
          <w:sz w:val="28"/>
          <w:szCs w:val="28"/>
        </w:rPr>
        <w:t>Material Injury</w:t>
      </w:r>
    </w:p>
    <w:p w14:paraId="0000068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Material injury is determined through </w:t>
      </w:r>
      <w:proofErr w:type="gramStart"/>
      <w:r w:rsidRPr="007C60AF">
        <w:rPr>
          <w:rFonts w:eastAsia="Arial"/>
          <w:color w:val="000000"/>
        </w:rPr>
        <w:t>a number of</w:t>
      </w:r>
      <w:proofErr w:type="gramEnd"/>
      <w:r w:rsidRPr="007C60AF">
        <w:rPr>
          <w:rFonts w:eastAsia="Arial"/>
          <w:color w:val="000000"/>
        </w:rPr>
        <w:t xml:space="preserve"> injury indicators. Not all the injury factors need to indicate material injury, but all the factors need to be considered </w:t>
      </w:r>
      <w:proofErr w:type="gramStart"/>
      <w:r w:rsidRPr="007C60AF">
        <w:rPr>
          <w:rFonts w:eastAsia="Arial"/>
          <w:color w:val="000000"/>
        </w:rPr>
        <w:t>in order to</w:t>
      </w:r>
      <w:proofErr w:type="gramEnd"/>
      <w:r w:rsidRPr="007C60AF">
        <w:rPr>
          <w:rFonts w:eastAsia="Arial"/>
          <w:color w:val="000000"/>
        </w:rPr>
        <w:t xml:space="preserve"> establish material injury. These include, but are not limited to:</w:t>
      </w:r>
    </w:p>
    <w:p w14:paraId="0000068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Actual and potential decline </w:t>
      </w:r>
      <w:proofErr w:type="gramStart"/>
      <w:r w:rsidRPr="007C60AF">
        <w:rPr>
          <w:rFonts w:eastAsia="Arial"/>
          <w:color w:val="000000"/>
        </w:rPr>
        <w:t>in:</w:t>
      </w:r>
      <w:proofErr w:type="gramEnd"/>
      <w:r w:rsidRPr="007C60AF">
        <w:rPr>
          <w:rFonts w:eastAsia="Arial"/>
          <w:color w:val="000000"/>
        </w:rPr>
        <w:t xml:space="preserve"> sales, profit, output, market share, productivity, return on investments, or use of capacity;</w:t>
      </w:r>
    </w:p>
    <w:p w14:paraId="0000068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Factors affecting domestic prices of the </w:t>
      </w:r>
      <w:proofErr w:type="gramStart"/>
      <w:r w:rsidRPr="007C60AF">
        <w:rPr>
          <w:rFonts w:eastAsia="Arial"/>
          <w:color w:val="000000"/>
        </w:rPr>
        <w:t>goods;</w:t>
      </w:r>
      <w:proofErr w:type="gramEnd"/>
    </w:p>
    <w:p w14:paraId="0000068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magnitude of the margin of dumping and/or the amount of subsidy; and</w:t>
      </w:r>
    </w:p>
    <w:p w14:paraId="0000069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Actual and potential negative effects </w:t>
      </w:r>
      <w:proofErr w:type="gramStart"/>
      <w:r w:rsidRPr="007C60AF">
        <w:rPr>
          <w:rFonts w:eastAsia="Arial"/>
          <w:color w:val="000000"/>
        </w:rPr>
        <w:t>on:</w:t>
      </w:r>
      <w:proofErr w:type="gramEnd"/>
      <w:r w:rsidRPr="007C60AF">
        <w:rPr>
          <w:rFonts w:eastAsia="Arial"/>
          <w:color w:val="000000"/>
        </w:rPr>
        <w:t xml:space="preserve"> cash flow, inventories, employment, wages, growth, ability to raise capital, or investments.</w:t>
      </w:r>
    </w:p>
    <w:p w14:paraId="00000691" w14:textId="77777777" w:rsidR="00416D85" w:rsidRPr="007C60AF" w:rsidRDefault="00416D85">
      <w:pPr>
        <w:jc w:val="both"/>
      </w:pPr>
    </w:p>
    <w:p w14:paraId="00000692" w14:textId="77777777" w:rsidR="00416D85" w:rsidRPr="007C60AF" w:rsidRDefault="00130320">
      <w:pPr>
        <w:numPr>
          <w:ilvl w:val="3"/>
          <w:numId w:val="13"/>
        </w:numPr>
        <w:pBdr>
          <w:top w:val="nil"/>
          <w:left w:val="nil"/>
          <w:bottom w:val="nil"/>
          <w:right w:val="nil"/>
          <w:between w:val="nil"/>
        </w:pBdr>
        <w:spacing w:before="120" w:line="276" w:lineRule="auto"/>
        <w:jc w:val="both"/>
      </w:pPr>
      <w:r w:rsidRPr="007C60AF">
        <w:rPr>
          <w:rFonts w:eastAsia="Arial"/>
          <w:color w:val="000000"/>
        </w:rPr>
        <w:t xml:space="preserve">Please describe, with appropriate figures, how the UK industry for these goods has performed in terms of each of the above injury indicators for the POI, and injury period. </w:t>
      </w:r>
    </w:p>
    <w:p w14:paraId="0000069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Explain how you have calculated the figures and substantiate your figures with evidence. </w:t>
      </w:r>
    </w:p>
    <w:p w14:paraId="0000069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 xml:space="preserve">Provide evidence for each indicator. </w:t>
      </w:r>
    </w:p>
    <w:p w14:paraId="0000069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If you don’t know the exact figures for other UK producers, provide an estimate based on reasonable assumptions. </w:t>
      </w:r>
    </w:p>
    <w:p w14:paraId="0000069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State the methodology and assumptions that you used. </w:t>
      </w:r>
    </w:p>
    <w:p w14:paraId="00000697" w14:textId="77777777" w:rsidR="00416D85" w:rsidRPr="007C60AF" w:rsidRDefault="00416D85">
      <w:pPr>
        <w:pBdr>
          <w:top w:val="nil"/>
          <w:left w:val="nil"/>
          <w:bottom w:val="nil"/>
          <w:right w:val="nil"/>
          <w:between w:val="nil"/>
        </w:pBdr>
        <w:spacing w:after="0" w:line="240" w:lineRule="auto"/>
        <w:jc w:val="both"/>
        <w:rPr>
          <w:color w:val="000000"/>
        </w:rPr>
      </w:pPr>
    </w:p>
    <w:tbl>
      <w:tblPr>
        <w:tblStyle w:val="affffff"/>
        <w:tblW w:w="9016" w:type="dxa"/>
        <w:tblLayout w:type="fixed"/>
        <w:tblLook w:val="0400" w:firstRow="0" w:lastRow="0" w:firstColumn="0" w:lastColumn="0" w:noHBand="0" w:noVBand="1"/>
      </w:tblPr>
      <w:tblGrid>
        <w:gridCol w:w="9016"/>
      </w:tblGrid>
      <w:tr w:rsidR="00416D85" w:rsidRPr="007C60AF" w14:paraId="2A1C1B4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98"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Dumped and subsidised imports of US HVO have caused material injury to the UK industry. </w:t>
            </w:r>
          </w:p>
          <w:p w14:paraId="0000069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9A"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The Applicants address each of the following injury indicators to demonstrate how the UK industry has performed for the injury period and the POI:</w:t>
            </w:r>
          </w:p>
          <w:p w14:paraId="0000069B" w14:textId="77777777" w:rsidR="00416D85" w:rsidRPr="007C60AF" w:rsidRDefault="00130320">
            <w:pPr>
              <w:numPr>
                <w:ilvl w:val="0"/>
                <w:numId w:val="60"/>
              </w:numPr>
              <w:pBdr>
                <w:top w:val="nil"/>
                <w:left w:val="nil"/>
                <w:bottom w:val="nil"/>
                <w:right w:val="nil"/>
                <w:between w:val="nil"/>
              </w:pBdr>
              <w:spacing w:before="240" w:after="0"/>
              <w:jc w:val="both"/>
              <w:rPr>
                <w:rFonts w:eastAsia="Arial"/>
                <w:color w:val="4472C4"/>
              </w:rPr>
            </w:pPr>
            <w:r w:rsidRPr="007C60AF">
              <w:rPr>
                <w:rFonts w:eastAsia="Arial"/>
                <w:b/>
                <w:color w:val="4472C4"/>
              </w:rPr>
              <w:t>Part I:</w:t>
            </w:r>
            <w:r w:rsidRPr="007C60AF">
              <w:rPr>
                <w:rFonts w:eastAsia="Arial"/>
                <w:color w:val="4472C4"/>
              </w:rPr>
              <w:t xml:space="preserve"> Actual and potential decline in: production, production capacity, capacity utilisation, value of production, domestic sales, export sales, market share and </w:t>
            </w:r>
            <w:proofErr w:type="gramStart"/>
            <w:r w:rsidRPr="007C60AF">
              <w:rPr>
                <w:rFonts w:eastAsia="Arial"/>
                <w:color w:val="4472C4"/>
              </w:rPr>
              <w:t>profitability;</w:t>
            </w:r>
            <w:proofErr w:type="gramEnd"/>
          </w:p>
          <w:p w14:paraId="0000069C" w14:textId="77777777" w:rsidR="00416D85" w:rsidRPr="007C60AF" w:rsidRDefault="00130320">
            <w:pPr>
              <w:numPr>
                <w:ilvl w:val="0"/>
                <w:numId w:val="60"/>
              </w:numPr>
              <w:pBdr>
                <w:top w:val="nil"/>
                <w:left w:val="nil"/>
                <w:bottom w:val="nil"/>
                <w:right w:val="nil"/>
                <w:between w:val="nil"/>
              </w:pBdr>
              <w:spacing w:before="240" w:after="0"/>
              <w:jc w:val="both"/>
              <w:rPr>
                <w:rFonts w:eastAsia="Arial"/>
                <w:color w:val="4472C4"/>
              </w:rPr>
            </w:pPr>
            <w:r w:rsidRPr="007C60AF">
              <w:rPr>
                <w:rFonts w:eastAsia="Arial"/>
                <w:b/>
                <w:color w:val="4472C4"/>
              </w:rPr>
              <w:t>Part II:</w:t>
            </w:r>
            <w:r w:rsidRPr="007C60AF">
              <w:rPr>
                <w:rFonts w:eastAsia="Arial"/>
                <w:color w:val="4472C4"/>
              </w:rPr>
              <w:t xml:space="preserve"> Actual and potential negative effects </w:t>
            </w:r>
            <w:proofErr w:type="gramStart"/>
            <w:r w:rsidRPr="007C60AF">
              <w:rPr>
                <w:rFonts w:eastAsia="Arial"/>
                <w:color w:val="4472C4"/>
              </w:rPr>
              <w:t>on:</w:t>
            </w:r>
            <w:proofErr w:type="gramEnd"/>
            <w:r w:rsidRPr="007C60AF">
              <w:rPr>
                <w:rFonts w:eastAsia="Arial"/>
                <w:color w:val="4472C4"/>
              </w:rPr>
              <w:t xml:space="preserve"> stocks, investments and return on investments ("</w:t>
            </w:r>
            <w:r w:rsidRPr="007C60AF">
              <w:rPr>
                <w:rFonts w:eastAsia="Arial"/>
                <w:b/>
                <w:color w:val="4472C4"/>
              </w:rPr>
              <w:t>ROI</w:t>
            </w:r>
            <w:r w:rsidRPr="007C60AF">
              <w:rPr>
                <w:rFonts w:eastAsia="Arial"/>
                <w:color w:val="4472C4"/>
              </w:rPr>
              <w:t>") and employment and productivity;</w:t>
            </w:r>
          </w:p>
          <w:p w14:paraId="0000069D" w14:textId="77777777" w:rsidR="00416D85" w:rsidRPr="007C60AF" w:rsidRDefault="00130320">
            <w:pPr>
              <w:numPr>
                <w:ilvl w:val="0"/>
                <w:numId w:val="60"/>
              </w:numPr>
              <w:pBdr>
                <w:top w:val="nil"/>
                <w:left w:val="nil"/>
                <w:bottom w:val="nil"/>
                <w:right w:val="nil"/>
                <w:between w:val="nil"/>
              </w:pBdr>
              <w:spacing w:before="240" w:after="0"/>
              <w:jc w:val="both"/>
              <w:rPr>
                <w:rFonts w:eastAsia="Arial"/>
                <w:color w:val="4472C4"/>
              </w:rPr>
            </w:pPr>
            <w:r w:rsidRPr="007C60AF">
              <w:rPr>
                <w:rFonts w:eastAsia="Arial"/>
                <w:b/>
                <w:color w:val="4472C4"/>
              </w:rPr>
              <w:t>Part III:</w:t>
            </w:r>
            <w:r w:rsidRPr="007C60AF">
              <w:rPr>
                <w:rFonts w:eastAsia="Arial"/>
                <w:color w:val="4472C4"/>
              </w:rPr>
              <w:t xml:space="preserve"> Factors affecting domestic prices of the goods; and</w:t>
            </w:r>
          </w:p>
          <w:p w14:paraId="0000069E" w14:textId="77777777" w:rsidR="00416D85" w:rsidRPr="007C60AF" w:rsidRDefault="00130320">
            <w:pPr>
              <w:numPr>
                <w:ilvl w:val="0"/>
                <w:numId w:val="60"/>
              </w:numPr>
              <w:pBdr>
                <w:top w:val="nil"/>
                <w:left w:val="nil"/>
                <w:bottom w:val="nil"/>
                <w:right w:val="nil"/>
                <w:between w:val="nil"/>
              </w:pBdr>
              <w:spacing w:before="240" w:after="0"/>
              <w:jc w:val="both"/>
              <w:rPr>
                <w:rFonts w:eastAsia="Arial"/>
                <w:color w:val="4472C4"/>
              </w:rPr>
            </w:pPr>
            <w:r w:rsidRPr="007C60AF">
              <w:rPr>
                <w:rFonts w:eastAsia="Arial"/>
                <w:b/>
                <w:color w:val="4472C4"/>
              </w:rPr>
              <w:t>Part IV:</w:t>
            </w:r>
            <w:r w:rsidRPr="007C60AF">
              <w:rPr>
                <w:rFonts w:eastAsia="Arial"/>
                <w:color w:val="4472C4"/>
              </w:rPr>
              <w:t xml:space="preserve"> The magnitude of the margin of dumping and the amount of subsidy.</w:t>
            </w:r>
          </w:p>
          <w:p w14:paraId="0000069F" w14:textId="77777777" w:rsidR="00416D85" w:rsidRPr="007C60AF" w:rsidRDefault="00416D85">
            <w:pPr>
              <w:spacing w:after="0"/>
              <w:jc w:val="both"/>
              <w:rPr>
                <w:color w:val="4472C4"/>
              </w:rPr>
            </w:pPr>
          </w:p>
          <w:p w14:paraId="000006A0"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For the sake of completeness, the Applicants have also provided a detailed analysis of each of the injury indicators for the last five quarters commencing Q2 2023 and ending Q2 2024.</w:t>
            </w:r>
          </w:p>
          <w:p w14:paraId="000006A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A2" w14:textId="77777777" w:rsidR="00416D85" w:rsidRPr="007C60AF" w:rsidRDefault="00130320">
            <w:pPr>
              <w:numPr>
                <w:ilvl w:val="6"/>
                <w:numId w:val="61"/>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The injury indicators evidence the material injury suffered by the UK industry due to the surge of imports of US HVO. As demonstrated in Parts I to IV below: </w:t>
            </w:r>
          </w:p>
          <w:p w14:paraId="000006A3" w14:textId="07321560"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Actual production decreased by </w:t>
            </w:r>
            <w:r w:rsidR="00403077" w:rsidRPr="007C60AF">
              <w:rPr>
                <w:rFonts w:eastAsia="Arial"/>
                <w:b/>
                <w:bCs/>
                <w:color w:val="4472C4"/>
              </w:rPr>
              <w:t>[</w:t>
            </w:r>
            <w:r w:rsidR="00FE7509" w:rsidRPr="007C60AF">
              <w:rPr>
                <w:rFonts w:eastAsia="Arial"/>
                <w:b/>
                <w:bCs/>
                <w:color w:val="4472C4"/>
              </w:rPr>
              <w:t>0-15</w:t>
            </w:r>
            <w:r w:rsidR="003104D5" w:rsidRPr="007C60AF">
              <w:rPr>
                <w:rFonts w:eastAsia="Arial"/>
                <w:b/>
                <w:bCs/>
                <w:color w:val="4472C4"/>
              </w:rPr>
              <w:t>]</w:t>
            </w:r>
            <w:r w:rsidR="00FE7509" w:rsidRPr="007C60AF">
              <w:rPr>
                <w:rFonts w:eastAsia="Arial"/>
                <w:b/>
                <w:bCs/>
                <w:color w:val="4472C4"/>
              </w:rPr>
              <w:t xml:space="preserve">% </w:t>
            </w:r>
            <w:r w:rsidRPr="007C60AF">
              <w:rPr>
                <w:rFonts w:eastAsia="Arial"/>
                <w:color w:val="4472C4"/>
              </w:rPr>
              <w:t xml:space="preserve">between the start of the injury period and the POI. Capacity utilisation decreased </w:t>
            </w:r>
            <w:r w:rsidR="00403077" w:rsidRPr="007C60AF">
              <w:rPr>
                <w:rFonts w:eastAsia="Arial"/>
                <w:b/>
                <w:bCs/>
                <w:color w:val="4472C4"/>
              </w:rPr>
              <w:t>[</w:t>
            </w:r>
            <w:r w:rsidR="00FE7509" w:rsidRPr="007C60AF">
              <w:rPr>
                <w:rFonts w:eastAsia="Arial"/>
                <w:b/>
                <w:bCs/>
                <w:color w:val="4472C4"/>
              </w:rPr>
              <w:t>0-25</w:t>
            </w:r>
            <w:r w:rsidR="003104D5" w:rsidRPr="007C60AF">
              <w:rPr>
                <w:rFonts w:eastAsia="Arial"/>
                <w:b/>
                <w:bCs/>
                <w:color w:val="4472C4"/>
              </w:rPr>
              <w:t>]</w:t>
            </w:r>
            <w:r w:rsidR="00FE7509" w:rsidRPr="007C60AF">
              <w:rPr>
                <w:rFonts w:eastAsia="Arial"/>
                <w:b/>
                <w:bCs/>
                <w:color w:val="4472C4"/>
              </w:rPr>
              <w:t>%</w:t>
            </w:r>
            <w:r w:rsidR="00FE7509" w:rsidRPr="007C60AF">
              <w:rPr>
                <w:rFonts w:eastAsia="Arial"/>
                <w:color w:val="4472C4"/>
              </w:rPr>
              <w:t xml:space="preserve"> </w:t>
            </w:r>
            <w:r w:rsidRPr="007C60AF">
              <w:rPr>
                <w:rFonts w:eastAsia="Arial"/>
                <w:color w:val="4472C4"/>
              </w:rPr>
              <w:t>between the start of the injury period and the POI.</w:t>
            </w:r>
            <w:r w:rsidRPr="007C60AF">
              <w:rPr>
                <w:rFonts w:eastAsia="Arial"/>
                <w:color w:val="4472C4"/>
                <w:vertAlign w:val="superscript"/>
              </w:rPr>
              <w:footnoteReference w:id="151"/>
            </w:r>
          </w:p>
          <w:p w14:paraId="000006A4" w14:textId="29469E83"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Domestic sales of the UK industry to unrelated companies decreased </w:t>
            </w:r>
            <w:r w:rsidR="00F84758" w:rsidRPr="007C60AF">
              <w:rPr>
                <w:rFonts w:eastAsia="Arial"/>
                <w:b/>
                <w:color w:val="4472C4"/>
              </w:rPr>
              <w:t xml:space="preserve">by </w:t>
            </w:r>
            <w:r w:rsidR="00403077" w:rsidRPr="007C60AF">
              <w:rPr>
                <w:rFonts w:eastAsia="Arial"/>
                <w:b/>
                <w:color w:val="4472C4"/>
              </w:rPr>
              <w:t>[</w:t>
            </w:r>
            <w:r w:rsidR="00FE7509" w:rsidRPr="007C60AF">
              <w:rPr>
                <w:rFonts w:eastAsia="Arial"/>
                <w:b/>
                <w:color w:val="4472C4"/>
              </w:rPr>
              <w:t>25-50</w:t>
            </w:r>
            <w:r w:rsidR="003104D5" w:rsidRPr="007C60AF">
              <w:rPr>
                <w:rFonts w:eastAsia="Arial"/>
                <w:b/>
                <w:color w:val="4472C4"/>
              </w:rPr>
              <w:t>]</w:t>
            </w:r>
            <w:r w:rsidR="00FE7509" w:rsidRPr="007C60AF">
              <w:rPr>
                <w:rFonts w:eastAsia="Arial"/>
                <w:b/>
                <w:color w:val="4472C4"/>
              </w:rPr>
              <w:t xml:space="preserve">% </w:t>
            </w:r>
            <w:r w:rsidR="00F84758" w:rsidRPr="007C60AF">
              <w:rPr>
                <w:rFonts w:eastAsia="Arial"/>
                <w:b/>
                <w:color w:val="4472C4"/>
              </w:rPr>
              <w:t xml:space="preserve">in volume and </w:t>
            </w:r>
            <w:r w:rsidR="00403077" w:rsidRPr="007C60AF">
              <w:rPr>
                <w:rFonts w:eastAsia="Arial"/>
                <w:b/>
                <w:color w:val="4472C4"/>
              </w:rPr>
              <w:t>[</w:t>
            </w:r>
            <w:r w:rsidR="00DF04DD" w:rsidRPr="007C60AF">
              <w:rPr>
                <w:rFonts w:eastAsia="Arial"/>
                <w:b/>
                <w:color w:val="4472C4"/>
              </w:rPr>
              <w:t>25-50</w:t>
            </w:r>
            <w:r w:rsidR="003104D5" w:rsidRPr="007C60AF">
              <w:rPr>
                <w:rFonts w:eastAsia="Arial"/>
                <w:b/>
                <w:color w:val="4472C4"/>
              </w:rPr>
              <w:t>]</w:t>
            </w:r>
            <w:r w:rsidR="00F84758" w:rsidRPr="007C60AF">
              <w:rPr>
                <w:rFonts w:eastAsia="Arial"/>
                <w:b/>
                <w:color w:val="4472C4"/>
              </w:rPr>
              <w:t>%</w:t>
            </w:r>
            <w:r w:rsidRPr="007C60AF">
              <w:rPr>
                <w:rFonts w:eastAsia="Arial"/>
                <w:color w:val="4472C4"/>
              </w:rPr>
              <w:t xml:space="preserve"> in value between the start of the injury period and the POI. The value of domestic sales to unrelated companies increased </w:t>
            </w:r>
            <w:r w:rsidRPr="007C60AF">
              <w:rPr>
                <w:rFonts w:eastAsia="Arial"/>
                <w:color w:val="4472C4"/>
              </w:rPr>
              <w:lastRenderedPageBreak/>
              <w:t xml:space="preserve">in the third year of the injury period, as the UK industry could pass on part but not </w:t>
            </w:r>
            <w:proofErr w:type="gramStart"/>
            <w:r w:rsidRPr="007C60AF">
              <w:rPr>
                <w:rFonts w:eastAsia="Arial"/>
                <w:color w:val="4472C4"/>
              </w:rPr>
              <w:t>all of</w:t>
            </w:r>
            <w:proofErr w:type="gramEnd"/>
            <w:r w:rsidRPr="007C60AF">
              <w:rPr>
                <w:rFonts w:eastAsia="Arial"/>
                <w:color w:val="4472C4"/>
              </w:rPr>
              <w:t xml:space="preserve"> the increase in the costs of production to their customers. </w:t>
            </w:r>
          </w:p>
          <w:p w14:paraId="000006A5" w14:textId="77777777"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Based on actual demand figures from RTFO statistics, market share has shifted from FAME to HVO within the UK market. </w:t>
            </w:r>
          </w:p>
          <w:p w14:paraId="000006A6" w14:textId="344FE014"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As a result of the increased dumped and subsidised imports of US HVO, the profitability of sales of the UK industry to unrelated companies has experienced a strong downward trend between the start of the injury period and the POI, reaching</w:t>
            </w:r>
            <w:sdt>
              <w:sdtPr>
                <w:tag w:val="goog_rdk_135"/>
                <w:id w:val="-1809544224"/>
              </w:sdtPr>
              <w:sdtContent/>
            </w:sdt>
            <w:r w:rsidRPr="007C60AF">
              <w:rPr>
                <w:rFonts w:eastAsia="Arial"/>
                <w:color w:val="4472C4"/>
              </w:rPr>
              <w:t xml:space="preserve"> </w:t>
            </w:r>
            <w:r w:rsidR="00403077" w:rsidRPr="007C60AF">
              <w:rPr>
                <w:rFonts w:eastAsia="Arial"/>
                <w:b/>
                <w:bCs/>
                <w:color w:val="4472C4"/>
              </w:rPr>
              <w:t>[</w:t>
            </w:r>
            <w:r w:rsidRPr="007C60AF">
              <w:rPr>
                <w:rFonts w:eastAsia="Arial"/>
                <w:b/>
                <w:color w:val="4472C4"/>
              </w:rPr>
              <w:t>-</w:t>
            </w:r>
            <w:r w:rsidR="005C2755" w:rsidRPr="007C60AF">
              <w:rPr>
                <w:rFonts w:eastAsia="Arial"/>
                <w:b/>
                <w:color w:val="4472C4"/>
              </w:rPr>
              <w:t>10</w:t>
            </w:r>
            <w:r w:rsidR="00FB48EB" w:rsidRPr="007C60AF">
              <w:rPr>
                <w:rFonts w:eastAsia="Arial"/>
                <w:b/>
                <w:color w:val="4472C4"/>
              </w:rPr>
              <w:t>m</w:t>
            </w:r>
            <w:r w:rsidRPr="007C60AF">
              <w:rPr>
                <w:rFonts w:eastAsia="Arial"/>
                <w:b/>
                <w:color w:val="4472C4"/>
              </w:rPr>
              <w:t xml:space="preserve"> – </w:t>
            </w:r>
            <w:r w:rsidR="00403077" w:rsidRPr="007C60AF">
              <w:rPr>
                <w:rFonts w:eastAsia="Arial"/>
                <w:b/>
                <w:color w:val="4472C4"/>
              </w:rPr>
              <w:t>-</w:t>
            </w:r>
            <w:r w:rsidR="005C2755" w:rsidRPr="007C60AF">
              <w:rPr>
                <w:rFonts w:eastAsia="Arial"/>
                <w:b/>
                <w:color w:val="4472C4"/>
              </w:rPr>
              <w:t>5</w:t>
            </w:r>
            <w:r w:rsidRPr="007C60AF">
              <w:rPr>
                <w:rFonts w:eastAsia="Arial"/>
                <w:b/>
                <w:color w:val="4472C4"/>
              </w:rPr>
              <w:t>m</w:t>
            </w:r>
            <w:r w:rsidR="00403077" w:rsidRPr="007C60AF">
              <w:rPr>
                <w:rFonts w:eastAsia="Arial"/>
                <w:b/>
                <w:color w:val="4472C4"/>
              </w:rPr>
              <w:t>]</w:t>
            </w:r>
            <w:r w:rsidRPr="007C60AF">
              <w:rPr>
                <w:rFonts w:eastAsia="Arial"/>
                <w:color w:val="4472C4"/>
              </w:rPr>
              <w:t xml:space="preserve"> GBP and a profit margin of </w:t>
            </w:r>
            <w:r w:rsidR="00403077" w:rsidRPr="007C60AF">
              <w:rPr>
                <w:rFonts w:eastAsia="Arial"/>
                <w:b/>
                <w:bCs/>
                <w:color w:val="4472C4"/>
              </w:rPr>
              <w:t>[</w:t>
            </w:r>
            <w:r w:rsidR="00403077" w:rsidRPr="007C60AF">
              <w:rPr>
                <w:rFonts w:eastAsia="Arial"/>
                <w:b/>
                <w:color w:val="4472C4"/>
              </w:rPr>
              <w:t xml:space="preserve">-25 – </w:t>
            </w:r>
            <w:r w:rsidR="00DF04DD" w:rsidRPr="007C60AF">
              <w:rPr>
                <w:rFonts w:eastAsia="Arial"/>
                <w:b/>
                <w:color w:val="4472C4"/>
              </w:rPr>
              <w:t>0</w:t>
            </w:r>
            <w:r w:rsidR="003104D5" w:rsidRPr="007C60AF">
              <w:rPr>
                <w:rFonts w:eastAsia="Arial"/>
                <w:b/>
                <w:color w:val="4472C4"/>
              </w:rPr>
              <w:t>]</w:t>
            </w:r>
            <w:r w:rsidRPr="007C60AF">
              <w:rPr>
                <w:rFonts w:eastAsia="Arial"/>
                <w:b/>
                <w:bCs/>
                <w:color w:val="4472C4"/>
              </w:rPr>
              <w:t>%</w:t>
            </w:r>
            <w:r w:rsidRPr="007C60AF">
              <w:rPr>
                <w:rFonts w:eastAsia="Arial"/>
                <w:color w:val="4472C4"/>
              </w:rPr>
              <w:t>. The UK industry has not been able to increase prices to the extent costs increased</w:t>
            </w:r>
            <w:r w:rsidRPr="007C60AF">
              <w:rPr>
                <w:rFonts w:eastAsia="Arial"/>
                <w:color w:val="4472C4"/>
                <w:vertAlign w:val="superscript"/>
              </w:rPr>
              <w:footnoteReference w:id="152"/>
            </w:r>
            <w:r w:rsidRPr="007C60AF">
              <w:rPr>
                <w:rFonts w:eastAsia="Arial"/>
                <w:color w:val="4472C4"/>
              </w:rPr>
              <w:t xml:space="preserve"> precisely because dumped and subsidised imports of US HVO put price pressure on UK sales, which in turn led to a decrease in UK industry profitability.</w:t>
            </w:r>
          </w:p>
          <w:p w14:paraId="000006A7" w14:textId="77777777"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UK industry is unable to generate ROI despite continuous investment. Investment is therefore decreasing over the injury period and the POI. The downward trend also continues after the POI in Q2 2024. </w:t>
            </w:r>
          </w:p>
          <w:p w14:paraId="000006A8" w14:textId="77777777"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Despite the negative trends in performance, the UK industry did not reduce employment over the injury period. However, since Q1 2024 and Q2 2024, the number of employees in the UK had to be reduced.</w:t>
            </w:r>
          </w:p>
          <w:p w14:paraId="000006A9" w14:textId="77777777" w:rsidR="00416D85" w:rsidRPr="007C60AF" w:rsidRDefault="00416D85">
            <w:pPr>
              <w:spacing w:after="0"/>
              <w:jc w:val="both"/>
              <w:rPr>
                <w:color w:val="4472C4"/>
              </w:rPr>
            </w:pPr>
          </w:p>
          <w:p w14:paraId="000006AA"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Please refer to Appendix G.1 for the consolidated injury questionnaire of the UK industry, which is the source of the information provided below. </w:t>
            </w:r>
          </w:p>
          <w:p w14:paraId="000006A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AC" w14:textId="77777777" w:rsidR="00416D85" w:rsidRPr="007C60AF" w:rsidRDefault="00130320">
            <w:pPr>
              <w:numPr>
                <w:ilvl w:val="0"/>
                <w:numId w:val="64"/>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 xml:space="preserve">Actual and potential decline </w:t>
            </w:r>
            <w:proofErr w:type="gramStart"/>
            <w:r w:rsidRPr="007C60AF">
              <w:rPr>
                <w:rFonts w:eastAsia="Arial"/>
                <w:color w:val="4472C4"/>
                <w:u w:val="single"/>
              </w:rPr>
              <w:t>in:</w:t>
            </w:r>
            <w:proofErr w:type="gramEnd"/>
            <w:r w:rsidRPr="007C60AF">
              <w:rPr>
                <w:rFonts w:eastAsia="Arial"/>
                <w:color w:val="4472C4"/>
                <w:u w:val="single"/>
              </w:rPr>
              <w:t xml:space="preserve"> production, production capacity, capacity utilisation, value of production, domestic sales, export sales, market share and profitability</w:t>
            </w:r>
          </w:p>
          <w:p w14:paraId="000006A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6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b/>
                <w:color w:val="4472C4"/>
              </w:rPr>
              <w:t>Actual production</w:t>
            </w:r>
          </w:p>
          <w:p w14:paraId="000006A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B0" w14:textId="47C7B35E"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Actual production of the UK industry decreased by </w:t>
            </w:r>
            <w:r w:rsidR="00403077" w:rsidRPr="007C60AF">
              <w:rPr>
                <w:rFonts w:eastAsia="Arial"/>
                <w:b/>
                <w:bCs/>
                <w:color w:val="4472C4"/>
              </w:rPr>
              <w:t>[</w:t>
            </w:r>
            <w:r w:rsidR="00DF04DD" w:rsidRPr="007C60AF">
              <w:rPr>
                <w:rFonts w:eastAsia="Arial"/>
                <w:b/>
                <w:color w:val="4472C4"/>
              </w:rPr>
              <w:t>0-15</w:t>
            </w:r>
            <w:r w:rsidR="003104D5" w:rsidRPr="007C60AF">
              <w:rPr>
                <w:rFonts w:eastAsia="Arial"/>
                <w:b/>
                <w:color w:val="4472C4"/>
              </w:rPr>
              <w:t>]</w:t>
            </w:r>
            <w:r w:rsidRPr="007C60AF">
              <w:rPr>
                <w:rFonts w:eastAsia="Arial"/>
                <w:b/>
                <w:color w:val="4472C4"/>
              </w:rPr>
              <w:t>%</w:t>
            </w:r>
            <w:r w:rsidRPr="007C60AF">
              <w:rPr>
                <w:rFonts w:eastAsia="Arial"/>
                <w:color w:val="4472C4"/>
              </w:rPr>
              <w:t xml:space="preserve"> between the start of the injury period and the POI, from </w:t>
            </w:r>
            <w:r w:rsidR="00403077" w:rsidRPr="007C60AF">
              <w:rPr>
                <w:rFonts w:eastAsia="Arial"/>
                <w:b/>
                <w:bCs/>
                <w:color w:val="4472C4"/>
              </w:rPr>
              <w:t>[</w:t>
            </w:r>
            <w:r w:rsidR="00403077" w:rsidRPr="007C60AF">
              <w:rPr>
                <w:rFonts w:eastAsia="Arial"/>
                <w:b/>
                <w:color w:val="4472C4"/>
              </w:rPr>
              <w:t>400,000</w:t>
            </w:r>
            <w:r w:rsidRPr="007C60AF">
              <w:rPr>
                <w:rFonts w:eastAsia="Arial"/>
                <w:b/>
                <w:color w:val="4472C4"/>
              </w:rPr>
              <w:t>-</w:t>
            </w:r>
            <w:r w:rsidR="00403077" w:rsidRPr="007C60AF">
              <w:rPr>
                <w:rFonts w:eastAsia="Arial"/>
                <w:b/>
                <w:color w:val="4472C4"/>
              </w:rPr>
              <w:t>500,000]</w:t>
            </w:r>
            <w:r w:rsidRPr="007C60AF">
              <w:rPr>
                <w:rFonts w:eastAsia="Arial"/>
                <w:color w:val="4472C4"/>
              </w:rPr>
              <w:t xml:space="preserve"> MT to </w:t>
            </w:r>
            <w:r w:rsidR="00403077" w:rsidRPr="007C60AF">
              <w:rPr>
                <w:rFonts w:eastAsia="Arial"/>
                <w:b/>
                <w:bCs/>
                <w:color w:val="4472C4"/>
              </w:rPr>
              <w:t>[</w:t>
            </w:r>
            <w:r w:rsidR="00403077" w:rsidRPr="007C60AF">
              <w:rPr>
                <w:rFonts w:eastAsia="Arial"/>
                <w:b/>
                <w:color w:val="4472C4"/>
              </w:rPr>
              <w:t>400,000 –</w:t>
            </w:r>
            <w:r w:rsidRPr="007C60AF">
              <w:rPr>
                <w:rFonts w:eastAsia="Arial"/>
                <w:b/>
                <w:color w:val="4472C4"/>
              </w:rPr>
              <w:t xml:space="preserve"> </w:t>
            </w:r>
            <w:r w:rsidR="00403077" w:rsidRPr="007C60AF">
              <w:rPr>
                <w:rFonts w:eastAsia="Arial"/>
                <w:b/>
                <w:color w:val="4472C4"/>
              </w:rPr>
              <w:t xml:space="preserve">500,000] </w:t>
            </w:r>
            <w:r w:rsidR="00403077" w:rsidRPr="007C60AF">
              <w:rPr>
                <w:rFonts w:eastAsia="Arial"/>
                <w:color w:val="4472C4"/>
              </w:rPr>
              <w:t xml:space="preserve">MT </w:t>
            </w:r>
            <w:r w:rsidRPr="007C60AF">
              <w:rPr>
                <w:rFonts w:eastAsia="Arial"/>
                <w:color w:val="4472C4"/>
              </w:rPr>
              <w:t xml:space="preserve">(see table 1 below). </w:t>
            </w:r>
          </w:p>
          <w:p w14:paraId="000006B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B2" w14:textId="3FE38285"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This trend has continued into Q2 2024, as evidenced by table 2 below. The production of the UK industry has decreased by </w:t>
            </w:r>
            <w:r w:rsidR="003104D5" w:rsidRPr="007C60AF">
              <w:rPr>
                <w:rFonts w:eastAsia="Arial"/>
                <w:b/>
                <w:bCs/>
                <w:color w:val="4472C4"/>
              </w:rPr>
              <w:t>[</w:t>
            </w:r>
            <w:r w:rsidR="00DF04DD" w:rsidRPr="007C60AF">
              <w:rPr>
                <w:rFonts w:eastAsia="Arial"/>
                <w:b/>
                <w:color w:val="4472C4"/>
              </w:rPr>
              <w:t>0-25</w:t>
            </w:r>
            <w:r w:rsidR="003104D5" w:rsidRPr="007C60AF">
              <w:rPr>
                <w:rFonts w:eastAsia="Arial"/>
                <w:b/>
                <w:color w:val="4472C4"/>
              </w:rPr>
              <w:t>]</w:t>
            </w:r>
            <w:r w:rsidRPr="007C60AF">
              <w:rPr>
                <w:rFonts w:eastAsia="Arial"/>
                <w:b/>
                <w:color w:val="4472C4"/>
              </w:rPr>
              <w:t>%</w:t>
            </w:r>
            <w:r w:rsidRPr="007C60AF">
              <w:rPr>
                <w:rFonts w:eastAsia="Arial"/>
                <w:color w:val="4472C4"/>
              </w:rPr>
              <w:t xml:space="preserve"> between Q2 2023 and Q2 2024, from </w:t>
            </w:r>
            <w:r w:rsidR="003104D5" w:rsidRPr="007C60AF">
              <w:rPr>
                <w:rFonts w:eastAsia="Arial"/>
                <w:b/>
                <w:bCs/>
                <w:color w:val="4472C4"/>
              </w:rPr>
              <w:t>[</w:t>
            </w:r>
            <w:r w:rsidR="00863086" w:rsidRPr="007C60AF">
              <w:rPr>
                <w:rFonts w:eastAsia="Arial"/>
                <w:b/>
                <w:color w:val="4472C4"/>
              </w:rPr>
              <w:t>100,000 – 150,000</w:t>
            </w:r>
            <w:r w:rsidR="003104D5" w:rsidRPr="007C60AF">
              <w:rPr>
                <w:rFonts w:eastAsia="Arial"/>
                <w:b/>
                <w:color w:val="4472C4"/>
              </w:rPr>
              <w:t>]</w:t>
            </w:r>
            <w:r w:rsidR="00863086" w:rsidRPr="007C60AF">
              <w:rPr>
                <w:rFonts w:eastAsia="Arial"/>
                <w:b/>
                <w:color w:val="4472C4"/>
              </w:rPr>
              <w:t xml:space="preserve"> </w:t>
            </w:r>
            <w:r w:rsidRPr="007C60AF">
              <w:rPr>
                <w:rFonts w:eastAsia="Arial"/>
                <w:color w:val="4472C4"/>
              </w:rPr>
              <w:t xml:space="preserve">MT to </w:t>
            </w:r>
            <w:r w:rsidR="003104D5" w:rsidRPr="007C60AF">
              <w:rPr>
                <w:rFonts w:eastAsia="Arial"/>
                <w:b/>
                <w:bCs/>
                <w:color w:val="4472C4"/>
              </w:rPr>
              <w:t>[</w:t>
            </w:r>
            <w:r w:rsidR="000167B1" w:rsidRPr="007C60AF">
              <w:rPr>
                <w:rFonts w:eastAsia="Arial"/>
                <w:b/>
                <w:color w:val="4472C4"/>
              </w:rPr>
              <w:t>75</w:t>
            </w:r>
            <w:r w:rsidR="000C1E5B" w:rsidRPr="007C60AF">
              <w:rPr>
                <w:rFonts w:eastAsia="Arial"/>
                <w:b/>
                <w:color w:val="4472C4"/>
              </w:rPr>
              <w:t>,000 – 100,000</w:t>
            </w:r>
            <w:r w:rsidR="003104D5" w:rsidRPr="007C60AF">
              <w:rPr>
                <w:rFonts w:eastAsia="Arial"/>
                <w:b/>
                <w:color w:val="4472C4"/>
              </w:rPr>
              <w:t>]</w:t>
            </w:r>
            <w:r w:rsidRPr="007C60AF">
              <w:rPr>
                <w:rFonts w:eastAsia="Arial"/>
                <w:b/>
                <w:color w:val="4472C4"/>
              </w:rPr>
              <w:t xml:space="preserve"> </w:t>
            </w:r>
            <w:r w:rsidRPr="007C60AF">
              <w:rPr>
                <w:rFonts w:eastAsia="Arial"/>
                <w:color w:val="4472C4"/>
              </w:rPr>
              <w:t xml:space="preserve">MT. </w:t>
            </w:r>
          </w:p>
          <w:p w14:paraId="000006B3"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6B4" w14:textId="36EFF29B"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Production dropped in the POI because </w:t>
            </w:r>
            <w:sdt>
              <w:sdtPr>
                <w:tag w:val="goog_rdk_136"/>
                <w:id w:val="-313566402"/>
              </w:sdtPr>
              <w:sdtContent/>
            </w:sdt>
            <w:r w:rsidRPr="007C60AF">
              <w:rPr>
                <w:rFonts w:eastAsia="Arial"/>
                <w:b/>
                <w:color w:val="4472C4"/>
              </w:rPr>
              <w:t>plant output was reduce</w:t>
            </w:r>
            <w:r w:rsidR="00555568" w:rsidRPr="007C60AF">
              <w:rPr>
                <w:rFonts w:eastAsia="Arial"/>
                <w:b/>
                <w:color w:val="4472C4"/>
              </w:rPr>
              <w:t>d</w:t>
            </w:r>
            <w:r w:rsidRPr="007C60AF">
              <w:rPr>
                <w:rFonts w:eastAsia="Arial"/>
                <w:b/>
                <w:color w:val="4472C4"/>
              </w:rPr>
              <w:t xml:space="preserve"> </w:t>
            </w:r>
            <w:r w:rsidRPr="007C60AF">
              <w:rPr>
                <w:rFonts w:eastAsia="Arial"/>
                <w:color w:val="4472C4"/>
              </w:rPr>
              <w:t xml:space="preserve">due to poor market conditions caused by the dumped and subsidised imports of US HVO. The UK industry operated only to supply some contracted volumes. The market rates and therefore margins were not sufficient for it to be worthwhile producing additional volumes. </w:t>
            </w:r>
          </w:p>
          <w:p w14:paraId="000006B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B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1: Actual production (MT) for the injury period and the POI</w:t>
            </w:r>
          </w:p>
          <w:p w14:paraId="000006B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0"/>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08CF30B7" w14:textId="77777777">
              <w:tc>
                <w:tcPr>
                  <w:tcW w:w="1784" w:type="dxa"/>
                  <w:shd w:val="clear" w:color="auto" w:fill="D0CECE"/>
                </w:tcPr>
                <w:p w14:paraId="000006B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6B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6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6B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6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F8C9A00" w14:textId="77777777">
              <w:tc>
                <w:tcPr>
                  <w:tcW w:w="1784" w:type="dxa"/>
                  <w:shd w:val="clear" w:color="auto" w:fill="D0CECE"/>
                </w:tcPr>
                <w:p w14:paraId="000006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6BE" w14:textId="4E127C96" w:rsidR="00416D85" w:rsidRPr="007C60AF" w:rsidRDefault="00975D9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400,000 – 500,000</w:t>
                  </w:r>
                  <w:r w:rsidRPr="007C60AF">
                    <w:rPr>
                      <w:rFonts w:eastAsia="Arial"/>
                      <w:b/>
                      <w:color w:val="4472C4"/>
                    </w:rPr>
                    <w:t>]</w:t>
                  </w:r>
                </w:p>
              </w:tc>
              <w:tc>
                <w:tcPr>
                  <w:tcW w:w="1784" w:type="dxa"/>
                </w:tcPr>
                <w:p w14:paraId="000006BF" w14:textId="2631DF44" w:rsidR="00416D85" w:rsidRPr="007C60AF" w:rsidRDefault="000167B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400,000 – 500,000</w:t>
                  </w:r>
                  <w:r w:rsidRPr="007C60AF">
                    <w:rPr>
                      <w:rFonts w:eastAsia="Arial"/>
                      <w:b/>
                      <w:color w:val="4472C4"/>
                    </w:rPr>
                    <w:t>]</w:t>
                  </w:r>
                </w:p>
              </w:tc>
              <w:tc>
                <w:tcPr>
                  <w:tcW w:w="1784" w:type="dxa"/>
                </w:tcPr>
                <w:p w14:paraId="000006C0" w14:textId="791BE1AB" w:rsidR="00416D85" w:rsidRPr="007C60AF" w:rsidRDefault="000167B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400,000 – 500,000</w:t>
                  </w:r>
                  <w:r w:rsidRPr="007C60AF">
                    <w:rPr>
                      <w:rFonts w:eastAsia="Arial"/>
                      <w:b/>
                      <w:color w:val="4472C4"/>
                    </w:rPr>
                    <w:t>]</w:t>
                  </w:r>
                </w:p>
              </w:tc>
              <w:tc>
                <w:tcPr>
                  <w:tcW w:w="1785" w:type="dxa"/>
                </w:tcPr>
                <w:p w14:paraId="000006C1" w14:textId="11A78564" w:rsidR="00416D85" w:rsidRPr="007C60AF" w:rsidRDefault="000167B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400,000 – 500,000</w:t>
                  </w:r>
                  <w:r w:rsidRPr="007C60AF">
                    <w:rPr>
                      <w:rFonts w:eastAsia="Arial"/>
                      <w:b/>
                      <w:color w:val="4472C4"/>
                    </w:rPr>
                    <w:t>]</w:t>
                  </w:r>
                </w:p>
              </w:tc>
            </w:tr>
            <w:tr w:rsidR="00416D85" w:rsidRPr="007C60AF" w14:paraId="1FFCAA59" w14:textId="77777777">
              <w:tc>
                <w:tcPr>
                  <w:tcW w:w="1784" w:type="dxa"/>
                  <w:shd w:val="clear" w:color="auto" w:fill="D0CECE"/>
                </w:tcPr>
                <w:p w14:paraId="000006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6C3" w14:textId="2E58A58B"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100</w:t>
                  </w:r>
                </w:p>
              </w:tc>
              <w:tc>
                <w:tcPr>
                  <w:tcW w:w="1784" w:type="dxa"/>
                </w:tcPr>
                <w:p w14:paraId="000006C4" w14:textId="39406FBE" w:rsidR="00416D85" w:rsidRPr="007C60AF" w:rsidRDefault="0014724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6C5" w14:textId="63589D28"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785" w:type="dxa"/>
                </w:tcPr>
                <w:p w14:paraId="000006C6" w14:textId="599204E3"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91</w:t>
                  </w:r>
                </w:p>
              </w:tc>
            </w:tr>
          </w:tbl>
          <w:p w14:paraId="000006C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6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 Actual production (MT) for Q2 2023 – Q2 2024</w:t>
            </w:r>
          </w:p>
          <w:p w14:paraId="000006C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1"/>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65"/>
              <w:gridCol w:w="1565"/>
              <w:gridCol w:w="1594"/>
              <w:gridCol w:w="1493"/>
              <w:gridCol w:w="1541"/>
            </w:tblGrid>
            <w:tr w:rsidR="00416D85" w:rsidRPr="007C60AF" w14:paraId="3B1FE296" w14:textId="77777777">
              <w:tc>
                <w:tcPr>
                  <w:tcW w:w="1163" w:type="dxa"/>
                  <w:shd w:val="clear" w:color="auto" w:fill="D0CECE"/>
                </w:tcPr>
                <w:p w14:paraId="000006C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65" w:type="dxa"/>
                  <w:shd w:val="clear" w:color="auto" w:fill="D0CECE"/>
                </w:tcPr>
                <w:p w14:paraId="000006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65" w:type="dxa"/>
                  <w:shd w:val="clear" w:color="auto" w:fill="D0CECE"/>
                </w:tcPr>
                <w:p w14:paraId="000006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94" w:type="dxa"/>
                  <w:shd w:val="clear" w:color="auto" w:fill="D0CECE"/>
                </w:tcPr>
                <w:p w14:paraId="000006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493" w:type="dxa"/>
                  <w:shd w:val="clear" w:color="auto" w:fill="D0CECE"/>
                </w:tcPr>
                <w:p w14:paraId="000006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41" w:type="dxa"/>
                  <w:shd w:val="clear" w:color="auto" w:fill="D0CECE"/>
                </w:tcPr>
                <w:p w14:paraId="000006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51446E8E" w14:textId="77777777">
              <w:tc>
                <w:tcPr>
                  <w:tcW w:w="1163" w:type="dxa"/>
                  <w:shd w:val="clear" w:color="auto" w:fill="D0CECE"/>
                </w:tcPr>
                <w:p w14:paraId="000006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65" w:type="dxa"/>
                </w:tcPr>
                <w:p w14:paraId="000006D1" w14:textId="78E2DC34"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1</w:t>
                  </w:r>
                  <w:r w:rsidRPr="007C60AF">
                    <w:rPr>
                      <w:rFonts w:eastAsia="Arial"/>
                      <w:b/>
                      <w:color w:val="4472C4"/>
                    </w:rPr>
                    <w:t>0</w:t>
                  </w:r>
                  <w:r w:rsidR="000C1E5B" w:rsidRPr="007C60AF">
                    <w:rPr>
                      <w:rFonts w:eastAsia="Arial"/>
                      <w:b/>
                      <w:color w:val="4472C4"/>
                    </w:rPr>
                    <w:t xml:space="preserve">0,000 – </w:t>
                  </w:r>
                  <w:r w:rsidRPr="007C60AF">
                    <w:rPr>
                      <w:rFonts w:eastAsia="Arial"/>
                      <w:b/>
                      <w:color w:val="4472C4"/>
                    </w:rPr>
                    <w:t>1</w:t>
                  </w:r>
                  <w:r w:rsidR="005C61B2" w:rsidRPr="007C60AF">
                    <w:rPr>
                      <w:rFonts w:eastAsia="Arial"/>
                      <w:b/>
                      <w:color w:val="4472C4"/>
                    </w:rPr>
                    <w:t>25</w:t>
                  </w:r>
                  <w:r w:rsidR="000C1E5B" w:rsidRPr="007C60AF">
                    <w:rPr>
                      <w:rFonts w:eastAsia="Arial"/>
                      <w:b/>
                      <w:color w:val="4472C4"/>
                    </w:rPr>
                    <w:t>,000</w:t>
                  </w:r>
                  <w:r w:rsidRPr="007C60AF">
                    <w:rPr>
                      <w:rFonts w:eastAsia="Arial"/>
                      <w:b/>
                      <w:color w:val="4472C4"/>
                    </w:rPr>
                    <w:t>]</w:t>
                  </w:r>
                </w:p>
              </w:tc>
              <w:tc>
                <w:tcPr>
                  <w:tcW w:w="1565" w:type="dxa"/>
                </w:tcPr>
                <w:p w14:paraId="000006D2" w14:textId="0997C019"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1</w:t>
                  </w:r>
                  <w:r w:rsidRPr="007C60AF">
                    <w:rPr>
                      <w:rFonts w:eastAsia="Arial"/>
                      <w:b/>
                      <w:color w:val="4472C4"/>
                    </w:rPr>
                    <w:t>0</w:t>
                  </w:r>
                  <w:r w:rsidR="000C1E5B" w:rsidRPr="007C60AF">
                    <w:rPr>
                      <w:rFonts w:eastAsia="Arial"/>
                      <w:b/>
                      <w:color w:val="4472C4"/>
                    </w:rPr>
                    <w:t xml:space="preserve">0,000 – </w:t>
                  </w:r>
                  <w:r w:rsidRPr="007C60AF">
                    <w:rPr>
                      <w:rFonts w:eastAsia="Arial"/>
                      <w:b/>
                      <w:color w:val="4472C4"/>
                    </w:rPr>
                    <w:t>1</w:t>
                  </w:r>
                  <w:r w:rsidR="005C61B2" w:rsidRPr="007C60AF">
                    <w:rPr>
                      <w:rFonts w:eastAsia="Arial"/>
                      <w:b/>
                      <w:color w:val="4472C4"/>
                    </w:rPr>
                    <w:t>25</w:t>
                  </w:r>
                  <w:r w:rsidR="000C1E5B" w:rsidRPr="007C60AF">
                    <w:rPr>
                      <w:rFonts w:eastAsia="Arial"/>
                      <w:b/>
                      <w:color w:val="4472C4"/>
                    </w:rPr>
                    <w:t>,000</w:t>
                  </w:r>
                  <w:r w:rsidRPr="007C60AF">
                    <w:rPr>
                      <w:rFonts w:eastAsia="Arial"/>
                      <w:b/>
                      <w:color w:val="4472C4"/>
                    </w:rPr>
                    <w:t>]</w:t>
                  </w:r>
                </w:p>
              </w:tc>
              <w:tc>
                <w:tcPr>
                  <w:tcW w:w="1594" w:type="dxa"/>
                </w:tcPr>
                <w:p w14:paraId="000006D3" w14:textId="09793A54"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1</w:t>
                  </w:r>
                  <w:r w:rsidR="005C61B2" w:rsidRPr="007C60AF">
                    <w:rPr>
                      <w:rFonts w:eastAsia="Arial"/>
                      <w:b/>
                      <w:color w:val="4472C4"/>
                    </w:rPr>
                    <w:t>25</w:t>
                  </w:r>
                  <w:r w:rsidR="000C1E5B" w:rsidRPr="007C60AF">
                    <w:rPr>
                      <w:rFonts w:eastAsia="Arial"/>
                      <w:b/>
                      <w:color w:val="4472C4"/>
                    </w:rPr>
                    <w:t xml:space="preserve">,000 – </w:t>
                  </w:r>
                  <w:r w:rsidRPr="007C60AF">
                    <w:rPr>
                      <w:rFonts w:eastAsia="Arial"/>
                      <w:b/>
                      <w:color w:val="4472C4"/>
                    </w:rPr>
                    <w:t>15</w:t>
                  </w:r>
                  <w:r w:rsidR="000C1E5B" w:rsidRPr="007C60AF">
                    <w:rPr>
                      <w:rFonts w:eastAsia="Arial"/>
                      <w:b/>
                      <w:color w:val="4472C4"/>
                    </w:rPr>
                    <w:t>0,000</w:t>
                  </w:r>
                  <w:r w:rsidRPr="007C60AF">
                    <w:rPr>
                      <w:rFonts w:eastAsia="Arial"/>
                      <w:b/>
                      <w:color w:val="4472C4"/>
                    </w:rPr>
                    <w:t>]</w:t>
                  </w:r>
                </w:p>
              </w:tc>
              <w:tc>
                <w:tcPr>
                  <w:tcW w:w="1493" w:type="dxa"/>
                </w:tcPr>
                <w:p w14:paraId="000006D4" w14:textId="6806539C"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1</w:t>
                  </w:r>
                  <w:r w:rsidRPr="007C60AF">
                    <w:rPr>
                      <w:rFonts w:eastAsia="Arial"/>
                      <w:b/>
                      <w:color w:val="4472C4"/>
                    </w:rPr>
                    <w:t>0</w:t>
                  </w:r>
                  <w:r w:rsidR="000C1E5B" w:rsidRPr="007C60AF">
                    <w:rPr>
                      <w:rFonts w:eastAsia="Arial"/>
                      <w:b/>
                      <w:color w:val="4472C4"/>
                    </w:rPr>
                    <w:t xml:space="preserve">0,000 – </w:t>
                  </w:r>
                  <w:r w:rsidRPr="007C60AF">
                    <w:rPr>
                      <w:rFonts w:eastAsia="Arial"/>
                      <w:b/>
                      <w:color w:val="4472C4"/>
                    </w:rPr>
                    <w:t>1</w:t>
                  </w:r>
                  <w:r w:rsidR="005C61B2" w:rsidRPr="007C60AF">
                    <w:rPr>
                      <w:rFonts w:eastAsia="Arial"/>
                      <w:b/>
                      <w:color w:val="4472C4"/>
                    </w:rPr>
                    <w:t>25</w:t>
                  </w:r>
                  <w:r w:rsidR="000C1E5B" w:rsidRPr="007C60AF">
                    <w:rPr>
                      <w:rFonts w:eastAsia="Arial"/>
                      <w:b/>
                      <w:color w:val="4472C4"/>
                    </w:rPr>
                    <w:t>,000</w:t>
                  </w:r>
                  <w:r w:rsidRPr="007C60AF">
                    <w:rPr>
                      <w:rFonts w:eastAsia="Arial"/>
                      <w:b/>
                      <w:color w:val="4472C4"/>
                    </w:rPr>
                    <w:t>]</w:t>
                  </w:r>
                </w:p>
              </w:tc>
              <w:tc>
                <w:tcPr>
                  <w:tcW w:w="1541" w:type="dxa"/>
                </w:tcPr>
                <w:p w14:paraId="000006D5" w14:textId="2F02A822"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5"/>
                    <w:jc w:val="both"/>
                    <w:rPr>
                      <w:rFonts w:eastAsia="Arial"/>
                      <w:b/>
                      <w:color w:val="4472C4"/>
                    </w:rPr>
                  </w:pPr>
                  <w:r w:rsidRPr="007C60AF">
                    <w:rPr>
                      <w:rFonts w:eastAsia="Arial"/>
                      <w:b/>
                      <w:color w:val="4472C4"/>
                    </w:rPr>
                    <w:t>[</w:t>
                  </w:r>
                  <w:r w:rsidR="00F10402" w:rsidRPr="007C60AF">
                    <w:rPr>
                      <w:rFonts w:eastAsia="Arial"/>
                      <w:b/>
                      <w:color w:val="4472C4"/>
                    </w:rPr>
                    <w:t>75,000 – 100,000</w:t>
                  </w:r>
                  <w:r w:rsidRPr="007C60AF">
                    <w:rPr>
                      <w:rFonts w:eastAsia="Arial"/>
                      <w:b/>
                      <w:color w:val="4472C4"/>
                    </w:rPr>
                    <w:t>]</w:t>
                  </w:r>
                </w:p>
              </w:tc>
            </w:tr>
            <w:tr w:rsidR="00416D85" w:rsidRPr="007C60AF" w14:paraId="4952242A" w14:textId="77777777">
              <w:tc>
                <w:tcPr>
                  <w:tcW w:w="1163" w:type="dxa"/>
                  <w:shd w:val="clear" w:color="auto" w:fill="D0CECE"/>
                </w:tcPr>
                <w:p w14:paraId="000006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65" w:type="dxa"/>
                </w:tcPr>
                <w:p w14:paraId="000006D7" w14:textId="51D24DE2"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100</w:t>
                  </w:r>
                </w:p>
              </w:tc>
              <w:tc>
                <w:tcPr>
                  <w:tcW w:w="1565" w:type="dxa"/>
                </w:tcPr>
                <w:p w14:paraId="000006D8" w14:textId="0C02B3A4"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100</w:t>
                  </w:r>
                </w:p>
              </w:tc>
              <w:tc>
                <w:tcPr>
                  <w:tcW w:w="1594" w:type="dxa"/>
                </w:tcPr>
                <w:p w14:paraId="000006D9" w14:textId="5EB25A91"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120</w:t>
                  </w:r>
                </w:p>
              </w:tc>
              <w:tc>
                <w:tcPr>
                  <w:tcW w:w="1493" w:type="dxa"/>
                </w:tcPr>
                <w:p w14:paraId="000006DA" w14:textId="7B494B28"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105</w:t>
                  </w:r>
                </w:p>
              </w:tc>
              <w:tc>
                <w:tcPr>
                  <w:tcW w:w="1541" w:type="dxa"/>
                </w:tcPr>
                <w:p w14:paraId="000006DB" w14:textId="45D53F9B"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84</w:t>
                  </w:r>
                </w:p>
              </w:tc>
            </w:tr>
          </w:tbl>
          <w:p w14:paraId="000006DC" w14:textId="77777777" w:rsidR="00416D85" w:rsidRPr="007C60AF" w:rsidRDefault="00416D85">
            <w:pPr>
              <w:spacing w:after="0"/>
              <w:jc w:val="both"/>
              <w:rPr>
                <w:color w:val="4472C4"/>
              </w:rPr>
            </w:pPr>
          </w:p>
          <w:p w14:paraId="000006D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r w:rsidRPr="007C60AF">
              <w:rPr>
                <w:rFonts w:eastAsia="Arial"/>
                <w:b/>
                <w:color w:val="4472C4"/>
              </w:rPr>
              <w:t>Production capacity</w:t>
            </w:r>
          </w:p>
          <w:p w14:paraId="000006D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6DF"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production capacity of the UK industry has remained relatively stable, marginally increasing between the start of the injury period and the POI (see table 3 below). The insignificant capacity increase over the years can be explained by the </w:t>
            </w:r>
            <w:r w:rsidRPr="007C60AF">
              <w:rPr>
                <w:rFonts w:eastAsia="Arial"/>
                <w:color w:val="4472C4"/>
              </w:rPr>
              <w:lastRenderedPageBreak/>
              <w:t xml:space="preserve">fact that adjustments have been made to existing plant machinery and operating processes. </w:t>
            </w:r>
          </w:p>
          <w:p w14:paraId="000006E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E1" w14:textId="15E4F096"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However, as evidenced by table 4 below, production capacity has decreased by </w:t>
            </w:r>
            <w:r w:rsidR="000A165B" w:rsidRPr="007C60AF">
              <w:rPr>
                <w:rFonts w:eastAsia="Arial"/>
                <w:color w:val="4472C4"/>
              </w:rPr>
              <w:t>[</w:t>
            </w:r>
            <w:r w:rsidR="008E5707" w:rsidRPr="007C60AF">
              <w:rPr>
                <w:rFonts w:eastAsia="Arial"/>
                <w:b/>
                <w:bCs/>
                <w:color w:val="4472C4"/>
              </w:rPr>
              <w:t>0-15%</w:t>
            </w:r>
            <w:r w:rsidR="000A165B" w:rsidRPr="007C60AF">
              <w:rPr>
                <w:rFonts w:eastAsia="Arial"/>
                <w:b/>
                <w:bCs/>
                <w:color w:val="4472C4"/>
              </w:rPr>
              <w:t>]</w:t>
            </w:r>
            <w:r w:rsidRPr="007C60AF">
              <w:rPr>
                <w:rFonts w:eastAsia="Arial"/>
                <w:color w:val="4472C4"/>
              </w:rPr>
              <w:t xml:space="preserve"> between Q2 2023 and Q2 2024, from </w:t>
            </w:r>
            <w:r w:rsidR="000A165B" w:rsidRPr="007C60AF">
              <w:rPr>
                <w:rFonts w:eastAsia="Arial"/>
                <w:b/>
                <w:color w:val="4472C4"/>
              </w:rPr>
              <w:t>[</w:t>
            </w:r>
            <w:r w:rsidR="00F10402" w:rsidRPr="007C60AF">
              <w:rPr>
                <w:rFonts w:eastAsia="Arial"/>
                <w:b/>
                <w:color w:val="4472C4"/>
              </w:rPr>
              <w:t>150,000 – 200,000</w:t>
            </w:r>
            <w:r w:rsidR="000A165B" w:rsidRPr="007C60AF">
              <w:rPr>
                <w:rFonts w:eastAsia="Arial"/>
                <w:b/>
                <w:color w:val="4472C4"/>
              </w:rPr>
              <w:t>]</w:t>
            </w:r>
            <w:r w:rsidR="00F10402" w:rsidRPr="007C60AF">
              <w:rPr>
                <w:rFonts w:eastAsia="Arial"/>
                <w:b/>
                <w:color w:val="4472C4"/>
              </w:rPr>
              <w:t xml:space="preserve"> </w:t>
            </w:r>
            <w:r w:rsidRPr="007C60AF">
              <w:rPr>
                <w:rFonts w:eastAsia="Arial"/>
                <w:color w:val="4472C4"/>
              </w:rPr>
              <w:t xml:space="preserve">MT in Q3 2023 to </w:t>
            </w:r>
            <w:r w:rsidR="000A165B" w:rsidRPr="007C60AF">
              <w:rPr>
                <w:rFonts w:eastAsia="Arial"/>
                <w:color w:val="4472C4"/>
              </w:rPr>
              <w:t>[</w:t>
            </w:r>
            <w:r w:rsidR="00F10402" w:rsidRPr="007C60AF">
              <w:rPr>
                <w:rFonts w:eastAsia="Arial"/>
                <w:b/>
                <w:color w:val="4472C4"/>
              </w:rPr>
              <w:t>1</w:t>
            </w:r>
            <w:r w:rsidR="000A165B" w:rsidRPr="007C60AF">
              <w:rPr>
                <w:rFonts w:eastAsia="Arial"/>
                <w:b/>
                <w:color w:val="4472C4"/>
              </w:rPr>
              <w:t>0</w:t>
            </w:r>
            <w:r w:rsidR="00F10402" w:rsidRPr="007C60AF">
              <w:rPr>
                <w:rFonts w:eastAsia="Arial"/>
                <w:b/>
                <w:color w:val="4472C4"/>
              </w:rPr>
              <w:t xml:space="preserve">0,000 – </w:t>
            </w:r>
            <w:r w:rsidR="000A165B" w:rsidRPr="007C60AF">
              <w:rPr>
                <w:rFonts w:eastAsia="Arial"/>
                <w:b/>
                <w:color w:val="4472C4"/>
              </w:rPr>
              <w:t>15</w:t>
            </w:r>
            <w:r w:rsidR="00F10402" w:rsidRPr="007C60AF">
              <w:rPr>
                <w:rFonts w:eastAsia="Arial"/>
                <w:b/>
                <w:color w:val="4472C4"/>
              </w:rPr>
              <w:t>0,000</w:t>
            </w:r>
            <w:r w:rsidR="000A165B" w:rsidRPr="007C60AF">
              <w:rPr>
                <w:rFonts w:eastAsia="Arial"/>
                <w:b/>
                <w:color w:val="4472C4"/>
              </w:rPr>
              <w:t>]</w:t>
            </w:r>
            <w:r w:rsidR="00F10402" w:rsidRPr="007C60AF">
              <w:rPr>
                <w:rFonts w:eastAsia="Arial"/>
                <w:b/>
                <w:color w:val="4472C4"/>
              </w:rPr>
              <w:t xml:space="preserve"> </w:t>
            </w:r>
            <w:r w:rsidRPr="007C60AF">
              <w:rPr>
                <w:rFonts w:eastAsia="Arial"/>
                <w:color w:val="4472C4"/>
              </w:rPr>
              <w:t xml:space="preserve">MT. </w:t>
            </w:r>
          </w:p>
          <w:p w14:paraId="000006E2"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6E3"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production capacity in Q2 2024 is lower because </w:t>
            </w:r>
            <w:r w:rsidRPr="007C60AF">
              <w:rPr>
                <w:rFonts w:eastAsia="Arial"/>
                <w:b/>
                <w:color w:val="4472C4"/>
              </w:rPr>
              <w:t>[SENSITIVE – INFORMATION ABOUT OPERATIONS OF ONE OR MORE UK PRODUCERS].</w:t>
            </w:r>
          </w:p>
          <w:p w14:paraId="000006E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6E5"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color w:val="4472C4"/>
              </w:rPr>
              <w:t>It was not possible for the UK industry to increase production capacity due to the uncertain investment environment created by price pressure from dumped and subsidised imports of US HVO.</w:t>
            </w:r>
          </w:p>
          <w:p w14:paraId="000006E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6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r w:rsidRPr="007C60AF">
              <w:rPr>
                <w:rFonts w:eastAsia="Arial"/>
                <w:i/>
                <w:color w:val="4472C4"/>
              </w:rPr>
              <w:t>Table 3: Production capacity (MT) for the injury period and the POI</w:t>
            </w:r>
          </w:p>
          <w:p w14:paraId="000006E8" w14:textId="77777777" w:rsidR="00416D85" w:rsidRPr="007C60AF" w:rsidRDefault="00416D85">
            <w:pPr>
              <w:spacing w:after="0"/>
              <w:jc w:val="both"/>
              <w:rPr>
                <w:color w:val="4472C4"/>
              </w:rPr>
            </w:pPr>
          </w:p>
          <w:tbl>
            <w:tblPr>
              <w:tblStyle w:val="affffff2"/>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6F422C48" w14:textId="77777777">
              <w:tc>
                <w:tcPr>
                  <w:tcW w:w="1784" w:type="dxa"/>
                  <w:shd w:val="clear" w:color="auto" w:fill="D0CECE"/>
                </w:tcPr>
                <w:p w14:paraId="000006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6E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6E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6E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6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58A9BBDE" w14:textId="77777777">
              <w:tc>
                <w:tcPr>
                  <w:tcW w:w="1784" w:type="dxa"/>
                  <w:shd w:val="clear" w:color="auto" w:fill="D0CECE"/>
                </w:tcPr>
                <w:p w14:paraId="000006E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6EF" w14:textId="43ED06BD"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600,000 – 800,000</w:t>
                  </w:r>
                  <w:r w:rsidRPr="007C60AF">
                    <w:rPr>
                      <w:rFonts w:eastAsia="Arial"/>
                      <w:b/>
                      <w:color w:val="4472C4"/>
                    </w:rPr>
                    <w:t>]</w:t>
                  </w:r>
                </w:p>
              </w:tc>
              <w:tc>
                <w:tcPr>
                  <w:tcW w:w="1784" w:type="dxa"/>
                </w:tcPr>
                <w:p w14:paraId="000006F0" w14:textId="77284870"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600,000 – 800,000</w:t>
                  </w:r>
                  <w:r w:rsidRPr="007C60AF">
                    <w:rPr>
                      <w:rFonts w:eastAsia="Arial"/>
                      <w:b/>
                      <w:color w:val="4472C4"/>
                    </w:rPr>
                    <w:t>]</w:t>
                  </w:r>
                </w:p>
              </w:tc>
              <w:tc>
                <w:tcPr>
                  <w:tcW w:w="1784" w:type="dxa"/>
                </w:tcPr>
                <w:p w14:paraId="000006F1" w14:textId="5F6FF156"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600,000 – 800,000</w:t>
                  </w:r>
                  <w:r w:rsidRPr="007C60AF">
                    <w:rPr>
                      <w:rFonts w:eastAsia="Arial"/>
                      <w:b/>
                      <w:color w:val="4472C4"/>
                    </w:rPr>
                    <w:t>]</w:t>
                  </w:r>
                </w:p>
              </w:tc>
              <w:tc>
                <w:tcPr>
                  <w:tcW w:w="1785" w:type="dxa"/>
                </w:tcPr>
                <w:p w14:paraId="000006F2" w14:textId="648A6BCC"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600,000 – 800,000</w:t>
                  </w:r>
                  <w:r w:rsidRPr="007C60AF">
                    <w:rPr>
                      <w:rFonts w:eastAsia="Arial"/>
                      <w:b/>
                      <w:color w:val="4472C4"/>
                    </w:rPr>
                    <w:t>]</w:t>
                  </w:r>
                </w:p>
              </w:tc>
            </w:tr>
            <w:tr w:rsidR="00416D85" w:rsidRPr="007C60AF" w14:paraId="02991B47" w14:textId="77777777">
              <w:tc>
                <w:tcPr>
                  <w:tcW w:w="1784" w:type="dxa"/>
                  <w:shd w:val="clear" w:color="auto" w:fill="D0CECE"/>
                </w:tcPr>
                <w:p w14:paraId="000006F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6F4" w14:textId="71F83259"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100</w:t>
                  </w:r>
                </w:p>
              </w:tc>
              <w:tc>
                <w:tcPr>
                  <w:tcW w:w="1784" w:type="dxa"/>
                </w:tcPr>
                <w:p w14:paraId="000006F5" w14:textId="59B07CA3"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101</w:t>
                  </w:r>
                </w:p>
              </w:tc>
              <w:tc>
                <w:tcPr>
                  <w:tcW w:w="1784" w:type="dxa"/>
                  <w:shd w:val="clear" w:color="auto" w:fill="FFFFFF"/>
                </w:tcPr>
                <w:p w14:paraId="000006F6" w14:textId="62AA603D"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101</w:t>
                  </w:r>
                </w:p>
              </w:tc>
              <w:tc>
                <w:tcPr>
                  <w:tcW w:w="1785" w:type="dxa"/>
                  <w:shd w:val="clear" w:color="auto" w:fill="FFFFFF"/>
                </w:tcPr>
                <w:p w14:paraId="000006F7" w14:textId="3D3AFAFF"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102</w:t>
                  </w:r>
                </w:p>
              </w:tc>
            </w:tr>
          </w:tbl>
          <w:p w14:paraId="000006F8" w14:textId="77777777" w:rsidR="00416D85" w:rsidRPr="007C60AF" w:rsidRDefault="00416D85">
            <w:pPr>
              <w:spacing w:after="0"/>
              <w:jc w:val="both"/>
              <w:rPr>
                <w:color w:val="4472C4"/>
              </w:rPr>
            </w:pPr>
          </w:p>
          <w:p w14:paraId="000006F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i/>
                <w:color w:val="4472C4"/>
              </w:rPr>
            </w:pPr>
            <w:r w:rsidRPr="007C60AF">
              <w:rPr>
                <w:rFonts w:eastAsia="Arial"/>
                <w:i/>
                <w:color w:val="4472C4"/>
              </w:rPr>
              <w:t>Table 4: Production capacity (MT) for Q2 2023 – Q2 2024</w:t>
            </w:r>
          </w:p>
          <w:p w14:paraId="000006FA" w14:textId="77777777" w:rsidR="00416D85" w:rsidRPr="007C60AF" w:rsidRDefault="00416D85">
            <w:pPr>
              <w:spacing w:after="0"/>
              <w:jc w:val="both"/>
              <w:rPr>
                <w:color w:val="4472C4"/>
              </w:rPr>
            </w:pPr>
          </w:p>
          <w:tbl>
            <w:tblPr>
              <w:tblStyle w:val="affffff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6"/>
              <w:gridCol w:w="1304"/>
              <w:gridCol w:w="1401"/>
              <w:gridCol w:w="1630"/>
              <w:gridCol w:w="1630"/>
              <w:gridCol w:w="1630"/>
            </w:tblGrid>
            <w:tr w:rsidR="00416D85" w:rsidRPr="007C60AF" w14:paraId="46B82E49" w14:textId="77777777" w:rsidTr="00B213E9">
              <w:tc>
                <w:tcPr>
                  <w:tcW w:w="1326" w:type="dxa"/>
                  <w:shd w:val="clear" w:color="auto" w:fill="D0CECE"/>
                </w:tcPr>
                <w:p w14:paraId="000006F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304" w:type="dxa"/>
                  <w:shd w:val="clear" w:color="auto" w:fill="D0CECE"/>
                </w:tcPr>
                <w:p w14:paraId="000006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401" w:type="dxa"/>
                  <w:shd w:val="clear" w:color="auto" w:fill="D0CECE"/>
                </w:tcPr>
                <w:p w14:paraId="000006F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630" w:type="dxa"/>
                  <w:shd w:val="clear" w:color="auto" w:fill="D0CECE"/>
                </w:tcPr>
                <w:p w14:paraId="000006F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630" w:type="dxa"/>
                  <w:shd w:val="clear" w:color="auto" w:fill="D0CECE"/>
                </w:tcPr>
                <w:p w14:paraId="000006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630" w:type="dxa"/>
                  <w:shd w:val="clear" w:color="auto" w:fill="D0CECE"/>
                </w:tcPr>
                <w:p w14:paraId="000007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22D488E8" w14:textId="77777777" w:rsidTr="00B213E9">
              <w:tc>
                <w:tcPr>
                  <w:tcW w:w="1326" w:type="dxa"/>
                  <w:shd w:val="clear" w:color="auto" w:fill="D0CECE"/>
                </w:tcPr>
                <w:p w14:paraId="0000070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304" w:type="dxa"/>
                </w:tcPr>
                <w:p w14:paraId="00000702" w14:textId="6EF953E7"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150,000– 200,000</w:t>
                  </w:r>
                  <w:r w:rsidR="003972D4" w:rsidRPr="007C60AF">
                    <w:rPr>
                      <w:rFonts w:eastAsia="Arial"/>
                      <w:b/>
                      <w:color w:val="4472C4" w:themeColor="accent1"/>
                    </w:rPr>
                    <w:t>]</w:t>
                  </w:r>
                </w:p>
              </w:tc>
              <w:tc>
                <w:tcPr>
                  <w:tcW w:w="1401" w:type="dxa"/>
                </w:tcPr>
                <w:p w14:paraId="00000703" w14:textId="3FE30BFF" w:rsidR="00416D85" w:rsidRPr="007C60AF" w:rsidRDefault="00D07A6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150,000– 200,000</w:t>
                  </w:r>
                  <w:r w:rsidRPr="007C60AF">
                    <w:rPr>
                      <w:rFonts w:eastAsia="Arial"/>
                      <w:b/>
                      <w:color w:val="4472C4"/>
                    </w:rPr>
                    <w:t>]</w:t>
                  </w:r>
                </w:p>
              </w:tc>
              <w:tc>
                <w:tcPr>
                  <w:tcW w:w="1630" w:type="dxa"/>
                </w:tcPr>
                <w:p w14:paraId="00000704" w14:textId="3B41DA81" w:rsidR="00416D85" w:rsidRPr="007C60AF" w:rsidRDefault="00D07A6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150,000– 200,000</w:t>
                  </w:r>
                  <w:r w:rsidRPr="007C60AF">
                    <w:rPr>
                      <w:rFonts w:eastAsia="Arial"/>
                      <w:b/>
                      <w:color w:val="4472C4"/>
                    </w:rPr>
                    <w:t>]</w:t>
                  </w:r>
                </w:p>
              </w:tc>
              <w:tc>
                <w:tcPr>
                  <w:tcW w:w="1630" w:type="dxa"/>
                </w:tcPr>
                <w:p w14:paraId="00000705" w14:textId="3EB71993" w:rsidR="00416D85" w:rsidRPr="007C60AF" w:rsidRDefault="00D07A6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150,000 – 200,000</w:t>
                  </w:r>
                  <w:r w:rsidR="000A165B" w:rsidRPr="007C60AF">
                    <w:rPr>
                      <w:rFonts w:eastAsia="Arial"/>
                      <w:b/>
                      <w:color w:val="4472C4"/>
                    </w:rPr>
                    <w:t>]</w:t>
                  </w:r>
                </w:p>
              </w:tc>
              <w:tc>
                <w:tcPr>
                  <w:tcW w:w="1630" w:type="dxa"/>
                </w:tcPr>
                <w:p w14:paraId="00000706" w14:textId="682E5482"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w:t>
                  </w:r>
                  <w:r w:rsidR="00F443CF" w:rsidRPr="007C60AF">
                    <w:rPr>
                      <w:rFonts w:eastAsia="Arial"/>
                      <w:b/>
                      <w:color w:val="4472C4"/>
                    </w:rPr>
                    <w:t>25</w:t>
                  </w:r>
                  <w:r w:rsidR="00F10402" w:rsidRPr="007C60AF">
                    <w:rPr>
                      <w:rFonts w:eastAsia="Arial"/>
                      <w:b/>
                      <w:color w:val="4472C4"/>
                    </w:rPr>
                    <w:t xml:space="preserve">,000 – </w:t>
                  </w:r>
                  <w:r w:rsidRPr="007C60AF">
                    <w:rPr>
                      <w:rFonts w:eastAsia="Arial"/>
                      <w:b/>
                      <w:color w:val="4472C4"/>
                    </w:rPr>
                    <w:t>15</w:t>
                  </w:r>
                  <w:r w:rsidR="00F10402" w:rsidRPr="007C60AF">
                    <w:rPr>
                      <w:rFonts w:eastAsia="Arial"/>
                      <w:b/>
                      <w:color w:val="4472C4"/>
                    </w:rPr>
                    <w:t>0,000</w:t>
                  </w:r>
                  <w:r w:rsidRPr="007C60AF">
                    <w:rPr>
                      <w:rFonts w:eastAsia="Arial"/>
                      <w:b/>
                      <w:color w:val="4472C4"/>
                    </w:rPr>
                    <w:t>]</w:t>
                  </w:r>
                </w:p>
              </w:tc>
            </w:tr>
            <w:tr w:rsidR="00416D85" w:rsidRPr="007C60AF" w14:paraId="4E94E35A" w14:textId="77777777" w:rsidTr="00B213E9">
              <w:tc>
                <w:tcPr>
                  <w:tcW w:w="1326" w:type="dxa"/>
                  <w:shd w:val="clear" w:color="auto" w:fill="D0CECE"/>
                </w:tcPr>
                <w:p w14:paraId="0000070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304" w:type="dxa"/>
                </w:tcPr>
                <w:p w14:paraId="00000708" w14:textId="1ABBE5A0"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401" w:type="dxa"/>
                </w:tcPr>
                <w:p w14:paraId="00000709" w14:textId="3564EE90"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630" w:type="dxa"/>
                </w:tcPr>
                <w:p w14:paraId="0000070A" w14:textId="7C20D011"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630" w:type="dxa"/>
                </w:tcPr>
                <w:p w14:paraId="0000070B" w14:textId="11DB2081"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630" w:type="dxa"/>
                </w:tcPr>
                <w:p w14:paraId="0000070C" w14:textId="1E7A9FF3"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94</w:t>
                  </w:r>
                </w:p>
              </w:tc>
            </w:tr>
          </w:tbl>
          <w:p w14:paraId="0000070D" w14:textId="77777777" w:rsidR="00416D85" w:rsidRPr="007C60AF" w:rsidRDefault="00416D85">
            <w:pPr>
              <w:spacing w:after="0"/>
              <w:jc w:val="both"/>
              <w:rPr>
                <w:color w:val="4472C4"/>
              </w:rPr>
            </w:pPr>
          </w:p>
          <w:p w14:paraId="2348401D" w14:textId="77777777" w:rsidR="00B213E9" w:rsidRPr="007C60AF" w:rsidRDefault="00B213E9">
            <w:pPr>
              <w:spacing w:after="0"/>
              <w:jc w:val="both"/>
              <w:rPr>
                <w:color w:val="4472C4"/>
              </w:rPr>
            </w:pPr>
          </w:p>
          <w:p w14:paraId="45C4A942" w14:textId="77777777" w:rsidR="00B213E9" w:rsidRPr="007C60AF" w:rsidRDefault="00B213E9">
            <w:pPr>
              <w:spacing w:after="0"/>
              <w:jc w:val="both"/>
              <w:rPr>
                <w:color w:val="4472C4"/>
              </w:rPr>
            </w:pPr>
          </w:p>
          <w:p w14:paraId="5483DCB4" w14:textId="77777777" w:rsidR="00B213E9" w:rsidRPr="007C60AF" w:rsidRDefault="00B213E9">
            <w:pPr>
              <w:spacing w:after="0"/>
              <w:jc w:val="both"/>
              <w:rPr>
                <w:color w:val="4472C4"/>
              </w:rPr>
            </w:pPr>
          </w:p>
          <w:p w14:paraId="000007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r w:rsidRPr="007C60AF">
              <w:rPr>
                <w:rFonts w:eastAsia="Arial"/>
                <w:b/>
                <w:color w:val="4472C4"/>
              </w:rPr>
              <w:lastRenderedPageBreak/>
              <w:t>Capacity utilisation</w:t>
            </w:r>
          </w:p>
          <w:p w14:paraId="0000070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10"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color w:val="4472C4"/>
              </w:rPr>
              <w:t xml:space="preserve">The capacity utilisation of the UK industry decreased </w:t>
            </w:r>
            <w:r w:rsidRPr="007C60AF">
              <w:rPr>
                <w:rFonts w:eastAsia="Arial"/>
                <w:b/>
                <w:color w:val="4472C4"/>
              </w:rPr>
              <w:t>[SENSITIVE]</w:t>
            </w:r>
            <w:r w:rsidRPr="007C60AF">
              <w:rPr>
                <w:rFonts w:eastAsia="Arial"/>
                <w:color w:val="4472C4"/>
              </w:rPr>
              <w:t xml:space="preserve"> (see table 5 below). </w:t>
            </w:r>
          </w:p>
          <w:p w14:paraId="0000071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12"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color w:val="4472C4"/>
              </w:rPr>
              <w:t xml:space="preserve">The capacity utilisation of the UK industry decreased by </w:t>
            </w:r>
            <w:r w:rsidRPr="007C60AF">
              <w:rPr>
                <w:rFonts w:eastAsia="Arial"/>
                <w:b/>
                <w:color w:val="4472C4"/>
              </w:rPr>
              <w:t>[SENSITIVE]</w:t>
            </w:r>
            <w:r w:rsidRPr="007C60AF">
              <w:rPr>
                <w:rFonts w:eastAsia="Arial"/>
                <w:color w:val="4472C4"/>
              </w:rPr>
              <w:t xml:space="preserve"> between Q2 2023 and Q2 2024, from </w:t>
            </w:r>
            <w:r w:rsidRPr="007C60AF">
              <w:rPr>
                <w:rFonts w:eastAsia="Arial"/>
                <w:b/>
                <w:color w:val="4472C4"/>
              </w:rPr>
              <w:t>[SENSITIVE]</w:t>
            </w:r>
            <w:r w:rsidRPr="007C60AF">
              <w:rPr>
                <w:rFonts w:eastAsia="Arial"/>
                <w:color w:val="4472C4"/>
              </w:rPr>
              <w:t xml:space="preserve"> (see table 6 below).</w:t>
            </w:r>
            <w:r w:rsidRPr="007C60AF">
              <w:rPr>
                <w:rFonts w:eastAsia="Arial"/>
                <w:i/>
                <w:color w:val="4472C4"/>
              </w:rPr>
              <w:t xml:space="preserve"> </w:t>
            </w:r>
          </w:p>
          <w:p w14:paraId="000007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1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5: Capacity utilisation (%) for the injury period and the POI</w:t>
            </w:r>
          </w:p>
          <w:p w14:paraId="0000071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4"/>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0E2E0F1" w14:textId="77777777">
              <w:tc>
                <w:tcPr>
                  <w:tcW w:w="1784" w:type="dxa"/>
                  <w:shd w:val="clear" w:color="auto" w:fill="D0CECE"/>
                </w:tcPr>
                <w:p w14:paraId="0000071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71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7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71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7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5ADC50F2" w14:textId="77777777">
              <w:tc>
                <w:tcPr>
                  <w:tcW w:w="1784" w:type="dxa"/>
                  <w:shd w:val="clear" w:color="auto" w:fill="D0CECE"/>
                </w:tcPr>
                <w:p w14:paraId="0000071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shd w:val="clear" w:color="auto" w:fill="FFFFFF"/>
                </w:tcPr>
                <w:p w14:paraId="0000071C" w14:textId="03770BFC"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w:t>
                  </w:r>
                  <w:r w:rsidR="006C5D68" w:rsidRPr="007C60AF">
                    <w:rPr>
                      <w:rFonts w:eastAsia="Arial"/>
                      <w:b/>
                      <w:color w:val="4472C4"/>
                    </w:rPr>
                    <w:t>5-</w:t>
                  </w:r>
                  <w:r w:rsidRPr="007C60AF">
                    <w:rPr>
                      <w:rFonts w:eastAsia="Arial"/>
                      <w:b/>
                      <w:color w:val="4472C4"/>
                    </w:rPr>
                    <w:t>10</w:t>
                  </w:r>
                  <w:r w:rsidR="006C5D68" w:rsidRPr="007C60AF">
                    <w:rPr>
                      <w:rFonts w:eastAsia="Arial"/>
                      <w:b/>
                      <w:color w:val="4472C4"/>
                    </w:rPr>
                    <w:t>0</w:t>
                  </w:r>
                  <w:r w:rsidRPr="007C60AF">
                    <w:rPr>
                      <w:rFonts w:eastAsia="Arial"/>
                      <w:b/>
                      <w:color w:val="4472C4"/>
                    </w:rPr>
                    <w:t>]</w:t>
                  </w:r>
                </w:p>
              </w:tc>
              <w:tc>
                <w:tcPr>
                  <w:tcW w:w="1784" w:type="dxa"/>
                  <w:shd w:val="clear" w:color="auto" w:fill="FFFFFF"/>
                </w:tcPr>
                <w:p w14:paraId="0000071D" w14:textId="49A6A13B"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[75-100]</w:t>
                  </w:r>
                </w:p>
              </w:tc>
              <w:tc>
                <w:tcPr>
                  <w:tcW w:w="1784" w:type="dxa"/>
                  <w:shd w:val="clear" w:color="auto" w:fill="FFFFFF"/>
                </w:tcPr>
                <w:p w14:paraId="0000071E" w14:textId="195DD191"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[75-100]</w:t>
                  </w:r>
                </w:p>
              </w:tc>
              <w:tc>
                <w:tcPr>
                  <w:tcW w:w="1785" w:type="dxa"/>
                  <w:shd w:val="clear" w:color="auto" w:fill="FFFFFF"/>
                </w:tcPr>
                <w:p w14:paraId="0000071F" w14:textId="39B2E02F"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6C5D68" w:rsidRPr="007C60AF">
                    <w:rPr>
                      <w:rFonts w:eastAsia="Arial"/>
                      <w:b/>
                      <w:color w:val="4472C4"/>
                    </w:rPr>
                    <w:t>5</w:t>
                  </w:r>
                  <w:r w:rsidRPr="007C60AF">
                    <w:rPr>
                      <w:rFonts w:eastAsia="Arial"/>
                      <w:b/>
                      <w:color w:val="4472C4"/>
                    </w:rPr>
                    <w:t>0</w:t>
                  </w:r>
                  <w:r w:rsidR="006C5D68" w:rsidRPr="007C60AF">
                    <w:rPr>
                      <w:rFonts w:eastAsia="Arial"/>
                      <w:b/>
                      <w:color w:val="4472C4"/>
                    </w:rPr>
                    <w:t>-</w:t>
                  </w:r>
                  <w:r w:rsidRPr="007C60AF">
                    <w:rPr>
                      <w:rFonts w:eastAsia="Arial"/>
                      <w:b/>
                      <w:color w:val="4472C4"/>
                    </w:rPr>
                    <w:t>7</w:t>
                  </w:r>
                  <w:r w:rsidR="006C5D68" w:rsidRPr="007C60AF">
                    <w:rPr>
                      <w:rFonts w:eastAsia="Arial"/>
                      <w:b/>
                      <w:color w:val="4472C4"/>
                    </w:rPr>
                    <w:t>5</w:t>
                  </w:r>
                  <w:r w:rsidRPr="007C60AF">
                    <w:rPr>
                      <w:rFonts w:eastAsia="Arial"/>
                      <w:b/>
                      <w:color w:val="4472C4"/>
                    </w:rPr>
                    <w:t>]</w:t>
                  </w:r>
                </w:p>
              </w:tc>
            </w:tr>
            <w:tr w:rsidR="00416D85" w:rsidRPr="007C60AF" w14:paraId="511A341F" w14:textId="77777777">
              <w:tc>
                <w:tcPr>
                  <w:tcW w:w="1784" w:type="dxa"/>
                  <w:shd w:val="clear" w:color="auto" w:fill="D0CECE"/>
                </w:tcPr>
                <w:p w14:paraId="000007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7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784" w:type="dxa"/>
                </w:tcPr>
                <w:p w14:paraId="0000072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98</w:t>
                  </w:r>
                </w:p>
              </w:tc>
              <w:tc>
                <w:tcPr>
                  <w:tcW w:w="1785" w:type="dxa"/>
                </w:tcPr>
                <w:p w14:paraId="0000072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90</w:t>
                  </w:r>
                </w:p>
              </w:tc>
            </w:tr>
          </w:tbl>
          <w:p w14:paraId="0000072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p>
          <w:p w14:paraId="0000072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6: Capacity utilisation (%) for Q2 2023 – Q2 2024</w:t>
            </w:r>
          </w:p>
          <w:p w14:paraId="0000072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5"/>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754E6BCA" w14:textId="77777777">
              <w:tc>
                <w:tcPr>
                  <w:tcW w:w="1163" w:type="dxa"/>
                  <w:shd w:val="clear" w:color="auto" w:fill="D0CECE"/>
                </w:tcPr>
                <w:p w14:paraId="0000072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72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72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72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7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72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5C8A1F1D" w14:textId="77777777">
              <w:tc>
                <w:tcPr>
                  <w:tcW w:w="1163" w:type="dxa"/>
                  <w:shd w:val="clear" w:color="auto" w:fill="D0CECE"/>
                </w:tcPr>
                <w:p w14:paraId="0000072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shd w:val="clear" w:color="auto" w:fill="FFFFFF"/>
                </w:tcPr>
                <w:p w14:paraId="0000072F" w14:textId="4E10C75C"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[50-75]</w:t>
                  </w:r>
                </w:p>
              </w:tc>
              <w:tc>
                <w:tcPr>
                  <w:tcW w:w="1551" w:type="dxa"/>
                  <w:shd w:val="clear" w:color="auto" w:fill="FFFFFF"/>
                </w:tcPr>
                <w:p w14:paraId="00000730" w14:textId="43AA03D1"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[50-75]</w:t>
                  </w:r>
                </w:p>
              </w:tc>
              <w:tc>
                <w:tcPr>
                  <w:tcW w:w="1552" w:type="dxa"/>
                  <w:shd w:val="clear" w:color="auto" w:fill="FFFFFF"/>
                </w:tcPr>
                <w:p w14:paraId="00000731" w14:textId="015F48E4"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[75-100]</w:t>
                  </w:r>
                </w:p>
              </w:tc>
              <w:tc>
                <w:tcPr>
                  <w:tcW w:w="1552" w:type="dxa"/>
                  <w:shd w:val="clear" w:color="auto" w:fill="FFFFFF"/>
                </w:tcPr>
                <w:p w14:paraId="00000732" w14:textId="1E394885"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[50-75]</w:t>
                  </w:r>
                </w:p>
              </w:tc>
              <w:tc>
                <w:tcPr>
                  <w:tcW w:w="1552" w:type="dxa"/>
                  <w:shd w:val="clear" w:color="auto" w:fill="FFFFFF"/>
                </w:tcPr>
                <w:p w14:paraId="00000733" w14:textId="3B3B20B5"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[50-75]</w:t>
                  </w:r>
                </w:p>
              </w:tc>
            </w:tr>
            <w:tr w:rsidR="00416D85" w:rsidRPr="007C60AF" w14:paraId="39D889C1" w14:textId="77777777">
              <w:tc>
                <w:tcPr>
                  <w:tcW w:w="1163" w:type="dxa"/>
                  <w:shd w:val="clear" w:color="auto" w:fill="D0CECE"/>
                </w:tcPr>
                <w:p w14:paraId="0000073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7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7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2" w:type="dxa"/>
                </w:tcPr>
                <w:p w14:paraId="0000073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120</w:t>
                  </w:r>
                </w:p>
              </w:tc>
              <w:tc>
                <w:tcPr>
                  <w:tcW w:w="1552" w:type="dxa"/>
                </w:tcPr>
                <w:p w14:paraId="000007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105</w:t>
                  </w:r>
                </w:p>
              </w:tc>
              <w:tc>
                <w:tcPr>
                  <w:tcW w:w="1552" w:type="dxa"/>
                </w:tcPr>
                <w:p w14:paraId="000007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89</w:t>
                  </w:r>
                </w:p>
              </w:tc>
            </w:tr>
          </w:tbl>
          <w:p w14:paraId="0000073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7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b/>
                <w:color w:val="4472C4"/>
              </w:rPr>
              <w:t>Value of production</w:t>
            </w:r>
          </w:p>
          <w:p w14:paraId="0000073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73D"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roofErr w:type="gramStart"/>
            <w:r w:rsidRPr="007C60AF">
              <w:rPr>
                <w:rFonts w:eastAsia="Arial"/>
                <w:color w:val="4472C4"/>
              </w:rPr>
              <w:t>Despite the fact that</w:t>
            </w:r>
            <w:proofErr w:type="gramEnd"/>
            <w:r w:rsidRPr="007C60AF">
              <w:rPr>
                <w:rFonts w:eastAsia="Arial"/>
                <w:color w:val="4472C4"/>
              </w:rPr>
              <w:t xml:space="preserve"> actual production (see tables 1 and 2 above) and capacity utilisation (see tables 5 and 6 above) decreased, the value of production increased, as evidenced by tables 7 and 8 below. This is merely </w:t>
            </w:r>
            <w:proofErr w:type="gramStart"/>
            <w:r w:rsidRPr="007C60AF">
              <w:rPr>
                <w:rFonts w:eastAsia="Arial"/>
                <w:color w:val="4472C4"/>
              </w:rPr>
              <w:t>due to the fact that</w:t>
            </w:r>
            <w:proofErr w:type="gramEnd"/>
            <w:r w:rsidRPr="007C60AF">
              <w:rPr>
                <w:rFonts w:eastAsia="Arial"/>
                <w:color w:val="4472C4"/>
              </w:rPr>
              <w:t xml:space="preserve"> there has been a significant increase in the costs of production (including because of the rising feedstock prices) (see tables 36 and 38 below).</w:t>
            </w:r>
          </w:p>
          <w:p w14:paraId="0000073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3F" w14:textId="3D3C25AD"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The value of production of the UK industry increased by </w:t>
            </w:r>
            <w:r w:rsidR="006779A7" w:rsidRPr="007C60AF">
              <w:rPr>
                <w:rFonts w:eastAsia="Arial"/>
                <w:b/>
                <w:bCs/>
                <w:color w:val="4472C4"/>
              </w:rPr>
              <w:t>[</w:t>
            </w:r>
            <w:r w:rsidR="006C5D68" w:rsidRPr="007C60AF">
              <w:rPr>
                <w:rFonts w:eastAsia="Arial"/>
                <w:b/>
                <w:color w:val="4472C4"/>
              </w:rPr>
              <w:t>0-25%</w:t>
            </w:r>
            <w:r w:rsidR="006779A7" w:rsidRPr="007C60AF">
              <w:rPr>
                <w:rFonts w:eastAsia="Arial"/>
                <w:b/>
                <w:color w:val="4472C4"/>
              </w:rPr>
              <w:t xml:space="preserve">] </w:t>
            </w:r>
            <w:r w:rsidRPr="007C60AF">
              <w:rPr>
                <w:rFonts w:eastAsia="Arial"/>
                <w:color w:val="4472C4"/>
              </w:rPr>
              <w:t xml:space="preserve">between the start of the injury period and POI, from </w:t>
            </w:r>
            <w:r w:rsidR="009B666E" w:rsidRPr="007C60AF">
              <w:rPr>
                <w:rFonts w:eastAsia="Arial"/>
                <w:b/>
                <w:bCs/>
                <w:color w:val="4472C4"/>
              </w:rPr>
              <w:t>[450m-500m]</w:t>
            </w:r>
            <w:r w:rsidRPr="007C60AF">
              <w:rPr>
                <w:rFonts w:eastAsia="Arial"/>
                <w:b/>
                <w:color w:val="4472C4"/>
              </w:rPr>
              <w:t xml:space="preserve"> </w:t>
            </w:r>
            <w:r w:rsidRPr="007C60AF">
              <w:rPr>
                <w:rFonts w:eastAsia="Arial"/>
                <w:color w:val="4472C4"/>
              </w:rPr>
              <w:t xml:space="preserve">GBP to </w:t>
            </w:r>
            <w:r w:rsidR="009B666E" w:rsidRPr="007C60AF">
              <w:rPr>
                <w:rFonts w:eastAsia="Arial"/>
                <w:b/>
                <w:bCs/>
                <w:color w:val="4472C4"/>
              </w:rPr>
              <w:t>[500m-550m]</w:t>
            </w:r>
            <w:r w:rsidRPr="007C60AF">
              <w:rPr>
                <w:rFonts w:eastAsia="Arial"/>
                <w:b/>
                <w:color w:val="4472C4"/>
              </w:rPr>
              <w:t xml:space="preserve"> </w:t>
            </w:r>
            <w:r w:rsidRPr="007C60AF">
              <w:rPr>
                <w:rFonts w:eastAsia="Arial"/>
                <w:color w:val="4472C4"/>
              </w:rPr>
              <w:t xml:space="preserve">GBP. There was an increase of </w:t>
            </w:r>
            <w:r w:rsidR="006E27F1" w:rsidRPr="007C60AF">
              <w:rPr>
                <w:rFonts w:eastAsia="Arial"/>
                <w:b/>
                <w:color w:val="4472C4"/>
              </w:rPr>
              <w:t>[75</w:t>
            </w:r>
            <w:r w:rsidR="006C5D68" w:rsidRPr="007C60AF">
              <w:rPr>
                <w:rFonts w:eastAsia="Arial"/>
                <w:b/>
                <w:color w:val="4472C4"/>
              </w:rPr>
              <w:t>-100%</w:t>
            </w:r>
            <w:r w:rsidR="006E27F1" w:rsidRPr="007C60AF">
              <w:rPr>
                <w:rFonts w:eastAsia="Arial"/>
                <w:b/>
                <w:color w:val="4472C4"/>
              </w:rPr>
              <w:t>]</w:t>
            </w:r>
            <w:r w:rsidRPr="007C60AF">
              <w:rPr>
                <w:rFonts w:eastAsia="Arial"/>
                <w:color w:val="4472C4"/>
              </w:rPr>
              <w:t xml:space="preserve"> between the start of the injury period and the third year of the injury (see table 7 below) which, as noted above, was caused by the high costs of production. </w:t>
            </w:r>
          </w:p>
          <w:p w14:paraId="00000740"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41"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Table 8 below shows that the value of production fluctuated over the five quarters commencing Q2 2023 and ending Q2 2024. As the cost of production decreased in Q3 2023 and remained stable thereafter (see tables 37 and 39 below), the value of production was mainly influenced by the fluctuation in production (see table 2 above). </w:t>
            </w:r>
          </w:p>
          <w:p w14:paraId="0000074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r w:rsidRPr="007C60AF">
              <w:rPr>
                <w:rFonts w:eastAsia="Arial"/>
                <w:i/>
                <w:color w:val="4472C4"/>
              </w:rPr>
              <w:t>Table 7: Value of production (GBP) for the injury period and the POI</w:t>
            </w:r>
          </w:p>
          <w:p w14:paraId="00000744" w14:textId="77777777" w:rsidR="00416D85" w:rsidRPr="007C60AF" w:rsidRDefault="00416D85">
            <w:pPr>
              <w:spacing w:after="0"/>
              <w:jc w:val="both"/>
              <w:rPr>
                <w:b/>
                <w:color w:val="4472C4"/>
              </w:rPr>
            </w:pPr>
          </w:p>
          <w:tbl>
            <w:tblPr>
              <w:tblStyle w:val="affffff6"/>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329925F" w14:textId="77777777">
              <w:tc>
                <w:tcPr>
                  <w:tcW w:w="1784" w:type="dxa"/>
                  <w:shd w:val="clear" w:color="auto" w:fill="D0CECE"/>
                </w:tcPr>
                <w:p w14:paraId="0000074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74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7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7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7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2CE11783" w14:textId="77777777">
              <w:tc>
                <w:tcPr>
                  <w:tcW w:w="1784" w:type="dxa"/>
                  <w:shd w:val="clear" w:color="auto" w:fill="D0CECE"/>
                </w:tcPr>
                <w:p w14:paraId="000007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74B" w14:textId="3A021415"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[450m-500m]</w:t>
                  </w:r>
                </w:p>
              </w:tc>
              <w:tc>
                <w:tcPr>
                  <w:tcW w:w="1784" w:type="dxa"/>
                </w:tcPr>
                <w:p w14:paraId="0000074C" w14:textId="7CC92D83"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[600m-650m]</w:t>
                  </w:r>
                </w:p>
              </w:tc>
              <w:tc>
                <w:tcPr>
                  <w:tcW w:w="1784" w:type="dxa"/>
                </w:tcPr>
                <w:p w14:paraId="0000074D" w14:textId="4CE3EA28"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[800m-850m]</w:t>
                  </w:r>
                </w:p>
              </w:tc>
              <w:tc>
                <w:tcPr>
                  <w:tcW w:w="1785" w:type="dxa"/>
                </w:tcPr>
                <w:p w14:paraId="0000074E" w14:textId="5E9AEC34"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[500m-550m]</w:t>
                  </w:r>
                </w:p>
              </w:tc>
            </w:tr>
            <w:tr w:rsidR="00416D85" w:rsidRPr="007C60AF" w14:paraId="524FBDA0" w14:textId="77777777">
              <w:tc>
                <w:tcPr>
                  <w:tcW w:w="1784" w:type="dxa"/>
                  <w:shd w:val="clear" w:color="auto" w:fill="D0CECE"/>
                </w:tcPr>
                <w:p w14:paraId="000007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75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5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134</w:t>
                  </w:r>
                </w:p>
              </w:tc>
              <w:tc>
                <w:tcPr>
                  <w:tcW w:w="1784" w:type="dxa"/>
                </w:tcPr>
                <w:p w14:paraId="0000075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178</w:t>
                  </w:r>
                </w:p>
              </w:tc>
              <w:tc>
                <w:tcPr>
                  <w:tcW w:w="1785" w:type="dxa"/>
                </w:tcPr>
                <w:p w14:paraId="0000075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r>
          </w:tbl>
          <w:p w14:paraId="00000754" w14:textId="77777777" w:rsidR="00416D85" w:rsidRPr="007C60AF" w:rsidRDefault="00416D85">
            <w:pPr>
              <w:spacing w:after="0"/>
              <w:jc w:val="both"/>
              <w:rPr>
                <w:b/>
                <w:color w:val="4472C4"/>
              </w:rPr>
            </w:pPr>
          </w:p>
          <w:p w14:paraId="000007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i/>
                <w:color w:val="4472C4"/>
              </w:rPr>
            </w:pPr>
            <w:r w:rsidRPr="007C60AF">
              <w:rPr>
                <w:rFonts w:eastAsia="Arial"/>
                <w:i/>
                <w:color w:val="4472C4"/>
              </w:rPr>
              <w:t>Table 8: Value of production (GBP) for Q2 2023 – Q2 2024</w:t>
            </w:r>
          </w:p>
          <w:p w14:paraId="00000756" w14:textId="77777777" w:rsidR="00416D85" w:rsidRPr="007C60AF" w:rsidRDefault="00416D85">
            <w:pPr>
              <w:spacing w:after="0"/>
              <w:jc w:val="both"/>
              <w:rPr>
                <w:b/>
                <w:color w:val="4472C4"/>
              </w:rPr>
            </w:pPr>
          </w:p>
          <w:tbl>
            <w:tblPr>
              <w:tblStyle w:val="affffff7"/>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582A9670" w14:textId="77777777">
              <w:tc>
                <w:tcPr>
                  <w:tcW w:w="1163" w:type="dxa"/>
                  <w:shd w:val="clear" w:color="auto" w:fill="D0CECE"/>
                </w:tcPr>
                <w:p w14:paraId="0000075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7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7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7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7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7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4DA356E" w14:textId="77777777">
              <w:tc>
                <w:tcPr>
                  <w:tcW w:w="1163" w:type="dxa"/>
                  <w:shd w:val="clear" w:color="auto" w:fill="D0CECE"/>
                </w:tcPr>
                <w:p w14:paraId="0000075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75E" w14:textId="78646167"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c>
                <w:tcPr>
                  <w:tcW w:w="1551" w:type="dxa"/>
                </w:tcPr>
                <w:p w14:paraId="0000075F" w14:textId="1D830D6D"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c>
                <w:tcPr>
                  <w:tcW w:w="1552" w:type="dxa"/>
                </w:tcPr>
                <w:p w14:paraId="00000760" w14:textId="47A6C5F8"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c>
                <w:tcPr>
                  <w:tcW w:w="1552" w:type="dxa"/>
                </w:tcPr>
                <w:p w14:paraId="00000761" w14:textId="64059DD9"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c>
                <w:tcPr>
                  <w:tcW w:w="1552" w:type="dxa"/>
                </w:tcPr>
                <w:p w14:paraId="00000762" w14:textId="27E87838"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r>
            <w:tr w:rsidR="00416D85" w:rsidRPr="007C60AF" w14:paraId="7240A8A1" w14:textId="77777777">
              <w:tc>
                <w:tcPr>
                  <w:tcW w:w="1163" w:type="dxa"/>
                  <w:shd w:val="clear" w:color="auto" w:fill="D0CECE"/>
                </w:tcPr>
                <w:p w14:paraId="000007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7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76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w:t>
                  </w:r>
                </w:p>
              </w:tc>
              <w:tc>
                <w:tcPr>
                  <w:tcW w:w="1552" w:type="dxa"/>
                </w:tcPr>
                <w:p w14:paraId="0000076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2" w:type="dxa"/>
                </w:tcPr>
                <w:p w14:paraId="0000076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90</w:t>
                  </w:r>
                </w:p>
              </w:tc>
              <w:tc>
                <w:tcPr>
                  <w:tcW w:w="1552" w:type="dxa"/>
                </w:tcPr>
                <w:p w14:paraId="000007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r>
          </w:tbl>
          <w:p w14:paraId="00000769" w14:textId="77777777" w:rsidR="00416D85" w:rsidRPr="007C60AF" w:rsidRDefault="00416D85">
            <w:pPr>
              <w:spacing w:after="0"/>
              <w:jc w:val="both"/>
              <w:rPr>
                <w:color w:val="4472C4"/>
              </w:rPr>
            </w:pPr>
          </w:p>
          <w:p w14:paraId="0000076A" w14:textId="77777777" w:rsidR="00416D85" w:rsidRPr="007C60AF" w:rsidRDefault="00130320">
            <w:pPr>
              <w:spacing w:after="0"/>
              <w:jc w:val="both"/>
              <w:rPr>
                <w:b/>
                <w:color w:val="4472C4"/>
              </w:rPr>
            </w:pPr>
            <w:r w:rsidRPr="007C60AF">
              <w:rPr>
                <w:b/>
                <w:color w:val="4472C4"/>
              </w:rPr>
              <w:t>Domestic sales of the UK industry</w:t>
            </w:r>
          </w:p>
          <w:p w14:paraId="0000076B" w14:textId="77777777" w:rsidR="00416D85" w:rsidRPr="007C60AF" w:rsidRDefault="00416D85">
            <w:pPr>
              <w:spacing w:after="0"/>
              <w:jc w:val="both"/>
              <w:rPr>
                <w:i/>
                <w:color w:val="4472C4"/>
              </w:rPr>
            </w:pPr>
          </w:p>
          <w:p w14:paraId="0000076C" w14:textId="77777777" w:rsidR="00416D85" w:rsidRPr="007C60AF" w:rsidRDefault="00130320">
            <w:pPr>
              <w:spacing w:after="0"/>
              <w:jc w:val="both"/>
              <w:rPr>
                <w:i/>
                <w:color w:val="4472C4"/>
              </w:rPr>
            </w:pPr>
            <w:r w:rsidRPr="007C60AF">
              <w:rPr>
                <w:i/>
                <w:color w:val="4472C4"/>
              </w:rPr>
              <w:t>Domestic sales to unrelated companies</w:t>
            </w:r>
          </w:p>
          <w:p w14:paraId="0000076D" w14:textId="77777777" w:rsidR="00416D85" w:rsidRPr="007C60AF" w:rsidRDefault="00416D85">
            <w:pPr>
              <w:spacing w:after="0"/>
              <w:jc w:val="both"/>
              <w:rPr>
                <w:i/>
                <w:color w:val="4472C4"/>
              </w:rPr>
            </w:pPr>
          </w:p>
          <w:p w14:paraId="0000076E" w14:textId="2240D1D6"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lastRenderedPageBreak/>
              <w:t xml:space="preserve">The volume of domestic sales of the UK industry to unrelated companies between the start of the injury period and the POI decreased by </w:t>
            </w:r>
            <w:r w:rsidR="003A2575" w:rsidRPr="007C60AF">
              <w:rPr>
                <w:rFonts w:eastAsia="Arial"/>
                <w:color w:val="4472C4"/>
              </w:rPr>
              <w:t>[</w:t>
            </w:r>
            <w:r w:rsidR="006C5D68" w:rsidRPr="007C60AF">
              <w:rPr>
                <w:rFonts w:eastAsia="Arial"/>
                <w:b/>
                <w:color w:val="4472C4"/>
              </w:rPr>
              <w:t>25-50%</w:t>
            </w:r>
            <w:r w:rsidR="003A2575" w:rsidRPr="007C60AF">
              <w:rPr>
                <w:rFonts w:eastAsia="Arial"/>
                <w:b/>
                <w:color w:val="4472C4"/>
              </w:rPr>
              <w:t>]</w:t>
            </w:r>
            <w:r w:rsidR="006C5D68" w:rsidRPr="007C60AF">
              <w:rPr>
                <w:rFonts w:eastAsia="Arial"/>
                <w:b/>
                <w:color w:val="4472C4"/>
              </w:rPr>
              <w:t>,</w:t>
            </w:r>
            <w:r w:rsidRPr="007C60AF">
              <w:rPr>
                <w:rFonts w:eastAsia="Arial"/>
                <w:color w:val="4472C4"/>
              </w:rPr>
              <w:t xml:space="preserve"> from </w:t>
            </w:r>
            <w:r w:rsidR="003A2575" w:rsidRPr="007C60AF">
              <w:rPr>
                <w:rFonts w:eastAsia="Arial"/>
                <w:color w:val="4472C4"/>
              </w:rPr>
              <w:t>[</w:t>
            </w:r>
            <w:r w:rsidR="003A2575" w:rsidRPr="007C60AF">
              <w:rPr>
                <w:rFonts w:eastAsia="Arial"/>
                <w:b/>
                <w:color w:val="4472C4"/>
              </w:rPr>
              <w:t>75</w:t>
            </w:r>
            <w:r w:rsidR="00061210" w:rsidRPr="007C60AF">
              <w:rPr>
                <w:rFonts w:eastAsia="Arial"/>
                <w:b/>
                <w:color w:val="4472C4"/>
              </w:rPr>
              <w:t>,000 – 100,000</w:t>
            </w:r>
            <w:r w:rsidR="003A2575" w:rsidRPr="007C60AF">
              <w:rPr>
                <w:rFonts w:eastAsia="Arial"/>
                <w:b/>
                <w:color w:val="4472C4"/>
              </w:rPr>
              <w:t>]</w:t>
            </w:r>
            <w:r w:rsidR="00061210" w:rsidRPr="007C60AF">
              <w:rPr>
                <w:rFonts w:eastAsia="Arial"/>
                <w:b/>
                <w:color w:val="4472C4"/>
              </w:rPr>
              <w:t xml:space="preserve"> </w:t>
            </w:r>
            <w:r w:rsidRPr="007C60AF">
              <w:rPr>
                <w:rFonts w:eastAsia="Arial"/>
                <w:color w:val="4472C4"/>
              </w:rPr>
              <w:t xml:space="preserve">MT to </w:t>
            </w:r>
            <w:r w:rsidR="003A2575" w:rsidRPr="007C60AF">
              <w:rPr>
                <w:rFonts w:eastAsia="Arial"/>
                <w:color w:val="4472C4"/>
              </w:rPr>
              <w:t>[</w:t>
            </w:r>
            <w:r w:rsidR="003A2575" w:rsidRPr="007C60AF">
              <w:rPr>
                <w:rFonts w:eastAsia="Arial"/>
                <w:b/>
                <w:color w:val="4472C4"/>
              </w:rPr>
              <w:t>25</w:t>
            </w:r>
            <w:r w:rsidR="00061210" w:rsidRPr="007C60AF">
              <w:rPr>
                <w:rFonts w:eastAsia="Arial"/>
                <w:b/>
                <w:color w:val="4472C4"/>
              </w:rPr>
              <w:t xml:space="preserve">,000 – </w:t>
            </w:r>
            <w:r w:rsidR="003A2575" w:rsidRPr="007C60AF">
              <w:rPr>
                <w:rFonts w:eastAsia="Arial"/>
                <w:b/>
                <w:color w:val="4472C4"/>
              </w:rPr>
              <w:t>50</w:t>
            </w:r>
            <w:r w:rsidR="00061210" w:rsidRPr="007C60AF">
              <w:rPr>
                <w:rFonts w:eastAsia="Arial"/>
                <w:b/>
                <w:color w:val="4472C4"/>
              </w:rPr>
              <w:t>,000</w:t>
            </w:r>
            <w:r w:rsidR="003A2575" w:rsidRPr="007C60AF">
              <w:rPr>
                <w:rFonts w:eastAsia="Arial"/>
                <w:b/>
                <w:color w:val="4472C4"/>
              </w:rPr>
              <w:t>]</w:t>
            </w:r>
            <w:r w:rsidRPr="007C60AF">
              <w:rPr>
                <w:rFonts w:eastAsia="Arial"/>
                <w:b/>
                <w:color w:val="4472C4"/>
              </w:rPr>
              <w:t xml:space="preserve"> </w:t>
            </w:r>
            <w:r w:rsidRPr="007C60AF">
              <w:rPr>
                <w:rFonts w:eastAsia="Arial"/>
                <w:color w:val="4472C4"/>
              </w:rPr>
              <w:t>MT (see table 9 below).</w:t>
            </w:r>
          </w:p>
          <w:p w14:paraId="0000076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 </w:t>
            </w:r>
          </w:p>
          <w:p w14:paraId="00000770" w14:textId="10882BA2"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Equally, the value of domestic sales of the UK industry to unrelated companies decreased by </w:t>
            </w:r>
            <w:r w:rsidR="003A2575" w:rsidRPr="007C60AF">
              <w:rPr>
                <w:rFonts w:eastAsia="Arial"/>
                <w:color w:val="4472C4"/>
              </w:rPr>
              <w:t>[</w:t>
            </w:r>
            <w:r w:rsidR="006C5D68" w:rsidRPr="007C60AF">
              <w:rPr>
                <w:rFonts w:eastAsia="Arial"/>
                <w:b/>
                <w:color w:val="4472C4"/>
              </w:rPr>
              <w:t>25-50%</w:t>
            </w:r>
            <w:r w:rsidR="003A2575" w:rsidRPr="007C60AF">
              <w:rPr>
                <w:rFonts w:eastAsia="Arial"/>
                <w:b/>
                <w:color w:val="4472C4"/>
              </w:rPr>
              <w:t>]</w:t>
            </w:r>
            <w:r w:rsidR="006C5D68" w:rsidRPr="007C60AF">
              <w:rPr>
                <w:rFonts w:eastAsia="Arial"/>
                <w:color w:val="4472C4"/>
              </w:rPr>
              <w:t xml:space="preserve"> </w:t>
            </w:r>
            <w:r w:rsidRPr="007C60AF">
              <w:rPr>
                <w:rFonts w:eastAsia="Arial"/>
                <w:color w:val="4472C4"/>
              </w:rPr>
              <w:t xml:space="preserve">between the start of the injury period and the POI, from </w:t>
            </w:r>
            <w:r w:rsidR="00361369" w:rsidRPr="007C60AF">
              <w:rPr>
                <w:rFonts w:eastAsia="Arial"/>
                <w:b/>
                <w:bCs/>
                <w:color w:val="4472C4"/>
              </w:rPr>
              <w:t>[</w:t>
            </w:r>
            <w:r w:rsidRPr="007C60AF">
              <w:rPr>
                <w:rFonts w:eastAsia="Arial"/>
                <w:b/>
                <w:color w:val="4472C4"/>
              </w:rPr>
              <w:t>80</w:t>
            </w:r>
            <w:r w:rsidR="00361369" w:rsidRPr="007C60AF">
              <w:rPr>
                <w:rFonts w:eastAsia="Arial"/>
                <w:b/>
                <w:color w:val="4472C4"/>
              </w:rPr>
              <w:t>m</w:t>
            </w:r>
            <w:r w:rsidRPr="007C60AF">
              <w:rPr>
                <w:rFonts w:eastAsia="Arial"/>
                <w:b/>
                <w:color w:val="4472C4"/>
              </w:rPr>
              <w:t xml:space="preserve"> – 90</w:t>
            </w:r>
            <w:r w:rsidR="00361369" w:rsidRPr="007C60AF">
              <w:rPr>
                <w:rFonts w:eastAsia="Arial"/>
                <w:b/>
                <w:color w:val="4472C4"/>
              </w:rPr>
              <w:t>m]</w:t>
            </w:r>
            <w:r w:rsidRPr="007C60AF">
              <w:rPr>
                <w:rFonts w:eastAsia="Arial"/>
                <w:b/>
                <w:color w:val="4472C4"/>
              </w:rPr>
              <w:t xml:space="preserve"> </w:t>
            </w:r>
            <w:r w:rsidRPr="007C60AF">
              <w:rPr>
                <w:rFonts w:eastAsia="Arial"/>
                <w:color w:val="4472C4"/>
              </w:rPr>
              <w:t xml:space="preserve">GBP to </w:t>
            </w:r>
            <w:r w:rsidR="00361369" w:rsidRPr="007C60AF">
              <w:rPr>
                <w:rFonts w:eastAsia="Arial"/>
                <w:b/>
                <w:bCs/>
                <w:color w:val="4472C4"/>
              </w:rPr>
              <w:t>[</w:t>
            </w:r>
            <w:r w:rsidR="00361369" w:rsidRPr="007C60AF">
              <w:rPr>
                <w:rFonts w:eastAsia="Arial"/>
                <w:b/>
                <w:color w:val="4472C4"/>
              </w:rPr>
              <w:t xml:space="preserve">40m </w:t>
            </w:r>
            <w:r w:rsidRPr="007C60AF">
              <w:rPr>
                <w:rFonts w:eastAsia="Arial"/>
                <w:b/>
                <w:color w:val="4472C4"/>
              </w:rPr>
              <w:t xml:space="preserve">– </w:t>
            </w:r>
            <w:r w:rsidR="00361369" w:rsidRPr="007C60AF">
              <w:rPr>
                <w:rFonts w:eastAsia="Arial"/>
                <w:b/>
                <w:color w:val="4472C4"/>
              </w:rPr>
              <w:t xml:space="preserve">50m] </w:t>
            </w:r>
            <w:r w:rsidRPr="007C60AF">
              <w:rPr>
                <w:rFonts w:eastAsia="Arial"/>
                <w:color w:val="4472C4"/>
              </w:rPr>
              <w:t xml:space="preserve">GBP (see table 11 below). </w:t>
            </w:r>
          </w:p>
          <w:p w14:paraId="00000771"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72" w14:textId="2B4F8B04"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value of domestic sales of the UK industry to unrelated companies increased by </w:t>
            </w:r>
            <w:r w:rsidR="004F1127" w:rsidRPr="007C60AF">
              <w:rPr>
                <w:rFonts w:eastAsia="Arial"/>
                <w:color w:val="4472C4"/>
              </w:rPr>
              <w:t>[</w:t>
            </w:r>
            <w:r w:rsidR="0023344C" w:rsidRPr="007C60AF">
              <w:rPr>
                <w:rFonts w:eastAsia="Arial"/>
                <w:b/>
                <w:color w:val="4472C4"/>
              </w:rPr>
              <w:t>25-50%</w:t>
            </w:r>
            <w:r w:rsidR="004F1127" w:rsidRPr="007C60AF">
              <w:rPr>
                <w:rFonts w:eastAsia="Arial"/>
                <w:bCs/>
                <w:color w:val="4472C4"/>
              </w:rPr>
              <w:t>]</w:t>
            </w:r>
            <w:r w:rsidR="0023344C" w:rsidRPr="007C60AF">
              <w:rPr>
                <w:rFonts w:eastAsia="Arial"/>
                <w:color w:val="4472C4"/>
              </w:rPr>
              <w:t xml:space="preserve"> </w:t>
            </w:r>
            <w:r w:rsidRPr="007C60AF">
              <w:rPr>
                <w:rFonts w:eastAsia="Arial"/>
                <w:color w:val="4472C4"/>
              </w:rPr>
              <w:t xml:space="preserve">in the third year of the injury period as compared to the start of the injury period. The UK industry could pass on part but not </w:t>
            </w:r>
            <w:proofErr w:type="gramStart"/>
            <w:r w:rsidRPr="007C60AF">
              <w:rPr>
                <w:rFonts w:eastAsia="Arial"/>
                <w:color w:val="4472C4"/>
              </w:rPr>
              <w:t>all of</w:t>
            </w:r>
            <w:proofErr w:type="gramEnd"/>
            <w:r w:rsidRPr="007C60AF">
              <w:rPr>
                <w:rFonts w:eastAsia="Arial"/>
                <w:color w:val="4472C4"/>
              </w:rPr>
              <w:t xml:space="preserve"> the increase in the costs of production to their customers.  </w:t>
            </w:r>
          </w:p>
          <w:p w14:paraId="00000773"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74" w14:textId="40DAF9FC"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Between the start of the injury period and the third year of the injury period, the unit price of domestic sales to unrelated companies increased by </w:t>
            </w:r>
            <w:r w:rsidR="001E3C60" w:rsidRPr="007C60AF">
              <w:rPr>
                <w:rFonts w:eastAsia="Arial"/>
                <w:color w:val="4472C4"/>
              </w:rPr>
              <w:t>[</w:t>
            </w:r>
            <w:r w:rsidR="0023344C" w:rsidRPr="007C60AF">
              <w:rPr>
                <w:rFonts w:eastAsia="Arial"/>
                <w:b/>
                <w:color w:val="4472C4"/>
              </w:rPr>
              <w:t>50-</w:t>
            </w:r>
            <w:r w:rsidR="001E3C60" w:rsidRPr="007C60AF">
              <w:rPr>
                <w:rFonts w:eastAsia="Arial"/>
                <w:b/>
                <w:color w:val="4472C4"/>
              </w:rPr>
              <w:t>75</w:t>
            </w:r>
            <w:r w:rsidR="0023344C" w:rsidRPr="007C60AF">
              <w:rPr>
                <w:rFonts w:eastAsia="Arial"/>
                <w:b/>
                <w:color w:val="4472C4"/>
              </w:rPr>
              <w:t>%</w:t>
            </w:r>
            <w:r w:rsidR="001E3C60" w:rsidRPr="007C60AF">
              <w:rPr>
                <w:rFonts w:eastAsia="Arial"/>
                <w:bCs/>
                <w:color w:val="4472C4"/>
              </w:rPr>
              <w:t>]</w:t>
            </w:r>
            <w:r w:rsidRPr="007C60AF">
              <w:rPr>
                <w:rFonts w:eastAsia="Arial"/>
                <w:color w:val="4472C4"/>
              </w:rPr>
              <w:t xml:space="preserve"> from </w:t>
            </w:r>
            <w:r w:rsidR="001E3C60" w:rsidRPr="007C60AF">
              <w:rPr>
                <w:rFonts w:eastAsia="Arial"/>
                <w:color w:val="4472C4"/>
              </w:rPr>
              <w:t>[</w:t>
            </w:r>
            <w:r w:rsidR="001E3C60" w:rsidRPr="007C60AF">
              <w:rPr>
                <w:rFonts w:eastAsia="Arial"/>
                <w:b/>
                <w:color w:val="4472C4"/>
              </w:rPr>
              <w:t>750-1,000]</w:t>
            </w:r>
            <w:r w:rsidRPr="007C60AF">
              <w:rPr>
                <w:rFonts w:eastAsia="Arial"/>
                <w:color w:val="4472C4"/>
              </w:rPr>
              <w:t xml:space="preserve"> GBP/MT to </w:t>
            </w:r>
            <w:r w:rsidR="001E3C60" w:rsidRPr="007C60AF">
              <w:rPr>
                <w:rFonts w:eastAsia="Arial"/>
                <w:color w:val="4472C4"/>
              </w:rPr>
              <w:t>[</w:t>
            </w:r>
            <w:r w:rsidR="00061210" w:rsidRPr="007C60AF">
              <w:rPr>
                <w:rFonts w:eastAsia="Arial"/>
                <w:b/>
                <w:color w:val="4472C4"/>
              </w:rPr>
              <w:t>1,</w:t>
            </w:r>
            <w:r w:rsidR="00F9528E" w:rsidRPr="007C60AF">
              <w:rPr>
                <w:rFonts w:eastAsia="Arial"/>
                <w:b/>
                <w:color w:val="4472C4"/>
              </w:rPr>
              <w:t>5</w:t>
            </w:r>
            <w:r w:rsidR="00061210" w:rsidRPr="007C60AF">
              <w:rPr>
                <w:rFonts w:eastAsia="Arial"/>
                <w:b/>
                <w:color w:val="4472C4"/>
              </w:rPr>
              <w:t>00 – 2,000</w:t>
            </w:r>
            <w:r w:rsidR="001E3C60" w:rsidRPr="007C60AF">
              <w:rPr>
                <w:rFonts w:eastAsia="Arial"/>
                <w:bCs/>
                <w:color w:val="4472C4"/>
              </w:rPr>
              <w:t>]</w:t>
            </w:r>
            <w:r w:rsidRPr="007C60AF">
              <w:rPr>
                <w:rFonts w:eastAsia="Arial"/>
                <w:b/>
                <w:color w:val="4472C4"/>
              </w:rPr>
              <w:t xml:space="preserve"> </w:t>
            </w:r>
            <w:r w:rsidRPr="007C60AF">
              <w:rPr>
                <w:rFonts w:eastAsia="Arial"/>
                <w:color w:val="4472C4"/>
              </w:rPr>
              <w:t xml:space="preserve">GBP/MT (see table 13 below). The unit price then decreased between the third year of the injury period and the POI, although it remained </w:t>
            </w:r>
            <w:r w:rsidR="00192441" w:rsidRPr="007C60AF">
              <w:rPr>
                <w:rFonts w:eastAsia="Arial"/>
                <w:color w:val="4472C4"/>
              </w:rPr>
              <w:t>[</w:t>
            </w:r>
            <w:r w:rsidR="0023344C" w:rsidRPr="007C60AF">
              <w:rPr>
                <w:rFonts w:eastAsia="Arial"/>
                <w:b/>
                <w:color w:val="4472C4"/>
              </w:rPr>
              <w:t>0-25%</w:t>
            </w:r>
            <w:r w:rsidR="00192441" w:rsidRPr="007C60AF">
              <w:rPr>
                <w:rFonts w:eastAsia="Arial"/>
                <w:bCs/>
                <w:color w:val="4472C4"/>
              </w:rPr>
              <w:t>]</w:t>
            </w:r>
            <w:r w:rsidRPr="007C60AF">
              <w:rPr>
                <w:rFonts w:eastAsia="Arial"/>
                <w:color w:val="4472C4"/>
              </w:rPr>
              <w:t xml:space="preserve"> above the unit price at the start of the injury period. This aligns with the trends discussed above relating to the volume and value of domestic sales to unrelated companies.  </w:t>
            </w:r>
          </w:p>
          <w:p w14:paraId="0000077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76"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Sales prices to unrelated companies are lower than the unit cost of production because production costs include fixed costs that producers </w:t>
            </w:r>
            <w:proofErr w:type="gramStart"/>
            <w:r w:rsidRPr="007C60AF">
              <w:rPr>
                <w:rFonts w:eastAsia="Arial"/>
                <w:color w:val="4472C4"/>
              </w:rPr>
              <w:t>have to</w:t>
            </w:r>
            <w:proofErr w:type="gramEnd"/>
            <w:r w:rsidRPr="007C60AF">
              <w:rPr>
                <w:rFonts w:eastAsia="Arial"/>
                <w:color w:val="4472C4"/>
              </w:rPr>
              <w:t xml:space="preserve"> cover. As the first year of the injury period was the period of COVID-19 lockdowns, sales prices reflected what producers could charge at the time. </w:t>
            </w:r>
          </w:p>
          <w:p w14:paraId="00000777"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78"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The volume and value of domestic sales to unrelated companies increased in Q2 2024 (see tables 10 and 12 below). This is because inward processing relief ended on 30 April 2024.</w:t>
            </w:r>
            <w:r w:rsidRPr="007C60AF">
              <w:rPr>
                <w:rFonts w:eastAsia="Arial"/>
                <w:color w:val="4472C4"/>
                <w:vertAlign w:val="superscript"/>
              </w:rPr>
              <w:footnoteReference w:id="153"/>
            </w:r>
            <w:r w:rsidRPr="007C60AF">
              <w:rPr>
                <w:rFonts w:eastAsia="Arial"/>
                <w:color w:val="4472C4"/>
              </w:rPr>
              <w:t xml:space="preserve"> Consequently, imports of Chinese biodiesel slowed dramatically. Prior to this, most UK fuel suppliers had received their inward processing relief authorisations and so it was cheaper for them to import non-UK produced biodiesel (i.e. Chinese) due to the purchase price being lower. </w:t>
            </w:r>
          </w:p>
          <w:p w14:paraId="00000779" w14:textId="77777777" w:rsidR="00416D85" w:rsidRPr="007C60AF" w:rsidRDefault="00130320">
            <w:pPr>
              <w:rPr>
                <w:i/>
                <w:color w:val="4472C4"/>
              </w:rPr>
            </w:pPr>
            <w:r w:rsidRPr="007C60AF">
              <w:rPr>
                <w:i/>
                <w:color w:val="4472C4"/>
              </w:rPr>
              <w:t>Domestic sales to related companies</w:t>
            </w:r>
          </w:p>
          <w:p w14:paraId="0000077A" w14:textId="59E1DE2B" w:rsidR="00416D85" w:rsidRPr="007C60AF" w:rsidRDefault="00130320">
            <w:pPr>
              <w:numPr>
                <w:ilvl w:val="6"/>
                <w:numId w:val="61"/>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 xml:space="preserve">The volume of domestic sales of the UK industry to related companies between the start of the injury period and the POI increased by </w:t>
            </w:r>
            <w:r w:rsidR="00192441" w:rsidRPr="007C60AF">
              <w:rPr>
                <w:rFonts w:eastAsia="Arial"/>
                <w:color w:val="4472C4"/>
              </w:rPr>
              <w:t>[</w:t>
            </w:r>
            <w:r w:rsidR="0023344C" w:rsidRPr="007C60AF">
              <w:rPr>
                <w:rFonts w:eastAsia="Arial"/>
                <w:b/>
                <w:color w:val="4472C4"/>
              </w:rPr>
              <w:t>50-</w:t>
            </w:r>
            <w:r w:rsidR="00192441" w:rsidRPr="007C60AF">
              <w:rPr>
                <w:rFonts w:eastAsia="Arial"/>
                <w:b/>
                <w:color w:val="4472C4"/>
              </w:rPr>
              <w:t>75</w:t>
            </w:r>
            <w:r w:rsidRPr="007C60AF">
              <w:rPr>
                <w:rFonts w:eastAsia="Arial"/>
                <w:b/>
                <w:color w:val="4472C4"/>
              </w:rPr>
              <w:t>%</w:t>
            </w:r>
            <w:r w:rsidR="00192441" w:rsidRPr="007C60AF">
              <w:rPr>
                <w:rFonts w:eastAsia="Arial"/>
                <w:b/>
                <w:color w:val="4472C4"/>
              </w:rPr>
              <w:t>]</w:t>
            </w:r>
            <w:r w:rsidRPr="007C60AF">
              <w:rPr>
                <w:rFonts w:eastAsia="Arial"/>
                <w:color w:val="4472C4"/>
              </w:rPr>
              <w:t xml:space="preserve"> from </w:t>
            </w:r>
            <w:r w:rsidR="00192441" w:rsidRPr="007C60AF">
              <w:rPr>
                <w:rFonts w:eastAsia="Arial"/>
                <w:color w:val="4472C4"/>
              </w:rPr>
              <w:t>[</w:t>
            </w:r>
            <w:r w:rsidR="00F9528E" w:rsidRPr="007C60AF">
              <w:rPr>
                <w:rFonts w:eastAsia="Arial"/>
                <w:b/>
                <w:color w:val="4472C4"/>
              </w:rPr>
              <w:t>30</w:t>
            </w:r>
            <w:r w:rsidR="00192441" w:rsidRPr="007C60AF">
              <w:rPr>
                <w:rFonts w:eastAsia="Arial"/>
                <w:b/>
                <w:color w:val="4472C4"/>
              </w:rPr>
              <w:t>,</w:t>
            </w:r>
            <w:r w:rsidRPr="007C60AF">
              <w:rPr>
                <w:rFonts w:eastAsia="Arial"/>
                <w:b/>
                <w:color w:val="4472C4"/>
              </w:rPr>
              <w:t xml:space="preserve">000 – </w:t>
            </w:r>
            <w:r w:rsidR="00F9528E" w:rsidRPr="007C60AF">
              <w:rPr>
                <w:rFonts w:eastAsia="Arial"/>
                <w:b/>
                <w:color w:val="4472C4"/>
              </w:rPr>
              <w:t>4</w:t>
            </w:r>
            <w:r w:rsidR="00192441" w:rsidRPr="007C60AF">
              <w:rPr>
                <w:rFonts w:eastAsia="Arial"/>
                <w:b/>
                <w:color w:val="4472C4"/>
              </w:rPr>
              <w:t xml:space="preserve">0,000] </w:t>
            </w:r>
            <w:r w:rsidRPr="007C60AF">
              <w:rPr>
                <w:rFonts w:eastAsia="Arial"/>
                <w:color w:val="4472C4"/>
              </w:rPr>
              <w:t xml:space="preserve">MT to </w:t>
            </w:r>
            <w:r w:rsidR="00192441" w:rsidRPr="007C60AF">
              <w:rPr>
                <w:rFonts w:eastAsia="Arial"/>
                <w:color w:val="4472C4"/>
              </w:rPr>
              <w:t>[</w:t>
            </w:r>
            <w:r w:rsidR="00192441" w:rsidRPr="007C60AF">
              <w:rPr>
                <w:rFonts w:eastAsia="Arial"/>
                <w:b/>
                <w:color w:val="4472C4"/>
              </w:rPr>
              <w:t>50,000 –</w:t>
            </w:r>
            <w:r w:rsidRPr="007C60AF">
              <w:rPr>
                <w:rFonts w:eastAsia="Arial"/>
                <w:b/>
                <w:color w:val="4472C4"/>
              </w:rPr>
              <w:t xml:space="preserve"> </w:t>
            </w:r>
            <w:r w:rsidR="004E3AAF" w:rsidRPr="007C60AF">
              <w:rPr>
                <w:rFonts w:eastAsia="Arial"/>
                <w:b/>
                <w:color w:val="4472C4"/>
              </w:rPr>
              <w:t>75</w:t>
            </w:r>
            <w:r w:rsidR="00192441" w:rsidRPr="007C60AF">
              <w:rPr>
                <w:rFonts w:eastAsia="Arial"/>
                <w:b/>
                <w:color w:val="4472C4"/>
              </w:rPr>
              <w:t xml:space="preserve">,000] </w:t>
            </w:r>
            <w:r w:rsidRPr="007C60AF">
              <w:rPr>
                <w:rFonts w:eastAsia="Arial"/>
                <w:color w:val="4472C4"/>
              </w:rPr>
              <w:t>MT (see table 9 below).</w:t>
            </w:r>
          </w:p>
          <w:p w14:paraId="0000077B"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77C" w14:textId="5FCA331B"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 Equally, the value of domestic sales of the UK industry to unrelated companies increased by </w:t>
            </w:r>
            <w:r w:rsidR="00192441" w:rsidRPr="007C60AF">
              <w:rPr>
                <w:rFonts w:eastAsia="Arial"/>
                <w:color w:val="4472C4"/>
              </w:rPr>
              <w:t>[</w:t>
            </w:r>
            <w:r w:rsidR="00192441" w:rsidRPr="007C60AF">
              <w:rPr>
                <w:rFonts w:eastAsia="Arial"/>
                <w:b/>
                <w:color w:val="4472C4"/>
              </w:rPr>
              <w:t>75</w:t>
            </w:r>
            <w:r w:rsidR="0023344C" w:rsidRPr="007C60AF">
              <w:rPr>
                <w:rFonts w:eastAsia="Arial"/>
                <w:b/>
                <w:color w:val="4472C4"/>
              </w:rPr>
              <w:t>-100</w:t>
            </w:r>
            <w:r w:rsidRPr="007C60AF">
              <w:rPr>
                <w:rFonts w:eastAsia="Arial"/>
                <w:b/>
                <w:color w:val="4472C4"/>
              </w:rPr>
              <w:t>%</w:t>
            </w:r>
            <w:r w:rsidR="00192441" w:rsidRPr="007C60AF">
              <w:rPr>
                <w:rFonts w:eastAsia="Arial"/>
                <w:b/>
                <w:color w:val="4472C4"/>
              </w:rPr>
              <w:t>]</w:t>
            </w:r>
            <w:r w:rsidRPr="007C60AF">
              <w:rPr>
                <w:rFonts w:eastAsia="Arial"/>
                <w:color w:val="4472C4"/>
              </w:rPr>
              <w:t xml:space="preserve"> between the start of the injury period and the POI, from </w:t>
            </w:r>
            <w:r w:rsidR="00AD5A32" w:rsidRPr="007C60AF">
              <w:rPr>
                <w:rFonts w:eastAsia="Arial"/>
                <w:b/>
                <w:bCs/>
                <w:color w:val="4472C4"/>
              </w:rPr>
              <w:t>[</w:t>
            </w:r>
            <w:r w:rsidR="00AD5A32" w:rsidRPr="007C60AF">
              <w:rPr>
                <w:rFonts w:eastAsia="Arial"/>
                <w:b/>
                <w:color w:val="4472C4"/>
              </w:rPr>
              <w:t>30m</w:t>
            </w:r>
            <w:r w:rsidRPr="007C60AF">
              <w:rPr>
                <w:rFonts w:eastAsia="Arial"/>
                <w:b/>
                <w:color w:val="4472C4"/>
              </w:rPr>
              <w:t xml:space="preserve"> – </w:t>
            </w:r>
            <w:r w:rsidR="00244A73" w:rsidRPr="007C60AF">
              <w:rPr>
                <w:rFonts w:eastAsia="Arial"/>
                <w:b/>
                <w:color w:val="4472C4"/>
              </w:rPr>
              <w:t>35</w:t>
            </w:r>
            <w:r w:rsidRPr="007C60AF">
              <w:rPr>
                <w:rFonts w:eastAsia="Arial"/>
                <w:b/>
                <w:color w:val="4472C4"/>
              </w:rPr>
              <w:t>m</w:t>
            </w:r>
            <w:r w:rsidR="00AD5A32" w:rsidRPr="007C60AF">
              <w:rPr>
                <w:rFonts w:eastAsia="Arial"/>
                <w:b/>
                <w:color w:val="4472C4"/>
              </w:rPr>
              <w:t>]</w:t>
            </w:r>
            <w:r w:rsidRPr="007C60AF">
              <w:rPr>
                <w:rFonts w:eastAsia="Arial"/>
                <w:b/>
                <w:color w:val="4472C4"/>
              </w:rPr>
              <w:t xml:space="preserve"> </w:t>
            </w:r>
            <w:r w:rsidRPr="007C60AF">
              <w:rPr>
                <w:rFonts w:eastAsia="Arial"/>
                <w:color w:val="4472C4"/>
              </w:rPr>
              <w:t xml:space="preserve">GBP to </w:t>
            </w:r>
            <w:r w:rsidR="00AD5A32" w:rsidRPr="007C60AF">
              <w:rPr>
                <w:rFonts w:eastAsia="Arial"/>
                <w:b/>
                <w:bCs/>
                <w:color w:val="4472C4"/>
              </w:rPr>
              <w:t>[</w:t>
            </w:r>
            <w:r w:rsidRPr="007C60AF">
              <w:rPr>
                <w:rFonts w:eastAsia="Arial"/>
                <w:b/>
                <w:color w:val="4472C4"/>
              </w:rPr>
              <w:t>5</w:t>
            </w:r>
            <w:r w:rsidR="00AD5A32" w:rsidRPr="007C60AF">
              <w:rPr>
                <w:rFonts w:eastAsia="Arial"/>
                <w:b/>
                <w:color w:val="4472C4"/>
              </w:rPr>
              <w:t>0m</w:t>
            </w:r>
            <w:r w:rsidRPr="007C60AF">
              <w:rPr>
                <w:rFonts w:eastAsia="Arial"/>
                <w:b/>
                <w:color w:val="4472C4"/>
              </w:rPr>
              <w:t xml:space="preserve"> – 6</w:t>
            </w:r>
            <w:r w:rsidR="00AD5A32" w:rsidRPr="007C60AF">
              <w:rPr>
                <w:rFonts w:eastAsia="Arial"/>
                <w:b/>
                <w:color w:val="4472C4"/>
              </w:rPr>
              <w:t>0</w:t>
            </w:r>
            <w:r w:rsidRPr="007C60AF">
              <w:rPr>
                <w:rFonts w:eastAsia="Arial"/>
                <w:b/>
                <w:color w:val="4472C4"/>
              </w:rPr>
              <w:t>m</w:t>
            </w:r>
            <w:r w:rsidR="00AD5A32" w:rsidRPr="007C60AF">
              <w:rPr>
                <w:rFonts w:eastAsia="Arial"/>
                <w:b/>
                <w:color w:val="4472C4"/>
              </w:rPr>
              <w:t>]</w:t>
            </w:r>
            <w:r w:rsidRPr="007C60AF">
              <w:rPr>
                <w:rFonts w:eastAsia="Arial"/>
                <w:b/>
                <w:color w:val="4472C4"/>
              </w:rPr>
              <w:t xml:space="preserve"> </w:t>
            </w:r>
            <w:r w:rsidRPr="007C60AF">
              <w:rPr>
                <w:rFonts w:eastAsia="Arial"/>
                <w:color w:val="4472C4"/>
              </w:rPr>
              <w:t xml:space="preserve">GBP (see table 11 below). </w:t>
            </w:r>
          </w:p>
          <w:p w14:paraId="0000077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77E" w14:textId="77777777"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This shows an opposite trend to domestic sales to related companies. However, it is not necessarily reflective of the market as the sales may reflect intra-company agreements.</w:t>
            </w:r>
          </w:p>
          <w:p w14:paraId="0000077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780" w14:textId="4581B01E"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unit price of domestic sales to related companies increased by </w:t>
            </w:r>
            <w:r w:rsidR="00EB3282" w:rsidRPr="007C60AF">
              <w:rPr>
                <w:rFonts w:eastAsia="Arial"/>
                <w:color w:val="4472C4"/>
              </w:rPr>
              <w:t>[</w:t>
            </w:r>
            <w:r w:rsidR="0023344C" w:rsidRPr="007C60AF">
              <w:rPr>
                <w:rFonts w:eastAsia="Arial"/>
                <w:b/>
                <w:color w:val="4472C4"/>
              </w:rPr>
              <w:t>0-25</w:t>
            </w:r>
            <w:r w:rsidRPr="007C60AF">
              <w:rPr>
                <w:rFonts w:eastAsia="Arial"/>
                <w:b/>
                <w:color w:val="4472C4"/>
              </w:rPr>
              <w:t>%</w:t>
            </w:r>
            <w:r w:rsidR="00EB3282" w:rsidRPr="007C60AF">
              <w:rPr>
                <w:rFonts w:eastAsia="Arial"/>
                <w:b/>
                <w:color w:val="4472C4"/>
              </w:rPr>
              <w:t>]</w:t>
            </w:r>
            <w:r w:rsidRPr="007C60AF">
              <w:rPr>
                <w:rFonts w:eastAsia="Arial"/>
                <w:b/>
                <w:color w:val="4472C4"/>
              </w:rPr>
              <w:t xml:space="preserve"> </w:t>
            </w:r>
            <w:r w:rsidRPr="007C60AF">
              <w:rPr>
                <w:rFonts w:eastAsia="Arial"/>
                <w:color w:val="4472C4"/>
              </w:rPr>
              <w:t xml:space="preserve">between the start of the injury period and the POI, from </w:t>
            </w:r>
            <w:r w:rsidR="00EB3282" w:rsidRPr="007C60AF">
              <w:rPr>
                <w:rFonts w:eastAsia="Arial"/>
                <w:color w:val="4472C4"/>
              </w:rPr>
              <w:t>[</w:t>
            </w:r>
            <w:r w:rsidR="00EB3282" w:rsidRPr="007C60AF">
              <w:rPr>
                <w:rFonts w:eastAsia="Arial"/>
                <w:b/>
                <w:color w:val="4472C4"/>
              </w:rPr>
              <w:t>750 –</w:t>
            </w:r>
            <w:r w:rsidRPr="007C60AF">
              <w:rPr>
                <w:rFonts w:eastAsia="Arial"/>
                <w:b/>
                <w:color w:val="4472C4"/>
              </w:rPr>
              <w:t xml:space="preserve"> </w:t>
            </w:r>
            <w:r w:rsidR="00EB3282" w:rsidRPr="007C60AF">
              <w:rPr>
                <w:rFonts w:eastAsia="Arial"/>
                <w:b/>
                <w:color w:val="4472C4"/>
              </w:rPr>
              <w:t>1,000]</w:t>
            </w:r>
            <w:r w:rsidRPr="007C60AF">
              <w:rPr>
                <w:rFonts w:eastAsia="Arial"/>
                <w:b/>
                <w:color w:val="4472C4"/>
              </w:rPr>
              <w:t xml:space="preserve"> </w:t>
            </w:r>
            <w:r w:rsidRPr="007C60AF">
              <w:rPr>
                <w:rFonts w:eastAsia="Arial"/>
                <w:color w:val="4472C4"/>
              </w:rPr>
              <w:t xml:space="preserve">GBP/MT to </w:t>
            </w:r>
            <w:r w:rsidR="00EB3282" w:rsidRPr="007C60AF">
              <w:rPr>
                <w:rFonts w:eastAsia="Arial"/>
                <w:color w:val="4472C4"/>
              </w:rPr>
              <w:t>[</w:t>
            </w:r>
            <w:r w:rsidR="00EB3282" w:rsidRPr="007C60AF">
              <w:rPr>
                <w:rFonts w:eastAsia="Arial"/>
                <w:b/>
                <w:color w:val="4472C4"/>
              </w:rPr>
              <w:t>1,000 –</w:t>
            </w:r>
            <w:r w:rsidRPr="007C60AF">
              <w:rPr>
                <w:rFonts w:eastAsia="Arial"/>
                <w:b/>
                <w:color w:val="4472C4"/>
              </w:rPr>
              <w:t xml:space="preserve"> </w:t>
            </w:r>
            <w:r w:rsidR="00244A73" w:rsidRPr="007C60AF">
              <w:rPr>
                <w:rFonts w:eastAsia="Arial"/>
                <w:b/>
                <w:color w:val="4472C4"/>
              </w:rPr>
              <w:t>1</w:t>
            </w:r>
            <w:r w:rsidR="00EB3282" w:rsidRPr="007C60AF">
              <w:rPr>
                <w:rFonts w:eastAsia="Arial"/>
                <w:b/>
                <w:color w:val="4472C4"/>
              </w:rPr>
              <w:t>,</w:t>
            </w:r>
            <w:r w:rsidR="00244A73" w:rsidRPr="007C60AF">
              <w:rPr>
                <w:rFonts w:eastAsia="Arial"/>
                <w:b/>
                <w:color w:val="4472C4"/>
              </w:rPr>
              <w:t>5</w:t>
            </w:r>
            <w:r w:rsidRPr="007C60AF">
              <w:rPr>
                <w:rFonts w:eastAsia="Arial"/>
                <w:b/>
                <w:color w:val="4472C4"/>
              </w:rPr>
              <w:t>00</w:t>
            </w:r>
            <w:r w:rsidR="00EB3282" w:rsidRPr="007C60AF">
              <w:rPr>
                <w:rFonts w:eastAsia="Arial"/>
                <w:b/>
                <w:color w:val="4472C4"/>
              </w:rPr>
              <w:t>]</w:t>
            </w:r>
            <w:r w:rsidRPr="007C60AF">
              <w:rPr>
                <w:rFonts w:eastAsia="Arial"/>
                <w:b/>
                <w:color w:val="4472C4"/>
              </w:rPr>
              <w:t xml:space="preserve"> </w:t>
            </w:r>
            <w:r w:rsidRPr="007C60AF">
              <w:rPr>
                <w:rFonts w:eastAsia="Arial"/>
                <w:color w:val="4472C4"/>
              </w:rPr>
              <w:t>GBP/MT (see table 13 below). Similarly, this was not caused by the market but instead by intra-company agreements. Please also refer to paragraphs 31 to 33 below with respect to biodiesel prices.</w:t>
            </w:r>
          </w:p>
          <w:p w14:paraId="00000781"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82" w14:textId="77777777" w:rsidR="00416D85" w:rsidRPr="007C60AF" w:rsidRDefault="00130320">
            <w:pPr>
              <w:numPr>
                <w:ilvl w:val="6"/>
                <w:numId w:val="61"/>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The volume, value and unit price of domestic sales to related companies decreased between Q2 2023 and Q2 2024. This situation has been caused by dumped and subsidised imports of US HVO. The UK industry has been unable to keep up with the low prices of US HVO and the radical change to the spread of prices between HVO and FAME, which continues to lower. </w:t>
            </w:r>
          </w:p>
          <w:p w14:paraId="00000783" w14:textId="77777777" w:rsidR="00416D85" w:rsidRPr="007C60AF" w:rsidRDefault="00130320">
            <w:pPr>
              <w:rPr>
                <w:i/>
                <w:color w:val="4472C4"/>
              </w:rPr>
            </w:pPr>
            <w:r w:rsidRPr="007C60AF">
              <w:rPr>
                <w:i/>
                <w:color w:val="4472C4"/>
              </w:rPr>
              <w:t>Total domestic sales</w:t>
            </w:r>
          </w:p>
          <w:p w14:paraId="00000784" w14:textId="642DA163"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Overall, the total volume and total value of domestic sales to unrelated and related companies decreased between the start of the injury period and the POI, by </w:t>
            </w:r>
            <w:r w:rsidR="00EB3282" w:rsidRPr="007C60AF">
              <w:rPr>
                <w:rFonts w:eastAsia="Arial"/>
                <w:color w:val="4472C4"/>
              </w:rPr>
              <w:t>[</w:t>
            </w:r>
            <w:r w:rsidR="0023344C" w:rsidRPr="007C60AF">
              <w:rPr>
                <w:rFonts w:eastAsia="Arial"/>
                <w:b/>
                <w:bCs/>
                <w:color w:val="4472C4"/>
              </w:rPr>
              <w:t>0-25</w:t>
            </w:r>
            <w:r w:rsidRPr="007C60AF">
              <w:rPr>
                <w:rFonts w:eastAsia="Arial"/>
                <w:b/>
                <w:bCs/>
                <w:color w:val="4472C4"/>
              </w:rPr>
              <w:t>%</w:t>
            </w:r>
            <w:r w:rsidR="00EB3282" w:rsidRPr="007C60AF">
              <w:rPr>
                <w:rFonts w:eastAsia="Arial"/>
                <w:b/>
                <w:bCs/>
                <w:color w:val="4472C4"/>
              </w:rPr>
              <w:t>]</w:t>
            </w:r>
            <w:r w:rsidRPr="007C60AF">
              <w:rPr>
                <w:rFonts w:eastAsia="Arial"/>
                <w:b/>
                <w:bCs/>
                <w:color w:val="4472C4"/>
              </w:rPr>
              <w:t xml:space="preserve"> and </w:t>
            </w:r>
            <w:r w:rsidR="00EB3282" w:rsidRPr="007C60AF">
              <w:rPr>
                <w:rFonts w:eastAsia="Arial"/>
                <w:b/>
                <w:bCs/>
                <w:color w:val="4472C4"/>
              </w:rPr>
              <w:t>[</w:t>
            </w:r>
            <w:r w:rsidR="0023344C" w:rsidRPr="007C60AF">
              <w:rPr>
                <w:rFonts w:eastAsia="Arial"/>
                <w:b/>
                <w:bCs/>
                <w:color w:val="4472C4"/>
              </w:rPr>
              <w:t>0-15</w:t>
            </w:r>
            <w:r w:rsidRPr="007C60AF">
              <w:rPr>
                <w:rFonts w:eastAsia="Arial"/>
                <w:b/>
                <w:bCs/>
                <w:color w:val="4472C4"/>
              </w:rPr>
              <w:t>%</w:t>
            </w:r>
            <w:r w:rsidR="00EB3282" w:rsidRPr="007C60AF">
              <w:rPr>
                <w:rFonts w:eastAsia="Arial"/>
                <w:b/>
                <w:bCs/>
                <w:color w:val="4472C4"/>
              </w:rPr>
              <w:t>]</w:t>
            </w:r>
            <w:r w:rsidRPr="007C60AF">
              <w:rPr>
                <w:rFonts w:eastAsia="Arial"/>
                <w:color w:val="4472C4"/>
              </w:rPr>
              <w:t xml:space="preserve"> respectively (see tables 9 and 11 below). This trend has continued, as the total volume and value of domestic sales to unrelated and related companies has decreased between Q2 2023 and Q2 2024 by </w:t>
            </w:r>
            <w:r w:rsidR="00EB3282" w:rsidRPr="007C60AF">
              <w:rPr>
                <w:rFonts w:eastAsia="Arial"/>
                <w:color w:val="4472C4"/>
              </w:rPr>
              <w:t>[</w:t>
            </w:r>
            <w:r w:rsidR="0023344C" w:rsidRPr="007C60AF">
              <w:rPr>
                <w:rFonts w:eastAsia="Arial"/>
                <w:b/>
                <w:color w:val="4472C4"/>
              </w:rPr>
              <w:t>25-50</w:t>
            </w:r>
            <w:r w:rsidRPr="007C60AF">
              <w:rPr>
                <w:rFonts w:eastAsia="Arial"/>
                <w:b/>
                <w:color w:val="4472C4"/>
              </w:rPr>
              <w:t>%</w:t>
            </w:r>
            <w:r w:rsidR="00EB3282" w:rsidRPr="007C60AF">
              <w:rPr>
                <w:rFonts w:eastAsia="Arial"/>
                <w:b/>
                <w:color w:val="4472C4"/>
              </w:rPr>
              <w:t>]</w:t>
            </w:r>
            <w:r w:rsidRPr="007C60AF">
              <w:rPr>
                <w:rFonts w:eastAsia="Arial"/>
                <w:b/>
                <w:color w:val="4472C4"/>
              </w:rPr>
              <w:t xml:space="preserve"> and </w:t>
            </w:r>
            <w:r w:rsidR="00EB3282" w:rsidRPr="007C60AF">
              <w:rPr>
                <w:rFonts w:eastAsia="Arial"/>
                <w:b/>
                <w:color w:val="4472C4"/>
              </w:rPr>
              <w:t>[</w:t>
            </w:r>
            <w:r w:rsidR="0023344C" w:rsidRPr="007C60AF">
              <w:rPr>
                <w:rFonts w:eastAsia="Arial"/>
                <w:b/>
                <w:color w:val="4472C4"/>
              </w:rPr>
              <w:t>25-50</w:t>
            </w:r>
            <w:r w:rsidRPr="007C60AF">
              <w:rPr>
                <w:rFonts w:eastAsia="Arial"/>
                <w:b/>
                <w:color w:val="4472C4"/>
              </w:rPr>
              <w:t>%</w:t>
            </w:r>
            <w:r w:rsidR="00EB3282" w:rsidRPr="007C60AF">
              <w:rPr>
                <w:rFonts w:eastAsia="Arial"/>
                <w:b/>
                <w:color w:val="4472C4"/>
              </w:rPr>
              <w:t>]</w:t>
            </w:r>
            <w:r w:rsidRPr="007C60AF">
              <w:rPr>
                <w:rFonts w:eastAsia="Arial"/>
                <w:color w:val="4472C4"/>
              </w:rPr>
              <w:t xml:space="preserve"> (see tables 10 and 12 below).  </w:t>
            </w:r>
          </w:p>
          <w:p w14:paraId="0000078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86"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47" w:name="_heading=h.fhd35xmdkrxh" w:colFirst="0" w:colLast="0"/>
            <w:bookmarkEnd w:id="47"/>
            <w:r w:rsidRPr="007C60AF">
              <w:rPr>
                <w:rFonts w:eastAsia="Arial"/>
                <w:color w:val="4472C4"/>
              </w:rPr>
              <w:t>The total volume of domestic and export sales to unrelated and related companies dropped in 2022/2023 and remained stable thereafter (</w:t>
            </w:r>
            <w:r w:rsidRPr="007C60AF">
              <w:rPr>
                <w:rFonts w:eastAsia="Arial"/>
                <w:i/>
                <w:color w:val="4472C4"/>
              </w:rPr>
              <w:t xml:space="preserve">see </w:t>
            </w:r>
            <w:r w:rsidRPr="007C60AF">
              <w:rPr>
                <w:rFonts w:eastAsia="Arial"/>
                <w:color w:val="4472C4"/>
              </w:rPr>
              <w:t xml:space="preserve">Appendix G.1 for further detail). As such, sales have shifted between the different categories of sales (sales and exports, to unrelated and related companies), depending on where the UK industry could maximise value. </w:t>
            </w:r>
          </w:p>
          <w:p w14:paraId="00000787" w14:textId="77777777" w:rsidR="00416D85" w:rsidRPr="007C60AF" w:rsidRDefault="00416D85">
            <w:pPr>
              <w:pBdr>
                <w:top w:val="nil"/>
                <w:left w:val="nil"/>
                <w:bottom w:val="nil"/>
                <w:right w:val="nil"/>
                <w:between w:val="nil"/>
              </w:pBdr>
              <w:spacing w:after="0" w:line="276" w:lineRule="auto"/>
              <w:rPr>
                <w:rFonts w:eastAsia="Arial"/>
                <w:i/>
                <w:color w:val="4472C4"/>
              </w:rPr>
            </w:pPr>
          </w:p>
          <w:p w14:paraId="00000788"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48" w:name="_heading=h.ujgl518ntxg3" w:colFirst="0" w:colLast="0"/>
            <w:bookmarkEnd w:id="48"/>
            <w:r w:rsidRPr="007C60AF">
              <w:rPr>
                <w:rFonts w:eastAsia="Arial"/>
                <w:color w:val="4472C4"/>
              </w:rPr>
              <w:t>Biodiesel prices are heavily dependent on feedstock prices but also on diesel prices, as it is a competing product. Exceptional events like the COVID-19 outbreak and Russia’s invasion of Ukraine have led to surges in prices of fuels and vegetable oils (feedstock), both impacting transport fuel blends, and consequently to price increases for biodiesel.</w:t>
            </w:r>
          </w:p>
          <w:p w14:paraId="00000789" w14:textId="77777777" w:rsidR="00416D85" w:rsidRPr="007C60AF" w:rsidRDefault="00416D85">
            <w:pPr>
              <w:pBdr>
                <w:top w:val="nil"/>
                <w:left w:val="nil"/>
                <w:bottom w:val="nil"/>
                <w:right w:val="nil"/>
                <w:between w:val="nil"/>
              </w:pBdr>
              <w:spacing w:after="0" w:line="276" w:lineRule="auto"/>
              <w:rPr>
                <w:rFonts w:eastAsia="Arial"/>
                <w:i/>
                <w:color w:val="4472C4"/>
              </w:rPr>
            </w:pPr>
          </w:p>
          <w:p w14:paraId="0000078A"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49" w:name="_heading=h.bhq7xf4toxb" w:colFirst="0" w:colLast="0"/>
            <w:bookmarkEnd w:id="49"/>
            <w:r w:rsidRPr="007C60AF">
              <w:rPr>
                <w:rFonts w:eastAsia="Arial"/>
                <w:color w:val="4472C4"/>
              </w:rPr>
              <w:t xml:space="preserve">The significant increase in the domestic sales price of biodiesel from 2020 to 2022 can also be explained by a major increase in the commodity price post-pandemic when supply chain bottlenecks were revealed, which later triggered global inflation. However, from 2022 to the POI, such price increases reversed, causing the prices of biodiesel to fall. </w:t>
            </w:r>
          </w:p>
          <w:p w14:paraId="0000078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8C"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bookmarkStart w:id="50" w:name="_heading=h.yc19juyu8gn9" w:colFirst="0" w:colLast="0"/>
            <w:bookmarkEnd w:id="50"/>
            <w:r w:rsidRPr="007C60AF">
              <w:rPr>
                <w:rFonts w:eastAsia="Arial"/>
                <w:color w:val="4472C4"/>
              </w:rPr>
              <w:t>The below graphs show that commodity indexes, such as the Bloomberg subindex for agriculture and the Bloomberg subindex for energy, have substantially increased since the beginning of the pandemic and have remained at a higher level after its peak in Q2 2022 (just after Russia's invasion of Ukraine), which triggered much higher biodiesel prices in the UK:</w:t>
            </w:r>
            <w:r w:rsidRPr="007C60AF">
              <w:rPr>
                <w:rFonts w:eastAsia="Arial"/>
                <w:color w:val="4472C4"/>
                <w:vertAlign w:val="superscript"/>
              </w:rPr>
              <w:footnoteReference w:id="154"/>
            </w:r>
          </w:p>
          <w:p w14:paraId="0000078D" w14:textId="77777777" w:rsidR="00416D85" w:rsidRPr="007C60AF" w:rsidRDefault="00416D85">
            <w:pPr>
              <w:rPr>
                <w:color w:val="4472C4"/>
              </w:rPr>
            </w:pPr>
          </w:p>
          <w:p w14:paraId="0000078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noProof/>
                <w:color w:val="000000"/>
              </w:rPr>
              <w:drawing>
                <wp:inline distT="0" distB="0" distL="0" distR="0" wp14:anchorId="65180DCA" wp14:editId="66D5F691">
                  <wp:extent cx="5612735" cy="4274533"/>
                  <wp:effectExtent l="0" t="0" r="0" b="0"/>
                  <wp:docPr id="21467317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612735" cy="4274533"/>
                          </a:xfrm>
                          <a:prstGeom prst="rect">
                            <a:avLst/>
                          </a:prstGeom>
                          <a:ln/>
                        </pic:spPr>
                      </pic:pic>
                    </a:graphicData>
                  </a:graphic>
                </wp:inline>
              </w:drawing>
            </w:r>
          </w:p>
          <w:p w14:paraId="0000078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9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noProof/>
                <w:color w:val="000000"/>
              </w:rPr>
              <w:lastRenderedPageBreak/>
              <w:drawing>
                <wp:inline distT="0" distB="0" distL="0" distR="0" wp14:anchorId="39610001" wp14:editId="5949EC58">
                  <wp:extent cx="5426761" cy="3810637"/>
                  <wp:effectExtent l="0" t="0" r="0" b="0"/>
                  <wp:docPr id="21467317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426761" cy="3810637"/>
                          </a:xfrm>
                          <a:prstGeom prst="rect">
                            <a:avLst/>
                          </a:prstGeom>
                          <a:ln/>
                        </pic:spPr>
                      </pic:pic>
                    </a:graphicData>
                  </a:graphic>
                </wp:inline>
              </w:drawing>
            </w:r>
          </w:p>
          <w:p w14:paraId="0000079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92" w14:textId="459530ED"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below graph from </w:t>
            </w:r>
            <w:r w:rsidRPr="007C60AF">
              <w:rPr>
                <w:rFonts w:eastAsia="Arial"/>
                <w:b/>
                <w:color w:val="4472C4"/>
              </w:rPr>
              <w:t xml:space="preserve">[SENSITIVE – INFORMATION </w:t>
            </w:r>
            <w:r w:rsidR="00485F75" w:rsidRPr="007C60AF">
              <w:rPr>
                <w:rFonts w:eastAsia="Arial"/>
                <w:b/>
                <w:color w:val="4472C4"/>
              </w:rPr>
              <w:t>COMMERCIALLY SUPPLIED</w:t>
            </w:r>
            <w:r w:rsidRPr="007C60AF">
              <w:rPr>
                <w:rFonts w:eastAsia="Arial"/>
                <w:b/>
                <w:color w:val="4472C4"/>
              </w:rPr>
              <w:t>]</w:t>
            </w:r>
            <w:r w:rsidRPr="007C60AF">
              <w:rPr>
                <w:rFonts w:eastAsia="Arial"/>
                <w:color w:val="4472C4"/>
              </w:rPr>
              <w:t xml:space="preserve">, </w:t>
            </w:r>
            <w:proofErr w:type="gramStart"/>
            <w:r w:rsidRPr="007C60AF">
              <w:rPr>
                <w:rFonts w:eastAsia="Arial"/>
                <w:color w:val="4472C4"/>
              </w:rPr>
              <w:t>evidences</w:t>
            </w:r>
            <w:proofErr w:type="gramEnd"/>
            <w:r w:rsidRPr="007C60AF">
              <w:rPr>
                <w:rFonts w:eastAsia="Arial"/>
                <w:color w:val="4472C4"/>
              </w:rPr>
              <w:t xml:space="preserve"> that the price of vegetable oil (feedstock) also substantially increased in 2022, following Russia's invasion of Ukraine:</w:t>
            </w:r>
          </w:p>
          <w:p w14:paraId="000007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tabs>
                <w:tab w:val="left" w:pos="1164"/>
              </w:tabs>
              <w:spacing w:after="0" w:line="276" w:lineRule="auto"/>
              <w:jc w:val="both"/>
              <w:rPr>
                <w:rFonts w:eastAsia="Arial"/>
                <w:color w:val="4472C4"/>
              </w:rPr>
            </w:pPr>
            <w:r w:rsidRPr="007C60AF">
              <w:rPr>
                <w:rFonts w:eastAsia="Arial"/>
                <w:color w:val="4472C4"/>
              </w:rPr>
              <w:tab/>
            </w:r>
          </w:p>
          <w:p w14:paraId="00000794" w14:textId="5815C762"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b/>
                <w:color w:val="4472C4"/>
              </w:rPr>
              <w:t xml:space="preserve">[Commercially supplied </w:t>
            </w:r>
            <w:r w:rsidR="001D126F" w:rsidRPr="007C60AF">
              <w:rPr>
                <w:rFonts w:eastAsia="Arial"/>
                <w:b/>
                <w:color w:val="4472C4"/>
              </w:rPr>
              <w:t>c</w:t>
            </w:r>
            <w:r w:rsidRPr="007C60AF">
              <w:rPr>
                <w:rFonts w:eastAsia="Arial"/>
                <w:b/>
                <w:color w:val="4472C4"/>
              </w:rPr>
              <w:t xml:space="preserve">hart </w:t>
            </w:r>
            <w:r w:rsidR="001D126F" w:rsidRPr="007C60AF">
              <w:rPr>
                <w:rFonts w:eastAsia="Arial"/>
                <w:b/>
                <w:color w:val="4472C4"/>
              </w:rPr>
              <w:t>showing monthly prices (US-$/T) from January 2006 until 12 September 2024 for different types of feedstock</w:t>
            </w:r>
            <w:r w:rsidRPr="007C60AF">
              <w:rPr>
                <w:rFonts w:eastAsia="Arial"/>
                <w:b/>
                <w:color w:val="4472C4"/>
              </w:rPr>
              <w:t>]</w:t>
            </w:r>
          </w:p>
          <w:p w14:paraId="0000079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96"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For further details regarding what affects domestic prices see Part III below.</w:t>
            </w:r>
          </w:p>
          <w:p w14:paraId="0000079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9: Volume of domestic sales (MT) for the injury period and the POI</w:t>
            </w:r>
          </w:p>
          <w:p w14:paraId="0000079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8"/>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6D732F9F" w14:textId="77777777">
              <w:tc>
                <w:tcPr>
                  <w:tcW w:w="1784" w:type="dxa"/>
                  <w:shd w:val="clear" w:color="auto" w:fill="D0CECE"/>
                </w:tcPr>
                <w:p w14:paraId="0000079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79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79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79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79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76F6DAF9" w14:textId="77777777">
              <w:tc>
                <w:tcPr>
                  <w:tcW w:w="8921" w:type="dxa"/>
                  <w:gridSpan w:val="5"/>
                  <w:shd w:val="clear" w:color="auto" w:fill="D9E2F3"/>
                </w:tcPr>
                <w:p w14:paraId="0000079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(MT)</w:t>
                  </w:r>
                </w:p>
              </w:tc>
            </w:tr>
            <w:tr w:rsidR="00416D85" w:rsidRPr="007C60AF" w14:paraId="773B782B" w14:textId="77777777">
              <w:tc>
                <w:tcPr>
                  <w:tcW w:w="1784" w:type="dxa"/>
                  <w:shd w:val="clear" w:color="auto" w:fill="D0CECE"/>
                </w:tcPr>
                <w:p w14:paraId="000007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7A5" w14:textId="11C5CFD9"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61210" w:rsidRPr="007C60AF">
                    <w:rPr>
                      <w:rFonts w:eastAsia="Arial"/>
                      <w:b/>
                      <w:color w:val="4472C4"/>
                    </w:rPr>
                    <w:t>75,000 – 100,000</w:t>
                  </w:r>
                  <w:r w:rsidRPr="007C60AF">
                    <w:rPr>
                      <w:rFonts w:eastAsia="Arial"/>
                      <w:b/>
                      <w:color w:val="4472C4"/>
                    </w:rPr>
                    <w:t>]</w:t>
                  </w:r>
                </w:p>
              </w:tc>
              <w:tc>
                <w:tcPr>
                  <w:tcW w:w="1784" w:type="dxa"/>
                </w:tcPr>
                <w:p w14:paraId="000007A6" w14:textId="59504735"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61210" w:rsidRPr="007C60AF">
                    <w:rPr>
                      <w:rFonts w:eastAsia="Arial"/>
                      <w:b/>
                      <w:color w:val="4472C4"/>
                    </w:rPr>
                    <w:t>50,000 – 75,000</w:t>
                  </w:r>
                  <w:r w:rsidRPr="007C60AF">
                    <w:rPr>
                      <w:rFonts w:eastAsia="Arial"/>
                      <w:b/>
                      <w:color w:val="4472C4"/>
                    </w:rPr>
                    <w:t>]</w:t>
                  </w:r>
                </w:p>
              </w:tc>
              <w:tc>
                <w:tcPr>
                  <w:tcW w:w="1784" w:type="dxa"/>
                </w:tcPr>
                <w:p w14:paraId="000007A7" w14:textId="25D2A3DF"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61210" w:rsidRPr="007C60AF">
                    <w:rPr>
                      <w:rFonts w:eastAsia="Arial"/>
                      <w:b/>
                      <w:color w:val="4472C4"/>
                    </w:rPr>
                    <w:t>75,000 – 100,000</w:t>
                  </w:r>
                  <w:r w:rsidRPr="007C60AF">
                    <w:rPr>
                      <w:rFonts w:eastAsia="Arial"/>
                      <w:b/>
                      <w:color w:val="4472C4"/>
                    </w:rPr>
                    <w:t>]</w:t>
                  </w:r>
                </w:p>
              </w:tc>
              <w:tc>
                <w:tcPr>
                  <w:tcW w:w="1785" w:type="dxa"/>
                </w:tcPr>
                <w:p w14:paraId="000007A8" w14:textId="19448803"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950593" w:rsidRPr="007C60AF">
                    <w:rPr>
                      <w:rFonts w:eastAsia="Arial"/>
                      <w:b/>
                      <w:color w:val="4472C4"/>
                    </w:rPr>
                    <w:t>40</w:t>
                  </w:r>
                  <w:r w:rsidR="00061210" w:rsidRPr="007C60AF">
                    <w:rPr>
                      <w:rFonts w:eastAsia="Arial"/>
                      <w:b/>
                      <w:color w:val="4472C4"/>
                    </w:rPr>
                    <w:t>,000 – 50,000</w:t>
                  </w:r>
                  <w:r w:rsidRPr="007C60AF">
                    <w:rPr>
                      <w:rFonts w:eastAsia="Arial"/>
                      <w:b/>
                      <w:color w:val="4472C4"/>
                    </w:rPr>
                    <w:t>]</w:t>
                  </w:r>
                </w:p>
              </w:tc>
            </w:tr>
            <w:tr w:rsidR="00416D85" w:rsidRPr="007C60AF" w14:paraId="3F7DF13F" w14:textId="77777777">
              <w:tc>
                <w:tcPr>
                  <w:tcW w:w="1784" w:type="dxa"/>
                  <w:shd w:val="clear" w:color="auto" w:fill="D0CECE"/>
                </w:tcPr>
                <w:p w14:paraId="000007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Index: Q2 2020 - Q1 2021 = 100</w:t>
                  </w:r>
                </w:p>
              </w:tc>
              <w:tc>
                <w:tcPr>
                  <w:tcW w:w="1784" w:type="dxa"/>
                </w:tcPr>
                <w:p w14:paraId="000007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64</w:t>
                  </w:r>
                </w:p>
              </w:tc>
              <w:tc>
                <w:tcPr>
                  <w:tcW w:w="1784" w:type="dxa"/>
                </w:tcPr>
                <w:p w14:paraId="000007A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c>
                <w:tcPr>
                  <w:tcW w:w="1785" w:type="dxa"/>
                </w:tcPr>
                <w:p w14:paraId="000007A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51</w:t>
                  </w:r>
                </w:p>
              </w:tc>
            </w:tr>
            <w:tr w:rsidR="00416D85" w:rsidRPr="007C60AF" w14:paraId="5D9CDFD1" w14:textId="77777777">
              <w:tc>
                <w:tcPr>
                  <w:tcW w:w="8921" w:type="dxa"/>
                  <w:gridSpan w:val="5"/>
                  <w:shd w:val="clear" w:color="auto" w:fill="D9E2F3"/>
                </w:tcPr>
                <w:p w14:paraId="000007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(MT)</w:t>
                  </w:r>
                </w:p>
              </w:tc>
            </w:tr>
            <w:tr w:rsidR="00416D85" w:rsidRPr="007C60AF" w14:paraId="66433E46" w14:textId="77777777">
              <w:tc>
                <w:tcPr>
                  <w:tcW w:w="1784" w:type="dxa"/>
                  <w:shd w:val="clear" w:color="auto" w:fill="D0CECE"/>
                </w:tcPr>
                <w:p w14:paraId="000007B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7B4" w14:textId="53FA0FF8"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950593" w:rsidRPr="007C60AF">
                    <w:rPr>
                      <w:rFonts w:eastAsia="Arial"/>
                      <w:b/>
                      <w:color w:val="4472C4"/>
                    </w:rPr>
                    <w:t>30</w:t>
                  </w:r>
                  <w:r w:rsidR="00C42C26" w:rsidRPr="007C60AF">
                    <w:rPr>
                      <w:rFonts w:eastAsia="Arial"/>
                      <w:b/>
                      <w:color w:val="4472C4"/>
                    </w:rPr>
                    <w:t xml:space="preserve">,000 – </w:t>
                  </w:r>
                  <w:r w:rsidR="00950593" w:rsidRPr="007C60AF">
                    <w:rPr>
                      <w:rFonts w:eastAsia="Arial"/>
                      <w:b/>
                      <w:color w:val="4472C4"/>
                    </w:rPr>
                    <w:t>4</w:t>
                  </w:r>
                  <w:r w:rsidR="00C42C26" w:rsidRPr="007C60AF">
                    <w:rPr>
                      <w:rFonts w:eastAsia="Arial"/>
                      <w:b/>
                      <w:color w:val="4472C4"/>
                    </w:rPr>
                    <w:t>0,000</w:t>
                  </w:r>
                  <w:r w:rsidRPr="007C60AF">
                    <w:rPr>
                      <w:rFonts w:eastAsia="Arial"/>
                      <w:b/>
                      <w:color w:val="4472C4"/>
                    </w:rPr>
                    <w:t>]</w:t>
                  </w:r>
                </w:p>
              </w:tc>
              <w:tc>
                <w:tcPr>
                  <w:tcW w:w="1784" w:type="dxa"/>
                </w:tcPr>
                <w:p w14:paraId="000007B5" w14:textId="3B438B2A"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75,000 – 100,000</w:t>
                  </w:r>
                  <w:r w:rsidRPr="007C60AF">
                    <w:rPr>
                      <w:rFonts w:eastAsia="Arial"/>
                      <w:b/>
                      <w:color w:val="4472C4"/>
                    </w:rPr>
                    <w:t>]</w:t>
                  </w:r>
                </w:p>
              </w:tc>
              <w:tc>
                <w:tcPr>
                  <w:tcW w:w="1784" w:type="dxa"/>
                </w:tcPr>
                <w:p w14:paraId="000007B6" w14:textId="31CDDA87"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w:t>
                  </w:r>
                  <w:r w:rsidR="00C42C26" w:rsidRPr="007C60AF">
                    <w:rPr>
                      <w:rFonts w:eastAsia="Arial"/>
                      <w:b/>
                      <w:color w:val="4472C4"/>
                    </w:rPr>
                    <w:t>,000 –</w:t>
                  </w:r>
                  <w:r w:rsidRPr="007C60AF">
                    <w:rPr>
                      <w:rFonts w:eastAsia="Arial"/>
                      <w:b/>
                      <w:color w:val="4472C4"/>
                    </w:rPr>
                    <w:t>75</w:t>
                  </w:r>
                  <w:r w:rsidR="00C42C26" w:rsidRPr="007C60AF">
                    <w:rPr>
                      <w:rFonts w:eastAsia="Arial"/>
                      <w:b/>
                      <w:color w:val="4472C4"/>
                    </w:rPr>
                    <w:t>,000</w:t>
                  </w:r>
                  <w:r w:rsidRPr="007C60AF">
                    <w:rPr>
                      <w:rFonts w:eastAsia="Arial"/>
                      <w:b/>
                      <w:color w:val="4472C4"/>
                    </w:rPr>
                    <w:t>]</w:t>
                  </w:r>
                </w:p>
              </w:tc>
              <w:tc>
                <w:tcPr>
                  <w:tcW w:w="1785" w:type="dxa"/>
                </w:tcPr>
                <w:p w14:paraId="000007B7" w14:textId="24AC5422"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50,000 – 75,000</w:t>
                  </w:r>
                  <w:r w:rsidRPr="007C60AF">
                    <w:rPr>
                      <w:rFonts w:eastAsia="Arial"/>
                      <w:b/>
                      <w:color w:val="4472C4"/>
                    </w:rPr>
                    <w:t>]</w:t>
                  </w:r>
                </w:p>
              </w:tc>
            </w:tr>
            <w:tr w:rsidR="00416D85" w:rsidRPr="007C60AF" w14:paraId="3CB8EC1B" w14:textId="77777777">
              <w:tc>
                <w:tcPr>
                  <w:tcW w:w="1784" w:type="dxa"/>
                  <w:shd w:val="clear" w:color="auto" w:fill="D0CECE"/>
                </w:tcPr>
                <w:p w14:paraId="000007B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7B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259</w:t>
                  </w:r>
                </w:p>
              </w:tc>
              <w:tc>
                <w:tcPr>
                  <w:tcW w:w="1784" w:type="dxa"/>
                </w:tcPr>
                <w:p w14:paraId="000007B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199</w:t>
                  </w:r>
                </w:p>
              </w:tc>
              <w:tc>
                <w:tcPr>
                  <w:tcW w:w="1785" w:type="dxa"/>
                </w:tcPr>
                <w:p w14:paraId="000007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167</w:t>
                  </w:r>
                </w:p>
              </w:tc>
            </w:tr>
            <w:tr w:rsidR="00416D85" w:rsidRPr="007C60AF" w14:paraId="1D469822" w14:textId="77777777">
              <w:tc>
                <w:tcPr>
                  <w:tcW w:w="8921" w:type="dxa"/>
                  <w:gridSpan w:val="5"/>
                  <w:shd w:val="clear" w:color="auto" w:fill="D9E2F3"/>
                </w:tcPr>
                <w:p w14:paraId="000007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DOMESTIC SALES (MT)</w:t>
                  </w:r>
                </w:p>
              </w:tc>
            </w:tr>
            <w:tr w:rsidR="00416D85" w:rsidRPr="007C60AF" w14:paraId="38471F67" w14:textId="77777777">
              <w:tc>
                <w:tcPr>
                  <w:tcW w:w="1784" w:type="dxa"/>
                  <w:shd w:val="clear" w:color="auto" w:fill="D0CECE"/>
                </w:tcPr>
                <w:p w14:paraId="000007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7C3" w14:textId="6225C65C"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100,000 – 1</w:t>
                  </w:r>
                  <w:r w:rsidR="00350B97" w:rsidRPr="007C60AF">
                    <w:rPr>
                      <w:rFonts w:eastAsia="Arial"/>
                      <w:b/>
                      <w:color w:val="4472C4"/>
                    </w:rPr>
                    <w:t>25</w:t>
                  </w:r>
                  <w:r w:rsidR="00C42C26" w:rsidRPr="007C60AF">
                    <w:rPr>
                      <w:rFonts w:eastAsia="Arial"/>
                      <w:b/>
                      <w:color w:val="4472C4"/>
                    </w:rPr>
                    <w:t>,000</w:t>
                  </w:r>
                  <w:r w:rsidR="00F25260" w:rsidRPr="007C60AF">
                    <w:rPr>
                      <w:rFonts w:eastAsia="Arial"/>
                      <w:b/>
                      <w:color w:val="4472C4"/>
                    </w:rPr>
                    <w:t>]</w:t>
                  </w:r>
                </w:p>
              </w:tc>
              <w:tc>
                <w:tcPr>
                  <w:tcW w:w="1784" w:type="dxa"/>
                </w:tcPr>
                <w:p w14:paraId="000007C4" w14:textId="3FC7CC62" w:rsidR="00416D85" w:rsidRPr="007C60AF" w:rsidRDefault="00F2526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1</w:t>
                  </w:r>
                  <w:r w:rsidR="00350B97" w:rsidRPr="007C60AF">
                    <w:rPr>
                      <w:rFonts w:eastAsia="Arial"/>
                      <w:b/>
                      <w:color w:val="4472C4"/>
                    </w:rPr>
                    <w:t>25</w:t>
                  </w:r>
                  <w:r w:rsidR="00C42C26" w:rsidRPr="007C60AF">
                    <w:rPr>
                      <w:rFonts w:eastAsia="Arial"/>
                      <w:b/>
                      <w:color w:val="4472C4"/>
                    </w:rPr>
                    <w:t xml:space="preserve">,000 – </w:t>
                  </w:r>
                  <w:r w:rsidRPr="007C60AF">
                    <w:rPr>
                      <w:rFonts w:eastAsia="Arial"/>
                      <w:b/>
                      <w:color w:val="4472C4"/>
                    </w:rPr>
                    <w:t>150</w:t>
                  </w:r>
                  <w:r w:rsidR="00C42C26" w:rsidRPr="007C60AF">
                    <w:rPr>
                      <w:rFonts w:eastAsia="Arial"/>
                      <w:b/>
                      <w:color w:val="4472C4"/>
                    </w:rPr>
                    <w:t>,000</w:t>
                  </w:r>
                  <w:r w:rsidRPr="007C60AF">
                    <w:rPr>
                      <w:rFonts w:eastAsia="Arial"/>
                      <w:b/>
                      <w:color w:val="4472C4"/>
                    </w:rPr>
                    <w:t>]</w:t>
                  </w:r>
                </w:p>
              </w:tc>
              <w:tc>
                <w:tcPr>
                  <w:tcW w:w="1784" w:type="dxa"/>
                </w:tcPr>
                <w:p w14:paraId="000007C5" w14:textId="142BD65F" w:rsidR="00416D85" w:rsidRPr="007C60AF" w:rsidRDefault="00F2526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1</w:t>
                  </w:r>
                  <w:r w:rsidR="00350B97" w:rsidRPr="007C60AF">
                    <w:rPr>
                      <w:rFonts w:eastAsia="Arial"/>
                      <w:b/>
                      <w:color w:val="4472C4"/>
                    </w:rPr>
                    <w:t>25</w:t>
                  </w:r>
                  <w:r w:rsidR="00C42C26" w:rsidRPr="007C60AF">
                    <w:rPr>
                      <w:rFonts w:eastAsia="Arial"/>
                      <w:b/>
                      <w:color w:val="4472C4"/>
                    </w:rPr>
                    <w:t xml:space="preserve">,000 – </w:t>
                  </w:r>
                  <w:r w:rsidRPr="007C60AF">
                    <w:rPr>
                      <w:rFonts w:eastAsia="Arial"/>
                      <w:b/>
                      <w:color w:val="4472C4"/>
                    </w:rPr>
                    <w:t>15</w:t>
                  </w:r>
                  <w:r w:rsidR="00C42C26" w:rsidRPr="007C60AF">
                    <w:rPr>
                      <w:rFonts w:eastAsia="Arial"/>
                      <w:b/>
                      <w:color w:val="4472C4"/>
                    </w:rPr>
                    <w:t>0,000</w:t>
                  </w:r>
                </w:p>
              </w:tc>
              <w:tc>
                <w:tcPr>
                  <w:tcW w:w="1785" w:type="dxa"/>
                </w:tcPr>
                <w:p w14:paraId="000007C6" w14:textId="0F7965FE" w:rsidR="00416D85" w:rsidRPr="007C60AF" w:rsidRDefault="00F2526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100,000 – 1</w:t>
                  </w:r>
                  <w:r w:rsidR="00350B97" w:rsidRPr="007C60AF">
                    <w:rPr>
                      <w:rFonts w:eastAsia="Arial"/>
                      <w:b/>
                      <w:color w:val="4472C4"/>
                    </w:rPr>
                    <w:t>25</w:t>
                  </w:r>
                  <w:r w:rsidR="00C42C26" w:rsidRPr="007C60AF">
                    <w:rPr>
                      <w:rFonts w:eastAsia="Arial"/>
                      <w:b/>
                      <w:color w:val="4472C4"/>
                    </w:rPr>
                    <w:t>,000</w:t>
                  </w:r>
                  <w:r w:rsidRPr="007C60AF">
                    <w:rPr>
                      <w:rFonts w:eastAsia="Arial"/>
                      <w:b/>
                      <w:color w:val="4472C4"/>
                    </w:rPr>
                    <w:t>]</w:t>
                  </w:r>
                </w:p>
              </w:tc>
            </w:tr>
            <w:tr w:rsidR="00416D85" w:rsidRPr="007C60AF" w14:paraId="1B8C7E19" w14:textId="77777777">
              <w:tc>
                <w:tcPr>
                  <w:tcW w:w="1784" w:type="dxa"/>
                  <w:shd w:val="clear" w:color="auto" w:fill="D0CECE"/>
                </w:tcPr>
                <w:p w14:paraId="000007C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7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C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118</w:t>
                  </w:r>
                </w:p>
              </w:tc>
              <w:tc>
                <w:tcPr>
                  <w:tcW w:w="1784" w:type="dxa"/>
                </w:tcPr>
                <w:p w14:paraId="000007C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115</w:t>
                  </w:r>
                </w:p>
              </w:tc>
              <w:tc>
                <w:tcPr>
                  <w:tcW w:w="1785" w:type="dxa"/>
                </w:tcPr>
                <w:p w14:paraId="000007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83</w:t>
                  </w:r>
                </w:p>
              </w:tc>
            </w:tr>
          </w:tbl>
          <w:p w14:paraId="000007CC" w14:textId="77777777" w:rsidR="00416D85" w:rsidRPr="007C60AF" w:rsidRDefault="00416D85">
            <w:pPr>
              <w:spacing w:after="0"/>
              <w:jc w:val="both"/>
              <w:rPr>
                <w:color w:val="4472C4"/>
              </w:rPr>
            </w:pPr>
          </w:p>
          <w:p w14:paraId="000007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10: Volume of domestic sales (MT) for Q2 2023 – Q2 2024</w:t>
            </w:r>
          </w:p>
          <w:p w14:paraId="000007C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9"/>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1400"/>
              <w:gridCol w:w="1400"/>
              <w:gridCol w:w="1400"/>
              <w:gridCol w:w="1400"/>
              <w:gridCol w:w="1371"/>
            </w:tblGrid>
            <w:tr w:rsidR="00416D85" w:rsidRPr="007C60AF" w14:paraId="77CE4A17" w14:textId="77777777">
              <w:tc>
                <w:tcPr>
                  <w:tcW w:w="1950" w:type="dxa"/>
                  <w:shd w:val="clear" w:color="auto" w:fill="D0CECE"/>
                </w:tcPr>
                <w:p w14:paraId="000007C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400" w:type="dxa"/>
                  <w:shd w:val="clear" w:color="auto" w:fill="D0CECE"/>
                </w:tcPr>
                <w:p w14:paraId="000007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400" w:type="dxa"/>
                  <w:shd w:val="clear" w:color="auto" w:fill="D0CECE"/>
                </w:tcPr>
                <w:p w14:paraId="000007D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400" w:type="dxa"/>
                  <w:shd w:val="clear" w:color="auto" w:fill="D0CECE"/>
                </w:tcPr>
                <w:p w14:paraId="000007D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400" w:type="dxa"/>
                  <w:shd w:val="clear" w:color="auto" w:fill="D0CECE"/>
                </w:tcPr>
                <w:p w14:paraId="000007D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371" w:type="dxa"/>
                  <w:shd w:val="clear" w:color="auto" w:fill="D0CECE"/>
                </w:tcPr>
                <w:p w14:paraId="000007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3FFD395C" w14:textId="77777777">
              <w:tc>
                <w:tcPr>
                  <w:tcW w:w="7550" w:type="dxa"/>
                  <w:gridSpan w:val="5"/>
                  <w:shd w:val="clear" w:color="auto" w:fill="D9E2F3"/>
                </w:tcPr>
                <w:p w14:paraId="000007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(MT)</w:t>
                  </w:r>
                </w:p>
              </w:tc>
              <w:tc>
                <w:tcPr>
                  <w:tcW w:w="1371" w:type="dxa"/>
                  <w:shd w:val="clear" w:color="auto" w:fill="D9E2F3"/>
                </w:tcPr>
                <w:p w14:paraId="000007D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708E5290" w14:textId="77777777">
              <w:tc>
                <w:tcPr>
                  <w:tcW w:w="1950" w:type="dxa"/>
                  <w:shd w:val="clear" w:color="auto" w:fill="D0CECE"/>
                </w:tcPr>
                <w:p w14:paraId="000007D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400" w:type="dxa"/>
                </w:tcPr>
                <w:p w14:paraId="000007DC" w14:textId="1641DCC9"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350B97" w:rsidRPr="007C60AF">
                    <w:rPr>
                      <w:rFonts w:eastAsia="Arial"/>
                      <w:b/>
                      <w:color w:val="4472C4"/>
                    </w:rPr>
                    <w:t>10,000</w:t>
                  </w:r>
                  <w:r w:rsidR="00C42C26" w:rsidRPr="007C60AF">
                    <w:rPr>
                      <w:rFonts w:eastAsia="Arial"/>
                      <w:b/>
                      <w:color w:val="4472C4"/>
                    </w:rPr>
                    <w:t>-2</w:t>
                  </w:r>
                  <w:r w:rsidR="00350B97" w:rsidRPr="007C60AF">
                    <w:rPr>
                      <w:rFonts w:eastAsia="Arial"/>
                      <w:b/>
                      <w:color w:val="4472C4"/>
                    </w:rPr>
                    <w:t>0</w:t>
                  </w:r>
                  <w:r w:rsidR="00C42C26" w:rsidRPr="007C60AF">
                    <w:rPr>
                      <w:rFonts w:eastAsia="Arial"/>
                      <w:b/>
                      <w:color w:val="4472C4"/>
                    </w:rPr>
                    <w:t>,000</w:t>
                  </w:r>
                  <w:r w:rsidRPr="007C60AF">
                    <w:rPr>
                      <w:rFonts w:eastAsia="Arial"/>
                      <w:b/>
                      <w:color w:val="4472C4"/>
                    </w:rPr>
                    <w:t>]</w:t>
                  </w:r>
                </w:p>
              </w:tc>
              <w:tc>
                <w:tcPr>
                  <w:tcW w:w="1400" w:type="dxa"/>
                </w:tcPr>
                <w:p w14:paraId="000007DD" w14:textId="5B980815"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350B97" w:rsidRPr="007C60AF">
                    <w:rPr>
                      <w:rFonts w:eastAsia="Arial"/>
                      <w:b/>
                      <w:color w:val="4472C4"/>
                    </w:rPr>
                    <w:t>10,000-20,000</w:t>
                  </w:r>
                  <w:r w:rsidRPr="007C60AF">
                    <w:rPr>
                      <w:rFonts w:eastAsia="Arial"/>
                      <w:b/>
                      <w:color w:val="4472C4"/>
                    </w:rPr>
                    <w:t>]</w:t>
                  </w:r>
                </w:p>
              </w:tc>
              <w:tc>
                <w:tcPr>
                  <w:tcW w:w="1400" w:type="dxa"/>
                </w:tcPr>
                <w:p w14:paraId="000007DE" w14:textId="7FA0C50F"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[9,000</w:t>
                  </w:r>
                  <w:r w:rsidR="00C42C26" w:rsidRPr="007C60AF">
                    <w:rPr>
                      <w:rFonts w:eastAsia="Arial"/>
                      <w:b/>
                      <w:color w:val="4472C4"/>
                    </w:rPr>
                    <w:t>-</w:t>
                  </w:r>
                  <w:r w:rsidRPr="007C60AF">
                    <w:rPr>
                      <w:rFonts w:eastAsia="Arial"/>
                      <w:b/>
                      <w:color w:val="4472C4"/>
                    </w:rPr>
                    <w:t>10</w:t>
                  </w:r>
                  <w:r w:rsidR="00C42C26" w:rsidRPr="007C60AF">
                    <w:rPr>
                      <w:rFonts w:eastAsia="Arial"/>
                      <w:b/>
                      <w:color w:val="4472C4"/>
                    </w:rPr>
                    <w:t>,000</w:t>
                  </w:r>
                  <w:r w:rsidRPr="007C60AF">
                    <w:rPr>
                      <w:rFonts w:eastAsia="Arial"/>
                      <w:b/>
                      <w:color w:val="4472C4"/>
                    </w:rPr>
                    <w:t>]</w:t>
                  </w:r>
                </w:p>
              </w:tc>
              <w:tc>
                <w:tcPr>
                  <w:tcW w:w="1400" w:type="dxa"/>
                </w:tcPr>
                <w:p w14:paraId="000007DF" w14:textId="11EC887E"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[7,00</w:t>
                  </w:r>
                  <w:r w:rsidR="00C42C26" w:rsidRPr="007C60AF">
                    <w:rPr>
                      <w:rFonts w:eastAsia="Arial"/>
                      <w:b/>
                      <w:color w:val="4472C4"/>
                    </w:rPr>
                    <w:t>0-</w:t>
                  </w:r>
                  <w:r w:rsidRPr="007C60AF">
                    <w:rPr>
                      <w:rFonts w:eastAsia="Arial"/>
                      <w:b/>
                      <w:color w:val="4472C4"/>
                    </w:rPr>
                    <w:t>8</w:t>
                  </w:r>
                  <w:r w:rsidR="00C42C26" w:rsidRPr="007C60AF">
                    <w:rPr>
                      <w:rFonts w:eastAsia="Arial"/>
                      <w:b/>
                      <w:color w:val="4472C4"/>
                    </w:rPr>
                    <w:t>,000</w:t>
                  </w:r>
                  <w:r w:rsidRPr="007C60AF">
                    <w:rPr>
                      <w:rFonts w:eastAsia="Arial"/>
                      <w:b/>
                      <w:color w:val="4472C4"/>
                    </w:rPr>
                    <w:t>]</w:t>
                  </w:r>
                </w:p>
              </w:tc>
              <w:tc>
                <w:tcPr>
                  <w:tcW w:w="1371" w:type="dxa"/>
                </w:tcPr>
                <w:p w14:paraId="000007E0" w14:textId="00C184BC"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350B97" w:rsidRPr="007C60AF">
                    <w:rPr>
                      <w:rFonts w:eastAsia="Arial"/>
                      <w:b/>
                      <w:color w:val="4472C4"/>
                    </w:rPr>
                    <w:t>20,000-30,000</w:t>
                  </w:r>
                  <w:r w:rsidRPr="007C60AF">
                    <w:rPr>
                      <w:rFonts w:eastAsia="Arial"/>
                      <w:b/>
                      <w:color w:val="4472C4"/>
                    </w:rPr>
                    <w:t>]</w:t>
                  </w:r>
                </w:p>
              </w:tc>
            </w:tr>
            <w:tr w:rsidR="00416D85" w:rsidRPr="007C60AF" w14:paraId="1F025DD8" w14:textId="77777777">
              <w:tc>
                <w:tcPr>
                  <w:tcW w:w="1950" w:type="dxa"/>
                  <w:shd w:val="clear" w:color="auto" w:fill="D0CECE"/>
                </w:tcPr>
                <w:p w14:paraId="000007E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400" w:type="dxa"/>
                </w:tcPr>
                <w:p w14:paraId="000007E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400" w:type="dxa"/>
                </w:tcPr>
                <w:p w14:paraId="000007E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108</w:t>
                  </w:r>
                </w:p>
              </w:tc>
              <w:tc>
                <w:tcPr>
                  <w:tcW w:w="1400" w:type="dxa"/>
                </w:tcPr>
                <w:p w14:paraId="000007E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65</w:t>
                  </w:r>
                </w:p>
              </w:tc>
              <w:tc>
                <w:tcPr>
                  <w:tcW w:w="1400" w:type="dxa"/>
                </w:tcPr>
                <w:p w14:paraId="000007E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54</w:t>
                  </w:r>
                </w:p>
              </w:tc>
              <w:tc>
                <w:tcPr>
                  <w:tcW w:w="1371" w:type="dxa"/>
                </w:tcPr>
                <w:p w14:paraId="000007E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169</w:t>
                  </w:r>
                </w:p>
              </w:tc>
            </w:tr>
            <w:tr w:rsidR="00416D85" w:rsidRPr="007C60AF" w14:paraId="38D6E0F1" w14:textId="77777777">
              <w:tc>
                <w:tcPr>
                  <w:tcW w:w="7550" w:type="dxa"/>
                  <w:gridSpan w:val="5"/>
                  <w:shd w:val="clear" w:color="auto" w:fill="D9E2F3"/>
                </w:tcPr>
                <w:p w14:paraId="000007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(MT)</w:t>
                  </w:r>
                </w:p>
              </w:tc>
              <w:tc>
                <w:tcPr>
                  <w:tcW w:w="1371" w:type="dxa"/>
                  <w:shd w:val="clear" w:color="auto" w:fill="D9E2F3"/>
                </w:tcPr>
                <w:p w14:paraId="000007E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26803D3E" w14:textId="77777777">
              <w:tc>
                <w:tcPr>
                  <w:tcW w:w="1950" w:type="dxa"/>
                  <w:shd w:val="clear" w:color="auto" w:fill="D0CECE"/>
                </w:tcPr>
                <w:p w14:paraId="000007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400" w:type="dxa"/>
                </w:tcPr>
                <w:p w14:paraId="000007EE" w14:textId="0B6B24D8"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B5A91" w:rsidRPr="007C60AF">
                    <w:rPr>
                      <w:rFonts w:eastAsia="Arial"/>
                      <w:b/>
                      <w:color w:val="4472C4"/>
                    </w:rPr>
                    <w:t>20,000-30,000</w:t>
                  </w:r>
                  <w:r w:rsidRPr="007C60AF">
                    <w:rPr>
                      <w:rFonts w:eastAsia="Arial"/>
                      <w:b/>
                      <w:color w:val="4472C4"/>
                    </w:rPr>
                    <w:t>]</w:t>
                  </w:r>
                </w:p>
              </w:tc>
              <w:tc>
                <w:tcPr>
                  <w:tcW w:w="1400" w:type="dxa"/>
                </w:tcPr>
                <w:p w14:paraId="000007EF" w14:textId="28711ADC"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B5A91" w:rsidRPr="007C60AF">
                    <w:rPr>
                      <w:rFonts w:eastAsia="Arial"/>
                      <w:b/>
                      <w:color w:val="4472C4"/>
                    </w:rPr>
                    <w:t>10,000-20,000</w:t>
                  </w:r>
                  <w:r w:rsidRPr="007C60AF">
                    <w:rPr>
                      <w:rFonts w:eastAsia="Arial"/>
                      <w:b/>
                      <w:color w:val="4472C4"/>
                    </w:rPr>
                    <w:t>]</w:t>
                  </w:r>
                </w:p>
              </w:tc>
              <w:tc>
                <w:tcPr>
                  <w:tcW w:w="1400" w:type="dxa"/>
                </w:tcPr>
                <w:p w14:paraId="000007F0" w14:textId="54864E45"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B5A91" w:rsidRPr="007C60AF">
                    <w:rPr>
                      <w:rFonts w:eastAsia="Arial"/>
                      <w:b/>
                      <w:color w:val="4472C4"/>
                    </w:rPr>
                    <w:t>10,000-20,000</w:t>
                  </w:r>
                  <w:r w:rsidRPr="007C60AF">
                    <w:rPr>
                      <w:rFonts w:eastAsia="Arial"/>
                      <w:b/>
                      <w:color w:val="4472C4"/>
                    </w:rPr>
                    <w:t>]</w:t>
                  </w:r>
                </w:p>
              </w:tc>
              <w:tc>
                <w:tcPr>
                  <w:tcW w:w="1400" w:type="dxa"/>
                </w:tcPr>
                <w:p w14:paraId="000007F1" w14:textId="4866B76B"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[6,000</w:t>
                  </w:r>
                  <w:r w:rsidR="00C42C26" w:rsidRPr="007C60AF">
                    <w:rPr>
                      <w:rFonts w:eastAsia="Arial"/>
                      <w:b/>
                      <w:color w:val="4472C4"/>
                    </w:rPr>
                    <w:t>-</w:t>
                  </w:r>
                  <w:r w:rsidRPr="007C60AF">
                    <w:rPr>
                      <w:rFonts w:eastAsia="Arial"/>
                      <w:b/>
                      <w:color w:val="4472C4"/>
                    </w:rPr>
                    <w:t>7</w:t>
                  </w:r>
                  <w:r w:rsidR="00C42C26" w:rsidRPr="007C60AF">
                    <w:rPr>
                      <w:rFonts w:eastAsia="Arial"/>
                      <w:b/>
                      <w:color w:val="4472C4"/>
                    </w:rPr>
                    <w:t>,000</w:t>
                  </w:r>
                  <w:r w:rsidRPr="007C60AF">
                    <w:rPr>
                      <w:rFonts w:eastAsia="Arial"/>
                      <w:b/>
                      <w:color w:val="4472C4"/>
                    </w:rPr>
                    <w:t>]</w:t>
                  </w:r>
                </w:p>
              </w:tc>
              <w:tc>
                <w:tcPr>
                  <w:tcW w:w="1371" w:type="dxa"/>
                </w:tcPr>
                <w:p w14:paraId="000007F2" w14:textId="7B725E32"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[6,00</w:t>
                  </w:r>
                  <w:r w:rsidR="001867E1" w:rsidRPr="007C60AF">
                    <w:rPr>
                      <w:rFonts w:eastAsia="Arial"/>
                      <w:b/>
                      <w:color w:val="4472C4"/>
                    </w:rPr>
                    <w:t>0-</w:t>
                  </w:r>
                  <w:r w:rsidRPr="007C60AF">
                    <w:rPr>
                      <w:rFonts w:eastAsia="Arial"/>
                      <w:b/>
                      <w:color w:val="4472C4"/>
                    </w:rPr>
                    <w:t>7</w:t>
                  </w:r>
                  <w:r w:rsidR="001867E1" w:rsidRPr="007C60AF">
                    <w:rPr>
                      <w:rFonts w:eastAsia="Arial"/>
                      <w:b/>
                      <w:color w:val="4472C4"/>
                    </w:rPr>
                    <w:t>,000</w:t>
                  </w:r>
                  <w:r w:rsidRPr="007C60AF">
                    <w:rPr>
                      <w:rFonts w:eastAsia="Arial"/>
                      <w:b/>
                      <w:color w:val="4472C4"/>
                    </w:rPr>
                    <w:t>]</w:t>
                  </w:r>
                </w:p>
              </w:tc>
            </w:tr>
            <w:tr w:rsidR="00416D85" w:rsidRPr="007C60AF" w14:paraId="20BA3623" w14:textId="77777777">
              <w:tc>
                <w:tcPr>
                  <w:tcW w:w="1950" w:type="dxa"/>
                  <w:shd w:val="clear" w:color="auto" w:fill="D0CECE"/>
                </w:tcPr>
                <w:p w14:paraId="000007F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400" w:type="dxa"/>
                </w:tcPr>
                <w:p w14:paraId="000007F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400" w:type="dxa"/>
                </w:tcPr>
                <w:p w14:paraId="000007F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51</w:t>
                  </w:r>
                </w:p>
              </w:tc>
              <w:tc>
                <w:tcPr>
                  <w:tcW w:w="1400" w:type="dxa"/>
                </w:tcPr>
                <w:p w14:paraId="000007F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44</w:t>
                  </w:r>
                </w:p>
              </w:tc>
              <w:tc>
                <w:tcPr>
                  <w:tcW w:w="1400" w:type="dxa"/>
                </w:tcPr>
                <w:p w14:paraId="000007F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23</w:t>
                  </w:r>
                </w:p>
              </w:tc>
              <w:tc>
                <w:tcPr>
                  <w:tcW w:w="1371" w:type="dxa"/>
                </w:tcPr>
                <w:p w14:paraId="000007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24</w:t>
                  </w:r>
                </w:p>
              </w:tc>
            </w:tr>
            <w:tr w:rsidR="00416D85" w:rsidRPr="007C60AF" w14:paraId="22BBA28D" w14:textId="77777777">
              <w:tc>
                <w:tcPr>
                  <w:tcW w:w="7550" w:type="dxa"/>
                  <w:gridSpan w:val="5"/>
                  <w:shd w:val="clear" w:color="auto" w:fill="D9E2F3"/>
                </w:tcPr>
                <w:p w14:paraId="000007F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DOMESTIC SALES (MT)</w:t>
                  </w:r>
                </w:p>
              </w:tc>
              <w:tc>
                <w:tcPr>
                  <w:tcW w:w="1371" w:type="dxa"/>
                  <w:shd w:val="clear" w:color="auto" w:fill="D9E2F3"/>
                </w:tcPr>
                <w:p w14:paraId="000007F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1357B9CA" w14:textId="77777777">
              <w:tc>
                <w:tcPr>
                  <w:tcW w:w="1950" w:type="dxa"/>
                  <w:shd w:val="clear" w:color="auto" w:fill="D0CECE"/>
                </w:tcPr>
                <w:p w14:paraId="000007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400" w:type="dxa"/>
                </w:tcPr>
                <w:p w14:paraId="00000800" w14:textId="48441DFD"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97E81" w:rsidRPr="007C60AF">
                    <w:rPr>
                      <w:rFonts w:eastAsia="Arial"/>
                      <w:b/>
                      <w:color w:val="4472C4"/>
                    </w:rPr>
                    <w:t>40</w:t>
                  </w:r>
                  <w:r w:rsidR="001867E1" w:rsidRPr="007C60AF">
                    <w:rPr>
                      <w:rFonts w:eastAsia="Arial"/>
                      <w:b/>
                      <w:color w:val="4472C4"/>
                    </w:rPr>
                    <w:t>,000 – 50,000</w:t>
                  </w:r>
                  <w:r w:rsidRPr="007C60AF">
                    <w:rPr>
                      <w:rFonts w:eastAsia="Arial"/>
                      <w:b/>
                      <w:color w:val="4472C4"/>
                    </w:rPr>
                    <w:t>]</w:t>
                  </w:r>
                </w:p>
              </w:tc>
              <w:tc>
                <w:tcPr>
                  <w:tcW w:w="1400" w:type="dxa"/>
                </w:tcPr>
                <w:p w14:paraId="00000801" w14:textId="783F457A"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867E1" w:rsidRPr="007C60AF">
                    <w:rPr>
                      <w:rFonts w:eastAsia="Arial"/>
                      <w:b/>
                      <w:color w:val="4472C4"/>
                    </w:rPr>
                    <w:t>2</w:t>
                  </w:r>
                  <w:r w:rsidR="00797E81" w:rsidRPr="007C60AF">
                    <w:rPr>
                      <w:rFonts w:eastAsia="Arial"/>
                      <w:b/>
                      <w:color w:val="4472C4"/>
                    </w:rPr>
                    <w:t>0</w:t>
                  </w:r>
                  <w:r w:rsidR="001867E1" w:rsidRPr="007C60AF">
                    <w:rPr>
                      <w:rFonts w:eastAsia="Arial"/>
                      <w:b/>
                      <w:color w:val="4472C4"/>
                    </w:rPr>
                    <w:t xml:space="preserve">,000 – </w:t>
                  </w:r>
                  <w:r w:rsidR="00797E81" w:rsidRPr="007C60AF">
                    <w:rPr>
                      <w:rFonts w:eastAsia="Arial"/>
                      <w:b/>
                      <w:color w:val="4472C4"/>
                    </w:rPr>
                    <w:t>3</w:t>
                  </w:r>
                  <w:r w:rsidR="001867E1" w:rsidRPr="007C60AF">
                    <w:rPr>
                      <w:rFonts w:eastAsia="Arial"/>
                      <w:b/>
                      <w:color w:val="4472C4"/>
                    </w:rPr>
                    <w:t>0,000</w:t>
                  </w:r>
                  <w:r w:rsidRPr="007C60AF">
                    <w:rPr>
                      <w:rFonts w:eastAsia="Arial"/>
                      <w:b/>
                      <w:color w:val="4472C4"/>
                    </w:rPr>
                    <w:t>]</w:t>
                  </w:r>
                </w:p>
              </w:tc>
              <w:tc>
                <w:tcPr>
                  <w:tcW w:w="1400" w:type="dxa"/>
                </w:tcPr>
                <w:p w14:paraId="00000802" w14:textId="2E595FF8"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97E81" w:rsidRPr="007C60AF">
                    <w:rPr>
                      <w:rFonts w:eastAsia="Arial"/>
                      <w:b/>
                      <w:color w:val="4472C4"/>
                    </w:rPr>
                    <w:t>20,000 – 30,000</w:t>
                  </w:r>
                  <w:r w:rsidRPr="007C60AF">
                    <w:rPr>
                      <w:rFonts w:eastAsia="Arial"/>
                      <w:b/>
                      <w:color w:val="4472C4"/>
                    </w:rPr>
                    <w:t>]</w:t>
                  </w:r>
                </w:p>
              </w:tc>
              <w:tc>
                <w:tcPr>
                  <w:tcW w:w="1400" w:type="dxa"/>
                </w:tcPr>
                <w:p w14:paraId="00000803" w14:textId="35C3704E"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97E81" w:rsidRPr="007C60AF">
                    <w:rPr>
                      <w:rFonts w:eastAsia="Arial"/>
                      <w:b/>
                      <w:color w:val="4472C4"/>
                    </w:rPr>
                    <w:t>10,000 – 20,000</w:t>
                  </w:r>
                  <w:r w:rsidRPr="007C60AF">
                    <w:rPr>
                      <w:rFonts w:eastAsia="Arial"/>
                      <w:b/>
                      <w:color w:val="4472C4"/>
                    </w:rPr>
                    <w:t>]</w:t>
                  </w:r>
                </w:p>
              </w:tc>
              <w:tc>
                <w:tcPr>
                  <w:tcW w:w="1371" w:type="dxa"/>
                </w:tcPr>
                <w:p w14:paraId="00000804" w14:textId="2B5FF909"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97E81" w:rsidRPr="007C60AF">
                    <w:rPr>
                      <w:rFonts w:eastAsia="Arial"/>
                      <w:b/>
                      <w:color w:val="4472C4"/>
                    </w:rPr>
                    <w:t>30</w:t>
                  </w:r>
                  <w:r w:rsidR="001867E1" w:rsidRPr="007C60AF">
                    <w:rPr>
                      <w:rFonts w:eastAsia="Arial"/>
                      <w:b/>
                      <w:color w:val="4472C4"/>
                    </w:rPr>
                    <w:t xml:space="preserve">,000 – </w:t>
                  </w:r>
                  <w:r w:rsidR="00797E81" w:rsidRPr="007C60AF">
                    <w:rPr>
                      <w:rFonts w:eastAsia="Arial"/>
                      <w:b/>
                      <w:color w:val="4472C4"/>
                    </w:rPr>
                    <w:t>4</w:t>
                  </w:r>
                  <w:r w:rsidR="001867E1" w:rsidRPr="007C60AF">
                    <w:rPr>
                      <w:rFonts w:eastAsia="Arial"/>
                      <w:b/>
                      <w:color w:val="4472C4"/>
                    </w:rPr>
                    <w:t>0,000</w:t>
                  </w:r>
                  <w:r w:rsidRPr="007C60AF">
                    <w:rPr>
                      <w:rFonts w:eastAsia="Arial"/>
                      <w:b/>
                      <w:color w:val="4472C4"/>
                    </w:rPr>
                    <w:t>]</w:t>
                  </w:r>
                </w:p>
              </w:tc>
            </w:tr>
            <w:tr w:rsidR="00416D85" w:rsidRPr="007C60AF" w14:paraId="277F4790" w14:textId="77777777">
              <w:tc>
                <w:tcPr>
                  <w:tcW w:w="1950" w:type="dxa"/>
                  <w:shd w:val="clear" w:color="auto" w:fill="D0CECE"/>
                </w:tcPr>
                <w:p w14:paraId="0000080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Index: Q2 2023 = 100</w:t>
                  </w:r>
                </w:p>
              </w:tc>
              <w:tc>
                <w:tcPr>
                  <w:tcW w:w="1400" w:type="dxa"/>
                </w:tcPr>
                <w:p w14:paraId="0000080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400" w:type="dxa"/>
                </w:tcPr>
                <w:p w14:paraId="0000080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c>
                <w:tcPr>
                  <w:tcW w:w="1400" w:type="dxa"/>
                </w:tcPr>
                <w:p w14:paraId="0000080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52</w:t>
                  </w:r>
                </w:p>
              </w:tc>
              <w:tc>
                <w:tcPr>
                  <w:tcW w:w="1400" w:type="dxa"/>
                </w:tcPr>
                <w:p w14:paraId="0000080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34</w:t>
                  </w:r>
                </w:p>
              </w:tc>
              <w:tc>
                <w:tcPr>
                  <w:tcW w:w="1371" w:type="dxa"/>
                </w:tcPr>
                <w:p w14:paraId="000008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75</w:t>
                  </w:r>
                </w:p>
              </w:tc>
            </w:tr>
          </w:tbl>
          <w:p w14:paraId="0000080B" w14:textId="77777777" w:rsidR="00416D85" w:rsidRPr="007C60AF" w:rsidRDefault="00416D85">
            <w:pPr>
              <w:spacing w:after="0"/>
              <w:jc w:val="both"/>
              <w:rPr>
                <w:color w:val="4472C4"/>
              </w:rPr>
            </w:pPr>
          </w:p>
          <w:p w14:paraId="000008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i/>
                <w:color w:val="4472C4"/>
              </w:rPr>
            </w:pPr>
            <w:r w:rsidRPr="007C60AF">
              <w:rPr>
                <w:rFonts w:eastAsia="Arial"/>
                <w:i/>
                <w:color w:val="4472C4"/>
              </w:rPr>
              <w:t>Table 11: Value of domestic sales (GBP) for the injury period and the POI</w:t>
            </w:r>
          </w:p>
          <w:p w14:paraId="0000080D" w14:textId="77777777" w:rsidR="00416D85" w:rsidRPr="007C60AF" w:rsidRDefault="00416D85">
            <w:pPr>
              <w:spacing w:after="0"/>
              <w:jc w:val="both"/>
              <w:rPr>
                <w:b/>
                <w:color w:val="4472C4"/>
              </w:rPr>
            </w:pPr>
          </w:p>
          <w:tbl>
            <w:tblPr>
              <w:tblStyle w:val="affffffa"/>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58E9163C" w14:textId="77777777">
              <w:tc>
                <w:tcPr>
                  <w:tcW w:w="1784" w:type="dxa"/>
                  <w:shd w:val="clear" w:color="auto" w:fill="D0CECE"/>
                </w:tcPr>
                <w:p w14:paraId="0000080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80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81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81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81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106DB1C" w14:textId="77777777">
              <w:tc>
                <w:tcPr>
                  <w:tcW w:w="8921" w:type="dxa"/>
                  <w:gridSpan w:val="5"/>
                  <w:shd w:val="clear" w:color="auto" w:fill="D9E2F3"/>
                </w:tcPr>
                <w:p w14:paraId="0000081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(GBP)</w:t>
                  </w:r>
                </w:p>
              </w:tc>
            </w:tr>
            <w:tr w:rsidR="00416D85" w:rsidRPr="007C60AF" w14:paraId="7F107671" w14:textId="77777777">
              <w:tc>
                <w:tcPr>
                  <w:tcW w:w="1784" w:type="dxa"/>
                  <w:shd w:val="clear" w:color="auto" w:fill="D0CECE"/>
                </w:tcPr>
                <w:p w14:paraId="000008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819" w14:textId="0E8DE997"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30320" w:rsidRPr="007C60AF">
                    <w:rPr>
                      <w:rFonts w:eastAsia="Arial"/>
                      <w:b/>
                      <w:color w:val="4472C4"/>
                    </w:rPr>
                    <w:t>80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 – 90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784" w:type="dxa"/>
                </w:tcPr>
                <w:p w14:paraId="0000081A" w14:textId="40E3E3B9"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30320" w:rsidRPr="007C60AF">
                    <w:rPr>
                      <w:rFonts w:eastAsia="Arial"/>
                      <w:b/>
                      <w:color w:val="4472C4"/>
                    </w:rPr>
                    <w:t>60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 xml:space="preserve">000 </w:t>
                  </w:r>
                  <w:r w:rsidRPr="007C60AF">
                    <w:rPr>
                      <w:rFonts w:eastAsia="Arial"/>
                      <w:b/>
                      <w:color w:val="4472C4"/>
                    </w:rPr>
                    <w:t>–</w:t>
                  </w:r>
                  <w:r w:rsidR="00130320" w:rsidRPr="007C60AF">
                    <w:rPr>
                      <w:rFonts w:eastAsia="Arial"/>
                      <w:b/>
                      <w:color w:val="4472C4"/>
                    </w:rPr>
                    <w:t xml:space="preserve"> 70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784" w:type="dxa"/>
                </w:tcPr>
                <w:p w14:paraId="0000081B" w14:textId="40F1A713"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30320" w:rsidRPr="007C60AF">
                    <w:rPr>
                      <w:rFonts w:eastAsia="Arial"/>
                      <w:b/>
                      <w:color w:val="4472C4"/>
                    </w:rPr>
                    <w:t>1</w:t>
                  </w:r>
                  <w:r w:rsidRPr="007C60AF">
                    <w:rPr>
                      <w:rFonts w:eastAsia="Arial"/>
                      <w:b/>
                      <w:color w:val="4472C4"/>
                    </w:rPr>
                    <w:t>0</w:t>
                  </w:r>
                  <w:r w:rsidR="00130320" w:rsidRPr="007C60AF">
                    <w:rPr>
                      <w:rFonts w:eastAsia="Arial"/>
                      <w:b/>
                      <w:color w:val="4472C4"/>
                    </w:rPr>
                    <w:t>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 xml:space="preserve">000 </w:t>
                  </w:r>
                  <w:r w:rsidRPr="007C60AF">
                    <w:rPr>
                      <w:rFonts w:eastAsia="Arial"/>
                      <w:b/>
                      <w:color w:val="4472C4"/>
                    </w:rPr>
                    <w:t>–</w:t>
                  </w:r>
                  <w:r w:rsidR="00130320" w:rsidRPr="007C60AF">
                    <w:rPr>
                      <w:rFonts w:eastAsia="Arial"/>
                      <w:b/>
                      <w:color w:val="4472C4"/>
                    </w:rPr>
                    <w:t xml:space="preserve"> 15</w:t>
                  </w:r>
                  <w:r w:rsidRPr="007C60AF">
                    <w:rPr>
                      <w:rFonts w:eastAsia="Arial"/>
                      <w:b/>
                      <w:color w:val="4472C4"/>
                    </w:rPr>
                    <w:t>0,</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785" w:type="dxa"/>
                </w:tcPr>
                <w:p w14:paraId="0000081C" w14:textId="5034EC32"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[40,000,000 –</w:t>
                  </w:r>
                  <w:r w:rsidR="00130320" w:rsidRPr="007C60AF">
                    <w:rPr>
                      <w:rFonts w:eastAsia="Arial"/>
                      <w:b/>
                      <w:color w:val="4472C4"/>
                    </w:rPr>
                    <w:t xml:space="preserve"> </w:t>
                  </w:r>
                  <w:r w:rsidR="00E641A6" w:rsidRPr="007C60AF">
                    <w:rPr>
                      <w:rFonts w:eastAsia="Arial"/>
                      <w:b/>
                      <w:color w:val="4472C4"/>
                    </w:rPr>
                    <w:t>5</w:t>
                  </w:r>
                  <w:r w:rsidRPr="007C60AF">
                    <w:rPr>
                      <w:rFonts w:eastAsia="Arial"/>
                      <w:b/>
                      <w:color w:val="4472C4"/>
                    </w:rPr>
                    <w:t>0,000,000]</w:t>
                  </w:r>
                </w:p>
              </w:tc>
            </w:tr>
            <w:tr w:rsidR="00416D85" w:rsidRPr="007C60AF" w14:paraId="359CD2E0" w14:textId="77777777">
              <w:tc>
                <w:tcPr>
                  <w:tcW w:w="1784" w:type="dxa"/>
                  <w:shd w:val="clear" w:color="auto" w:fill="D0CECE"/>
                </w:tcPr>
                <w:p w14:paraId="0000081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1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78</w:t>
                  </w:r>
                </w:p>
              </w:tc>
              <w:tc>
                <w:tcPr>
                  <w:tcW w:w="1784" w:type="dxa"/>
                </w:tcPr>
                <w:p w14:paraId="000008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140</w:t>
                  </w:r>
                </w:p>
              </w:tc>
              <w:tc>
                <w:tcPr>
                  <w:tcW w:w="1785" w:type="dxa"/>
                </w:tcPr>
                <w:p w14:paraId="000008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58</w:t>
                  </w:r>
                </w:p>
              </w:tc>
            </w:tr>
            <w:tr w:rsidR="00416D85" w:rsidRPr="007C60AF" w14:paraId="5C52AA20" w14:textId="77777777">
              <w:tc>
                <w:tcPr>
                  <w:tcW w:w="8921" w:type="dxa"/>
                  <w:gridSpan w:val="5"/>
                  <w:shd w:val="clear" w:color="auto" w:fill="D9E2F3"/>
                </w:tcPr>
                <w:p w14:paraId="000008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(GBP)</w:t>
                  </w:r>
                </w:p>
              </w:tc>
            </w:tr>
            <w:tr w:rsidR="00416D85" w:rsidRPr="007C60AF" w14:paraId="6A5563CA" w14:textId="77777777">
              <w:tc>
                <w:tcPr>
                  <w:tcW w:w="1784" w:type="dxa"/>
                  <w:shd w:val="clear" w:color="auto" w:fill="D0CECE"/>
                </w:tcPr>
                <w:p w14:paraId="0000082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828" w14:textId="0D280AD3"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[30,000,000-</w:t>
                  </w:r>
                  <w:r w:rsidR="00797E81" w:rsidRPr="007C60AF">
                    <w:rPr>
                      <w:rFonts w:eastAsia="Arial"/>
                      <w:b/>
                      <w:color w:val="4472C4"/>
                    </w:rPr>
                    <w:t>35</w:t>
                  </w:r>
                  <w:r w:rsidRPr="007C60AF">
                    <w:rPr>
                      <w:rFonts w:eastAsia="Arial"/>
                      <w:b/>
                      <w:color w:val="4472C4"/>
                    </w:rPr>
                    <w:t>,000,000]</w:t>
                  </w:r>
                </w:p>
              </w:tc>
              <w:tc>
                <w:tcPr>
                  <w:tcW w:w="1784" w:type="dxa"/>
                </w:tcPr>
                <w:p w14:paraId="00000829" w14:textId="19561C06"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[100,000,000-150,000,000]</w:t>
                  </w:r>
                </w:p>
              </w:tc>
              <w:tc>
                <w:tcPr>
                  <w:tcW w:w="1784" w:type="dxa"/>
                </w:tcPr>
                <w:p w14:paraId="0000082A" w14:textId="177DCE33"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[100,000,000-150,000,000]</w:t>
                  </w:r>
                </w:p>
              </w:tc>
              <w:tc>
                <w:tcPr>
                  <w:tcW w:w="1785" w:type="dxa"/>
                </w:tcPr>
                <w:p w14:paraId="0000082B" w14:textId="505C40F6"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[50,000,000-60,000,000]</w:t>
                  </w:r>
                </w:p>
              </w:tc>
            </w:tr>
            <w:tr w:rsidR="00416D85" w:rsidRPr="007C60AF" w14:paraId="68E2383D" w14:textId="77777777">
              <w:tc>
                <w:tcPr>
                  <w:tcW w:w="1784" w:type="dxa"/>
                  <w:shd w:val="clear" w:color="auto" w:fill="D0CECE"/>
                </w:tcPr>
                <w:p w14:paraId="000008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2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2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350</w:t>
                  </w:r>
                </w:p>
              </w:tc>
              <w:tc>
                <w:tcPr>
                  <w:tcW w:w="1784" w:type="dxa"/>
                </w:tcPr>
                <w:p w14:paraId="0000082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343</w:t>
                  </w:r>
                </w:p>
              </w:tc>
              <w:tc>
                <w:tcPr>
                  <w:tcW w:w="1785" w:type="dxa"/>
                </w:tcPr>
                <w:p w14:paraId="0000083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188</w:t>
                  </w:r>
                </w:p>
              </w:tc>
            </w:tr>
            <w:tr w:rsidR="00416D85" w:rsidRPr="007C60AF" w14:paraId="49945FAA" w14:textId="77777777">
              <w:tc>
                <w:tcPr>
                  <w:tcW w:w="8921" w:type="dxa"/>
                  <w:gridSpan w:val="5"/>
                  <w:shd w:val="clear" w:color="auto" w:fill="D9E2F3"/>
                </w:tcPr>
                <w:p w14:paraId="0000083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DOMESTIC SALES (GBP)</w:t>
                  </w:r>
                </w:p>
              </w:tc>
            </w:tr>
            <w:tr w:rsidR="00416D85" w:rsidRPr="007C60AF" w14:paraId="5C26DEFD" w14:textId="77777777">
              <w:tc>
                <w:tcPr>
                  <w:tcW w:w="1784" w:type="dxa"/>
                  <w:shd w:val="clear" w:color="auto" w:fill="D0CECE"/>
                </w:tcPr>
                <w:p w14:paraId="000008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837" w14:textId="503C3A9B"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[100,000,000-150,000,000]</w:t>
                  </w:r>
                </w:p>
              </w:tc>
              <w:tc>
                <w:tcPr>
                  <w:tcW w:w="1784" w:type="dxa"/>
                </w:tcPr>
                <w:p w14:paraId="00000838" w14:textId="31A13C2D"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[150,000,000-200,000,000]</w:t>
                  </w:r>
                </w:p>
              </w:tc>
              <w:tc>
                <w:tcPr>
                  <w:tcW w:w="1784" w:type="dxa"/>
                </w:tcPr>
                <w:p w14:paraId="00000839" w14:textId="118E6B75"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[200,000,000-250,000,000]</w:t>
                  </w:r>
                </w:p>
              </w:tc>
              <w:tc>
                <w:tcPr>
                  <w:tcW w:w="1785" w:type="dxa"/>
                </w:tcPr>
                <w:p w14:paraId="0000083A" w14:textId="1FBD2A91"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[100,000,000-150,000,000]</w:t>
                  </w:r>
                </w:p>
              </w:tc>
            </w:tr>
            <w:tr w:rsidR="00416D85" w:rsidRPr="007C60AF" w14:paraId="5A456EC5" w14:textId="77777777">
              <w:tc>
                <w:tcPr>
                  <w:tcW w:w="1784" w:type="dxa"/>
                  <w:shd w:val="clear" w:color="auto" w:fill="D0CECE"/>
                </w:tcPr>
                <w:p w14:paraId="000008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3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3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153</w:t>
                  </w:r>
                </w:p>
              </w:tc>
              <w:tc>
                <w:tcPr>
                  <w:tcW w:w="1784" w:type="dxa"/>
                </w:tcPr>
                <w:p w14:paraId="0000083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196</w:t>
                  </w:r>
                </w:p>
              </w:tc>
              <w:tc>
                <w:tcPr>
                  <w:tcW w:w="1785" w:type="dxa"/>
                </w:tcPr>
                <w:p w14:paraId="0000083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94</w:t>
                  </w:r>
                </w:p>
              </w:tc>
            </w:tr>
          </w:tbl>
          <w:p w14:paraId="00000840" w14:textId="77777777" w:rsidR="00416D85" w:rsidRPr="007C60AF" w:rsidRDefault="00416D85">
            <w:pPr>
              <w:spacing w:after="0"/>
              <w:jc w:val="both"/>
              <w:rPr>
                <w:color w:val="4472C4"/>
              </w:rPr>
            </w:pPr>
          </w:p>
          <w:p w14:paraId="0000084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12: Value of domestic sales (GBP) for Q2 2023 – Q2 2024</w:t>
            </w:r>
          </w:p>
          <w:p w14:paraId="0000084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b"/>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34B753C2" w14:textId="77777777">
              <w:tc>
                <w:tcPr>
                  <w:tcW w:w="1163" w:type="dxa"/>
                  <w:shd w:val="clear" w:color="auto" w:fill="D0CECE"/>
                </w:tcPr>
                <w:p w14:paraId="0000084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551" w:type="dxa"/>
                  <w:shd w:val="clear" w:color="auto" w:fill="D0CECE"/>
                </w:tcPr>
                <w:p w14:paraId="0000084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84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84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8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8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8150B4C" w14:textId="77777777">
              <w:tc>
                <w:tcPr>
                  <w:tcW w:w="7369" w:type="dxa"/>
                  <w:gridSpan w:val="5"/>
                  <w:shd w:val="clear" w:color="auto" w:fill="D9E2F3"/>
                </w:tcPr>
                <w:p w14:paraId="000008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(GBP)</w:t>
                  </w:r>
                </w:p>
              </w:tc>
              <w:tc>
                <w:tcPr>
                  <w:tcW w:w="1552" w:type="dxa"/>
                  <w:shd w:val="clear" w:color="auto" w:fill="D9E2F3"/>
                </w:tcPr>
                <w:p w14:paraId="0000084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5A5F49EF" w14:textId="77777777">
              <w:tc>
                <w:tcPr>
                  <w:tcW w:w="1163" w:type="dxa"/>
                  <w:shd w:val="clear" w:color="auto" w:fill="D0CECE"/>
                </w:tcPr>
                <w:p w14:paraId="000008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lastRenderedPageBreak/>
                    <w:t>UK industry</w:t>
                  </w:r>
                </w:p>
              </w:tc>
              <w:tc>
                <w:tcPr>
                  <w:tcW w:w="1551" w:type="dxa"/>
                </w:tcPr>
                <w:p w14:paraId="00000850" w14:textId="3716C5F5"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w:t>
                  </w:r>
                  <w:r w:rsidR="00797E81" w:rsidRPr="007C60AF">
                    <w:rPr>
                      <w:rFonts w:eastAsia="Arial"/>
                      <w:b/>
                      <w:color w:val="4472C4"/>
                    </w:rPr>
                    <w:t>15</w:t>
                  </w:r>
                  <w:r w:rsidRPr="007C60AF">
                    <w:rPr>
                      <w:rFonts w:eastAsia="Arial"/>
                      <w:b/>
                      <w:color w:val="4472C4"/>
                    </w:rPr>
                    <w:t>,000,000]</w:t>
                  </w:r>
                </w:p>
              </w:tc>
              <w:tc>
                <w:tcPr>
                  <w:tcW w:w="1551" w:type="dxa"/>
                </w:tcPr>
                <w:p w14:paraId="00000851" w14:textId="73F32682"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w:t>
                  </w:r>
                  <w:r w:rsidR="00797E81" w:rsidRPr="007C60AF">
                    <w:rPr>
                      <w:rFonts w:eastAsia="Arial"/>
                      <w:b/>
                      <w:color w:val="4472C4"/>
                    </w:rPr>
                    <w:t>5</w:t>
                  </w:r>
                  <w:r w:rsidRPr="007C60AF">
                    <w:rPr>
                      <w:rFonts w:eastAsia="Arial"/>
                      <w:b/>
                      <w:color w:val="4472C4"/>
                    </w:rPr>
                    <w:t>,000,000-20,000,000]</w:t>
                  </w:r>
                </w:p>
              </w:tc>
              <w:tc>
                <w:tcPr>
                  <w:tcW w:w="1552" w:type="dxa"/>
                </w:tcPr>
                <w:p w14:paraId="00000852" w14:textId="2252CD51"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w:t>
                  </w:r>
                  <w:r w:rsidR="00797E81" w:rsidRPr="007C60AF">
                    <w:rPr>
                      <w:rFonts w:eastAsia="Arial"/>
                      <w:b/>
                      <w:color w:val="4472C4"/>
                    </w:rPr>
                    <w:t>15</w:t>
                  </w:r>
                  <w:r w:rsidRPr="007C60AF">
                    <w:rPr>
                      <w:rFonts w:eastAsia="Arial"/>
                      <w:b/>
                      <w:color w:val="4472C4"/>
                    </w:rPr>
                    <w:t>,000,000]</w:t>
                  </w:r>
                </w:p>
              </w:tc>
              <w:tc>
                <w:tcPr>
                  <w:tcW w:w="1552" w:type="dxa"/>
                </w:tcPr>
                <w:p w14:paraId="00000853" w14:textId="5D9B6661"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B27E6C" w:rsidRPr="007C60AF">
                    <w:rPr>
                      <w:rFonts w:eastAsia="Arial"/>
                      <w:b/>
                      <w:color w:val="4472C4"/>
                    </w:rPr>
                    <w:t>7</w:t>
                  </w:r>
                  <w:r w:rsidRPr="007C60AF">
                    <w:rPr>
                      <w:rFonts w:eastAsia="Arial"/>
                      <w:b/>
                      <w:color w:val="4472C4"/>
                    </w:rPr>
                    <w:t>,000,000-</w:t>
                  </w:r>
                  <w:r w:rsidR="00B27E6C" w:rsidRPr="007C60AF">
                    <w:rPr>
                      <w:rFonts w:eastAsia="Arial"/>
                      <w:b/>
                      <w:color w:val="4472C4"/>
                    </w:rPr>
                    <w:t>8</w:t>
                  </w:r>
                  <w:r w:rsidRPr="007C60AF">
                    <w:rPr>
                      <w:rFonts w:eastAsia="Arial"/>
                      <w:b/>
                      <w:color w:val="4472C4"/>
                    </w:rPr>
                    <w:t>,000,000]</w:t>
                  </w:r>
                </w:p>
              </w:tc>
              <w:tc>
                <w:tcPr>
                  <w:tcW w:w="1552" w:type="dxa"/>
                </w:tcPr>
                <w:p w14:paraId="00000854" w14:textId="2DB37BCB"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[20,000,000-</w:t>
                  </w:r>
                  <w:r w:rsidR="00B27E6C" w:rsidRPr="007C60AF">
                    <w:rPr>
                      <w:rFonts w:eastAsia="Arial"/>
                      <w:b/>
                      <w:color w:val="4472C4"/>
                    </w:rPr>
                    <w:t>25</w:t>
                  </w:r>
                  <w:r w:rsidRPr="007C60AF">
                    <w:rPr>
                      <w:rFonts w:eastAsia="Arial"/>
                      <w:b/>
                      <w:color w:val="4472C4"/>
                    </w:rPr>
                    <w:t>,000,000]</w:t>
                  </w:r>
                </w:p>
              </w:tc>
            </w:tr>
            <w:tr w:rsidR="00416D85" w:rsidRPr="007C60AF" w14:paraId="14A44240" w14:textId="77777777">
              <w:tc>
                <w:tcPr>
                  <w:tcW w:w="1163" w:type="dxa"/>
                  <w:shd w:val="clear" w:color="auto" w:fill="D0CECE"/>
                </w:tcPr>
                <w:p w14:paraId="000008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5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c>
                <w:tcPr>
                  <w:tcW w:w="1552" w:type="dxa"/>
                </w:tcPr>
                <w:p w14:paraId="000008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c>
                <w:tcPr>
                  <w:tcW w:w="1552" w:type="dxa"/>
                </w:tcPr>
                <w:p w14:paraId="000008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49</w:t>
                  </w:r>
                </w:p>
              </w:tc>
              <w:tc>
                <w:tcPr>
                  <w:tcW w:w="1552" w:type="dxa"/>
                </w:tcPr>
                <w:p w14:paraId="000008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161</w:t>
                  </w:r>
                </w:p>
              </w:tc>
            </w:tr>
            <w:tr w:rsidR="00416D85" w:rsidRPr="007C60AF" w14:paraId="7C8E3E5A" w14:textId="77777777">
              <w:tc>
                <w:tcPr>
                  <w:tcW w:w="7369" w:type="dxa"/>
                  <w:gridSpan w:val="5"/>
                  <w:shd w:val="clear" w:color="auto" w:fill="D9E2F3"/>
                </w:tcPr>
                <w:p w14:paraId="000008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(GBP)</w:t>
                  </w:r>
                </w:p>
              </w:tc>
              <w:tc>
                <w:tcPr>
                  <w:tcW w:w="1552" w:type="dxa"/>
                  <w:shd w:val="clear" w:color="auto" w:fill="D9E2F3"/>
                </w:tcPr>
                <w:p w14:paraId="0000086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77FB103B" w14:textId="77777777">
              <w:tc>
                <w:tcPr>
                  <w:tcW w:w="1163" w:type="dxa"/>
                  <w:shd w:val="clear" w:color="auto" w:fill="D0CECE"/>
                </w:tcPr>
                <w:p w14:paraId="000008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1" w:type="dxa"/>
                </w:tcPr>
                <w:p w14:paraId="00000862" w14:textId="19639213"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w:t>
                  </w:r>
                  <w:r w:rsidR="00B27E6C" w:rsidRPr="007C60AF">
                    <w:rPr>
                      <w:rFonts w:eastAsia="Arial"/>
                      <w:b/>
                      <w:color w:val="4472C4"/>
                    </w:rPr>
                    <w:t>5</w:t>
                  </w:r>
                  <w:r w:rsidRPr="007C60AF">
                    <w:rPr>
                      <w:rFonts w:eastAsia="Arial"/>
                      <w:b/>
                      <w:color w:val="4472C4"/>
                    </w:rPr>
                    <w:t>,000,000-30,000,000]</w:t>
                  </w:r>
                </w:p>
              </w:tc>
              <w:tc>
                <w:tcPr>
                  <w:tcW w:w="1551" w:type="dxa"/>
                </w:tcPr>
                <w:p w14:paraId="00000863" w14:textId="1BE7ACB6"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w:t>
                  </w:r>
                  <w:r w:rsidR="00B27E6C" w:rsidRPr="007C60AF">
                    <w:rPr>
                      <w:rFonts w:eastAsia="Arial"/>
                      <w:b/>
                      <w:color w:val="4472C4"/>
                    </w:rPr>
                    <w:t>5</w:t>
                  </w:r>
                  <w:r w:rsidRPr="007C60AF">
                    <w:rPr>
                      <w:rFonts w:eastAsia="Arial"/>
                      <w:b/>
                      <w:color w:val="4472C4"/>
                    </w:rPr>
                    <w:t>,000,000-20,000,000]</w:t>
                  </w:r>
                </w:p>
              </w:tc>
              <w:tc>
                <w:tcPr>
                  <w:tcW w:w="1552" w:type="dxa"/>
                </w:tcPr>
                <w:p w14:paraId="00000864" w14:textId="65435FB6"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w:t>
                  </w:r>
                  <w:r w:rsidR="00B27E6C" w:rsidRPr="007C60AF">
                    <w:rPr>
                      <w:rFonts w:eastAsia="Arial"/>
                      <w:b/>
                      <w:color w:val="4472C4"/>
                    </w:rPr>
                    <w:t>15</w:t>
                  </w:r>
                  <w:r w:rsidRPr="007C60AF">
                    <w:rPr>
                      <w:rFonts w:eastAsia="Arial"/>
                      <w:b/>
                      <w:color w:val="4472C4"/>
                    </w:rPr>
                    <w:t>,000,000]</w:t>
                  </w:r>
                </w:p>
              </w:tc>
              <w:tc>
                <w:tcPr>
                  <w:tcW w:w="1552" w:type="dxa"/>
                </w:tcPr>
                <w:p w14:paraId="00000865" w14:textId="34B5EB4F"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[5,000,000-</w:t>
                  </w:r>
                  <w:r w:rsidR="00B27E6C" w:rsidRPr="007C60AF">
                    <w:rPr>
                      <w:rFonts w:eastAsia="Arial"/>
                      <w:b/>
                      <w:color w:val="4472C4"/>
                    </w:rPr>
                    <w:t>6</w:t>
                  </w:r>
                  <w:r w:rsidRPr="007C60AF">
                    <w:rPr>
                      <w:rFonts w:eastAsia="Arial"/>
                      <w:b/>
                      <w:color w:val="4472C4"/>
                    </w:rPr>
                    <w:t>,000,000]</w:t>
                  </w:r>
                </w:p>
              </w:tc>
              <w:tc>
                <w:tcPr>
                  <w:tcW w:w="1552" w:type="dxa"/>
                </w:tcPr>
                <w:p w14:paraId="00000866" w14:textId="421117C8"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B27E6C" w:rsidRPr="007C60AF">
                    <w:rPr>
                      <w:rFonts w:eastAsia="Arial"/>
                      <w:b/>
                      <w:color w:val="4472C4"/>
                    </w:rPr>
                    <w:t>6</w:t>
                  </w:r>
                  <w:r w:rsidRPr="007C60AF">
                    <w:rPr>
                      <w:rFonts w:eastAsia="Arial"/>
                      <w:b/>
                      <w:color w:val="4472C4"/>
                    </w:rPr>
                    <w:t>,000,000-</w:t>
                  </w:r>
                  <w:r w:rsidR="00B27E6C" w:rsidRPr="007C60AF">
                    <w:rPr>
                      <w:rFonts w:eastAsia="Arial"/>
                      <w:b/>
                      <w:color w:val="4472C4"/>
                    </w:rPr>
                    <w:t>7</w:t>
                  </w:r>
                  <w:r w:rsidRPr="007C60AF">
                    <w:rPr>
                      <w:rFonts w:eastAsia="Arial"/>
                      <w:b/>
                      <w:color w:val="4472C4"/>
                    </w:rPr>
                    <w:t>,000,000]</w:t>
                  </w:r>
                </w:p>
              </w:tc>
            </w:tr>
            <w:tr w:rsidR="00416D85" w:rsidRPr="007C60AF" w14:paraId="75AAAC47" w14:textId="77777777">
              <w:tc>
                <w:tcPr>
                  <w:tcW w:w="1163" w:type="dxa"/>
                  <w:shd w:val="clear" w:color="auto" w:fill="D0CECE"/>
                </w:tcPr>
                <w:p w14:paraId="0000086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55</w:t>
                  </w:r>
                </w:p>
              </w:tc>
              <w:tc>
                <w:tcPr>
                  <w:tcW w:w="1552" w:type="dxa"/>
                </w:tcPr>
                <w:p w14:paraId="000008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38</w:t>
                  </w:r>
                </w:p>
              </w:tc>
              <w:tc>
                <w:tcPr>
                  <w:tcW w:w="1552" w:type="dxa"/>
                </w:tcPr>
                <w:p w14:paraId="000008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w:t>
                  </w:r>
                </w:p>
              </w:tc>
              <w:tc>
                <w:tcPr>
                  <w:tcW w:w="1552" w:type="dxa"/>
                </w:tcPr>
                <w:p w14:paraId="000008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23</w:t>
                  </w:r>
                </w:p>
              </w:tc>
            </w:tr>
            <w:tr w:rsidR="00416D85" w:rsidRPr="007C60AF" w14:paraId="2FA021F2" w14:textId="77777777">
              <w:tc>
                <w:tcPr>
                  <w:tcW w:w="7369" w:type="dxa"/>
                  <w:gridSpan w:val="5"/>
                  <w:shd w:val="clear" w:color="auto" w:fill="D9E2F3"/>
                </w:tcPr>
                <w:p w14:paraId="0000086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DOMESTIC SALES (GBP)</w:t>
                  </w:r>
                </w:p>
              </w:tc>
              <w:tc>
                <w:tcPr>
                  <w:tcW w:w="1552" w:type="dxa"/>
                  <w:shd w:val="clear" w:color="auto" w:fill="D9E2F3"/>
                </w:tcPr>
                <w:p w14:paraId="0000087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2D430806" w14:textId="77777777">
              <w:tc>
                <w:tcPr>
                  <w:tcW w:w="1163" w:type="dxa"/>
                  <w:shd w:val="clear" w:color="auto" w:fill="D0CECE"/>
                </w:tcPr>
                <w:p w14:paraId="000008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1" w:type="dxa"/>
                </w:tcPr>
                <w:p w14:paraId="00000874" w14:textId="24CA2495"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[40,000,000-50,000,000]</w:t>
                  </w:r>
                </w:p>
              </w:tc>
              <w:tc>
                <w:tcPr>
                  <w:tcW w:w="1551" w:type="dxa"/>
                </w:tcPr>
                <w:p w14:paraId="00000875" w14:textId="79EA2232"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[30,000,000-</w:t>
                  </w:r>
                  <w:r w:rsidR="000C6675" w:rsidRPr="007C60AF">
                    <w:rPr>
                      <w:rFonts w:eastAsia="Arial"/>
                      <w:b/>
                      <w:color w:val="4472C4"/>
                    </w:rPr>
                    <w:t>35</w:t>
                  </w:r>
                  <w:r w:rsidRPr="007C60AF">
                    <w:rPr>
                      <w:rFonts w:eastAsia="Arial"/>
                      <w:b/>
                      <w:color w:val="4472C4"/>
                    </w:rPr>
                    <w:t>,000,000]</w:t>
                  </w:r>
                </w:p>
              </w:tc>
              <w:tc>
                <w:tcPr>
                  <w:tcW w:w="1552" w:type="dxa"/>
                </w:tcPr>
                <w:p w14:paraId="00000876" w14:textId="7C67BD80"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[20,000,000-</w:t>
                  </w:r>
                  <w:r w:rsidR="000C6675" w:rsidRPr="007C60AF">
                    <w:rPr>
                      <w:rFonts w:eastAsia="Arial"/>
                      <w:b/>
                      <w:color w:val="4472C4"/>
                    </w:rPr>
                    <w:t>25</w:t>
                  </w:r>
                  <w:r w:rsidRPr="007C60AF">
                    <w:rPr>
                      <w:rFonts w:eastAsia="Arial"/>
                      <w:b/>
                      <w:color w:val="4472C4"/>
                    </w:rPr>
                    <w:t>,000,000]</w:t>
                  </w:r>
                </w:p>
              </w:tc>
              <w:tc>
                <w:tcPr>
                  <w:tcW w:w="1552" w:type="dxa"/>
                </w:tcPr>
                <w:p w14:paraId="00000877" w14:textId="32DDDAB3"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w:t>
                  </w:r>
                  <w:r w:rsidR="000C6675" w:rsidRPr="007C60AF">
                    <w:rPr>
                      <w:rFonts w:eastAsia="Arial"/>
                      <w:b/>
                      <w:color w:val="4472C4"/>
                    </w:rPr>
                    <w:t>15</w:t>
                  </w:r>
                  <w:r w:rsidRPr="007C60AF">
                    <w:rPr>
                      <w:rFonts w:eastAsia="Arial"/>
                      <w:b/>
                      <w:color w:val="4472C4"/>
                    </w:rPr>
                    <w:t>,000,000]</w:t>
                  </w:r>
                </w:p>
              </w:tc>
              <w:tc>
                <w:tcPr>
                  <w:tcW w:w="1552" w:type="dxa"/>
                </w:tcPr>
                <w:p w14:paraId="00000878" w14:textId="041BE0F8"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w:t>
                  </w:r>
                  <w:r w:rsidR="000C6675" w:rsidRPr="007C60AF">
                    <w:rPr>
                      <w:rFonts w:eastAsia="Arial"/>
                      <w:b/>
                      <w:color w:val="4472C4"/>
                    </w:rPr>
                    <w:t>5</w:t>
                  </w:r>
                  <w:r w:rsidRPr="007C60AF">
                    <w:rPr>
                      <w:rFonts w:eastAsia="Arial"/>
                      <w:b/>
                      <w:color w:val="4472C4"/>
                    </w:rPr>
                    <w:t>,000,000-30,000,000]</w:t>
                  </w:r>
                </w:p>
              </w:tc>
            </w:tr>
            <w:tr w:rsidR="00416D85" w:rsidRPr="007C60AF" w14:paraId="7F97901D" w14:textId="77777777">
              <w:tc>
                <w:tcPr>
                  <w:tcW w:w="1163" w:type="dxa"/>
                  <w:shd w:val="clear" w:color="auto" w:fill="D0CECE"/>
                </w:tcPr>
                <w:p w14:paraId="000008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7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7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76</w:t>
                  </w:r>
                </w:p>
              </w:tc>
              <w:tc>
                <w:tcPr>
                  <w:tcW w:w="1552" w:type="dxa"/>
                </w:tcPr>
                <w:p w14:paraId="000008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49</w:t>
                  </w:r>
                </w:p>
              </w:tc>
              <w:tc>
                <w:tcPr>
                  <w:tcW w:w="1552" w:type="dxa"/>
                </w:tcPr>
                <w:p w14:paraId="000008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30</w:t>
                  </w:r>
                </w:p>
              </w:tc>
              <w:tc>
                <w:tcPr>
                  <w:tcW w:w="1552" w:type="dxa"/>
                </w:tcPr>
                <w:p w14:paraId="000008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70</w:t>
                  </w:r>
                </w:p>
              </w:tc>
            </w:tr>
          </w:tbl>
          <w:p w14:paraId="0000087F" w14:textId="77777777" w:rsidR="00416D85" w:rsidRPr="007C60AF" w:rsidRDefault="00416D85">
            <w:pPr>
              <w:spacing w:after="0"/>
              <w:jc w:val="both"/>
              <w:rPr>
                <w:color w:val="4472C4"/>
              </w:rPr>
            </w:pPr>
          </w:p>
          <w:p w14:paraId="000008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 xml:space="preserve">Table 13: Unit price of domestic sales (GBP/MT) for the injury period and the POI </w:t>
            </w:r>
          </w:p>
          <w:p w14:paraId="0000088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c"/>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7480A2BE" w14:textId="77777777">
              <w:tc>
                <w:tcPr>
                  <w:tcW w:w="1784" w:type="dxa"/>
                  <w:shd w:val="clear" w:color="auto" w:fill="D0CECE"/>
                </w:tcPr>
                <w:p w14:paraId="0000088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8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88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88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8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5F036C2" w14:textId="77777777">
              <w:tc>
                <w:tcPr>
                  <w:tcW w:w="8921" w:type="dxa"/>
                  <w:gridSpan w:val="5"/>
                  <w:shd w:val="clear" w:color="auto" w:fill="D9E2F3"/>
                </w:tcPr>
                <w:p w14:paraId="0000088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(GBP/MT)</w:t>
                  </w:r>
                </w:p>
              </w:tc>
            </w:tr>
            <w:tr w:rsidR="00416D85" w:rsidRPr="007C60AF" w14:paraId="6B715AF5" w14:textId="77777777">
              <w:tc>
                <w:tcPr>
                  <w:tcW w:w="1784" w:type="dxa"/>
                  <w:shd w:val="clear" w:color="auto" w:fill="D0CECE"/>
                </w:tcPr>
                <w:p w14:paraId="0000088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88D" w14:textId="5096041E"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w:t>
                  </w:r>
                  <w:r w:rsidR="001867E1" w:rsidRPr="007C60AF">
                    <w:rPr>
                      <w:rFonts w:eastAsia="Arial"/>
                      <w:b/>
                      <w:color w:val="4472C4"/>
                    </w:rPr>
                    <w:t>-1</w:t>
                  </w:r>
                  <w:r w:rsidR="00F3255E" w:rsidRPr="007C60AF">
                    <w:rPr>
                      <w:rFonts w:eastAsia="Arial"/>
                      <w:b/>
                      <w:color w:val="4472C4"/>
                    </w:rPr>
                    <w:t>,</w:t>
                  </w:r>
                  <w:r w:rsidR="001867E1" w:rsidRPr="007C60AF">
                    <w:rPr>
                      <w:rFonts w:eastAsia="Arial"/>
                      <w:b/>
                      <w:color w:val="4472C4"/>
                    </w:rPr>
                    <w:t>000</w:t>
                  </w:r>
                  <w:r w:rsidRPr="007C60AF">
                    <w:rPr>
                      <w:rFonts w:eastAsia="Arial"/>
                      <w:b/>
                      <w:color w:val="4472C4"/>
                    </w:rPr>
                    <w:t>]</w:t>
                  </w:r>
                </w:p>
              </w:tc>
              <w:tc>
                <w:tcPr>
                  <w:tcW w:w="1784" w:type="dxa"/>
                </w:tcPr>
                <w:p w14:paraId="0000088E" w14:textId="31B4E775"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0C6675" w:rsidRPr="007C60AF">
                    <w:rPr>
                      <w:rFonts w:eastAsia="Arial"/>
                      <w:b/>
                      <w:color w:val="4472C4"/>
                    </w:rPr>
                    <w:t>1</w:t>
                  </w:r>
                  <w:r w:rsidR="001867E1" w:rsidRPr="007C60AF">
                    <w:rPr>
                      <w:rFonts w:eastAsia="Arial"/>
                      <w:b/>
                      <w:color w:val="4472C4"/>
                    </w:rPr>
                    <w:t>,</w:t>
                  </w:r>
                  <w:r w:rsidR="000C6675"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784" w:type="dxa"/>
                </w:tcPr>
                <w:p w14:paraId="0000088F" w14:textId="0EAE2BB8"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1,</w:t>
                  </w:r>
                  <w:r w:rsidR="000C6675" w:rsidRPr="007C60AF">
                    <w:rPr>
                      <w:rFonts w:eastAsia="Arial"/>
                      <w:b/>
                      <w:color w:val="4472C4"/>
                    </w:rPr>
                    <w:t>5</w:t>
                  </w:r>
                  <w:r w:rsidR="001867E1" w:rsidRPr="007C60AF">
                    <w:rPr>
                      <w:rFonts w:eastAsia="Arial"/>
                      <w:b/>
                      <w:color w:val="4472C4"/>
                    </w:rPr>
                    <w:t>00 – 2,000</w:t>
                  </w:r>
                  <w:r w:rsidRPr="007C60AF">
                    <w:rPr>
                      <w:rFonts w:eastAsia="Arial"/>
                      <w:b/>
                      <w:color w:val="4472C4"/>
                    </w:rPr>
                    <w:t>]</w:t>
                  </w:r>
                </w:p>
              </w:tc>
              <w:tc>
                <w:tcPr>
                  <w:tcW w:w="1785" w:type="dxa"/>
                </w:tcPr>
                <w:p w14:paraId="00000890" w14:textId="71DE168B"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 xml:space="preserve">[1,000 – </w:t>
                  </w:r>
                  <w:r w:rsidR="000C6675" w:rsidRPr="007C60AF">
                    <w:rPr>
                      <w:rFonts w:eastAsia="Arial"/>
                      <w:b/>
                      <w:color w:val="4472C4"/>
                    </w:rPr>
                    <w:t>1</w:t>
                  </w:r>
                  <w:r w:rsidRPr="007C60AF">
                    <w:rPr>
                      <w:rFonts w:eastAsia="Arial"/>
                      <w:b/>
                      <w:color w:val="4472C4"/>
                    </w:rPr>
                    <w:t>,</w:t>
                  </w:r>
                  <w:r w:rsidR="000C6675" w:rsidRPr="007C60AF">
                    <w:rPr>
                      <w:rFonts w:eastAsia="Arial"/>
                      <w:b/>
                      <w:color w:val="4472C4"/>
                    </w:rPr>
                    <w:t>5</w:t>
                  </w:r>
                  <w:r w:rsidRPr="007C60AF">
                    <w:rPr>
                      <w:rFonts w:eastAsia="Arial"/>
                      <w:b/>
                      <w:color w:val="4472C4"/>
                    </w:rPr>
                    <w:t>00]</w:t>
                  </w:r>
                </w:p>
              </w:tc>
            </w:tr>
            <w:tr w:rsidR="00416D85" w:rsidRPr="007C60AF" w14:paraId="76BB68D4" w14:textId="77777777">
              <w:tc>
                <w:tcPr>
                  <w:tcW w:w="1784" w:type="dxa"/>
                  <w:shd w:val="clear" w:color="auto" w:fill="D0CECE"/>
                </w:tcPr>
                <w:p w14:paraId="0000089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9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123</w:t>
                  </w:r>
                </w:p>
              </w:tc>
              <w:tc>
                <w:tcPr>
                  <w:tcW w:w="1784" w:type="dxa"/>
                </w:tcPr>
                <w:p w14:paraId="0000089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167</w:t>
                  </w:r>
                </w:p>
              </w:tc>
              <w:tc>
                <w:tcPr>
                  <w:tcW w:w="1785" w:type="dxa"/>
                </w:tcPr>
                <w:p w14:paraId="000008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113</w:t>
                  </w:r>
                </w:p>
              </w:tc>
            </w:tr>
            <w:tr w:rsidR="00416D85" w:rsidRPr="007C60AF" w14:paraId="0EB188BA" w14:textId="77777777">
              <w:tc>
                <w:tcPr>
                  <w:tcW w:w="8921" w:type="dxa"/>
                  <w:gridSpan w:val="5"/>
                  <w:shd w:val="clear" w:color="auto" w:fill="D9E2F3"/>
                </w:tcPr>
                <w:p w14:paraId="000008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(GBP/MT)</w:t>
                  </w:r>
                </w:p>
              </w:tc>
            </w:tr>
            <w:tr w:rsidR="00416D85" w:rsidRPr="007C60AF" w14:paraId="4BD6F6DA" w14:textId="77777777">
              <w:tc>
                <w:tcPr>
                  <w:tcW w:w="1784" w:type="dxa"/>
                  <w:shd w:val="clear" w:color="auto" w:fill="D0CECE"/>
                </w:tcPr>
                <w:p w14:paraId="0000089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UK industry</w:t>
                  </w:r>
                </w:p>
              </w:tc>
              <w:tc>
                <w:tcPr>
                  <w:tcW w:w="1784" w:type="dxa"/>
                </w:tcPr>
                <w:p w14:paraId="0000089C" w14:textId="1C2DC25C"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w:t>
                  </w:r>
                  <w:r w:rsidR="001867E1" w:rsidRPr="007C60AF">
                    <w:rPr>
                      <w:rFonts w:eastAsia="Arial"/>
                      <w:b/>
                      <w:color w:val="4472C4"/>
                    </w:rPr>
                    <w:t>– 1,000</w:t>
                  </w:r>
                  <w:r w:rsidRPr="007C60AF">
                    <w:rPr>
                      <w:rFonts w:eastAsia="Arial"/>
                      <w:b/>
                      <w:color w:val="4472C4"/>
                    </w:rPr>
                    <w:t>]</w:t>
                  </w:r>
                </w:p>
              </w:tc>
              <w:tc>
                <w:tcPr>
                  <w:tcW w:w="1784" w:type="dxa"/>
                </w:tcPr>
                <w:p w14:paraId="0000089D" w14:textId="228607FC"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0C6675" w:rsidRPr="007C60AF">
                    <w:rPr>
                      <w:rFonts w:eastAsia="Arial"/>
                      <w:b/>
                      <w:color w:val="4472C4"/>
                    </w:rPr>
                    <w:t>1</w:t>
                  </w:r>
                  <w:r w:rsidR="001867E1" w:rsidRPr="007C60AF">
                    <w:rPr>
                      <w:rFonts w:eastAsia="Arial"/>
                      <w:b/>
                      <w:color w:val="4472C4"/>
                    </w:rPr>
                    <w:t>,</w:t>
                  </w:r>
                  <w:r w:rsidR="000C6675"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784" w:type="dxa"/>
                </w:tcPr>
                <w:p w14:paraId="0000089E" w14:textId="63382C52"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1,</w:t>
                  </w:r>
                  <w:r w:rsidR="000C6675" w:rsidRPr="007C60AF">
                    <w:rPr>
                      <w:rFonts w:eastAsia="Arial"/>
                      <w:b/>
                      <w:color w:val="4472C4"/>
                    </w:rPr>
                    <w:t>5</w:t>
                  </w:r>
                  <w:r w:rsidR="001867E1" w:rsidRPr="007C60AF">
                    <w:rPr>
                      <w:rFonts w:eastAsia="Arial"/>
                      <w:b/>
                      <w:color w:val="4472C4"/>
                    </w:rPr>
                    <w:t>00 – 2,000</w:t>
                  </w:r>
                  <w:r w:rsidRPr="007C60AF">
                    <w:rPr>
                      <w:rFonts w:eastAsia="Arial"/>
                      <w:b/>
                      <w:color w:val="4472C4"/>
                    </w:rPr>
                    <w:t>]</w:t>
                  </w:r>
                </w:p>
              </w:tc>
              <w:tc>
                <w:tcPr>
                  <w:tcW w:w="1785" w:type="dxa"/>
                </w:tcPr>
                <w:p w14:paraId="0000089F" w14:textId="291A2A7C"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1,000</w:t>
                  </w:r>
                  <w:r w:rsidRPr="007C60AF">
                    <w:rPr>
                      <w:rFonts w:eastAsia="Arial"/>
                      <w:b/>
                      <w:color w:val="4472C4"/>
                    </w:rPr>
                    <w:t xml:space="preserve"> – </w:t>
                  </w:r>
                  <w:r w:rsidR="000C6675" w:rsidRPr="007C60AF">
                    <w:rPr>
                      <w:rFonts w:eastAsia="Arial"/>
                      <w:b/>
                      <w:color w:val="4472C4"/>
                    </w:rPr>
                    <w:t>1</w:t>
                  </w:r>
                  <w:r w:rsidRPr="007C60AF">
                    <w:rPr>
                      <w:rFonts w:eastAsia="Arial"/>
                      <w:b/>
                      <w:color w:val="4472C4"/>
                    </w:rPr>
                    <w:t>,</w:t>
                  </w:r>
                  <w:r w:rsidR="000C6675" w:rsidRPr="007C60AF">
                    <w:rPr>
                      <w:rFonts w:eastAsia="Arial"/>
                      <w:b/>
                      <w:color w:val="4472C4"/>
                    </w:rPr>
                    <w:t>5</w:t>
                  </w:r>
                  <w:r w:rsidRPr="007C60AF">
                    <w:rPr>
                      <w:rFonts w:eastAsia="Arial"/>
                      <w:b/>
                      <w:color w:val="4472C4"/>
                    </w:rPr>
                    <w:t>00]</w:t>
                  </w:r>
                </w:p>
              </w:tc>
            </w:tr>
            <w:tr w:rsidR="00416D85" w:rsidRPr="007C60AF" w14:paraId="10C8D447" w14:textId="77777777">
              <w:tc>
                <w:tcPr>
                  <w:tcW w:w="1784" w:type="dxa"/>
                  <w:shd w:val="clear" w:color="auto" w:fill="D0CECE"/>
                </w:tcPr>
                <w:p w14:paraId="000008A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A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A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c>
                <w:tcPr>
                  <w:tcW w:w="1784" w:type="dxa"/>
                </w:tcPr>
                <w:p w14:paraId="000008A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173</w:t>
                  </w:r>
                </w:p>
              </w:tc>
              <w:tc>
                <w:tcPr>
                  <w:tcW w:w="1785" w:type="dxa"/>
                </w:tcPr>
                <w:p w14:paraId="000008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113</w:t>
                  </w:r>
                </w:p>
              </w:tc>
            </w:tr>
          </w:tbl>
          <w:p w14:paraId="000008A5" w14:textId="77777777" w:rsidR="00416D85" w:rsidRPr="007C60AF" w:rsidRDefault="00416D85">
            <w:pPr>
              <w:spacing w:after="0"/>
              <w:jc w:val="both"/>
              <w:rPr>
                <w:b/>
                <w:color w:val="4472C4"/>
              </w:rPr>
            </w:pPr>
          </w:p>
          <w:p w14:paraId="000008A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14: Unit price of domestic sales (GBP/MT) for Q2 2023 – Q2 2024</w:t>
            </w:r>
          </w:p>
          <w:p w14:paraId="000008A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d"/>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03845B6C" w14:textId="77777777">
              <w:tc>
                <w:tcPr>
                  <w:tcW w:w="1163" w:type="dxa"/>
                  <w:shd w:val="clear" w:color="auto" w:fill="D0CECE"/>
                </w:tcPr>
                <w:p w14:paraId="000008A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551" w:type="dxa"/>
                  <w:shd w:val="clear" w:color="auto" w:fill="D0CECE"/>
                </w:tcPr>
                <w:p w14:paraId="000008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8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8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8A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8A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07B3F77C" w14:textId="77777777">
              <w:tc>
                <w:tcPr>
                  <w:tcW w:w="7369" w:type="dxa"/>
                  <w:gridSpan w:val="5"/>
                  <w:shd w:val="clear" w:color="auto" w:fill="D9E2F3"/>
                </w:tcPr>
                <w:p w14:paraId="000008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(GBP/MT)</w:t>
                  </w:r>
                </w:p>
              </w:tc>
              <w:tc>
                <w:tcPr>
                  <w:tcW w:w="1552" w:type="dxa"/>
                  <w:shd w:val="clear" w:color="auto" w:fill="D9E2F3"/>
                </w:tcPr>
                <w:p w14:paraId="000008B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1E29FAD5" w14:textId="77777777">
              <w:tc>
                <w:tcPr>
                  <w:tcW w:w="1163" w:type="dxa"/>
                  <w:shd w:val="clear" w:color="auto" w:fill="D0CECE"/>
                </w:tcPr>
                <w:p w14:paraId="000008B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8B5" w14:textId="5909C0B2"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3625DB" w:rsidRPr="007C60AF">
                    <w:rPr>
                      <w:rFonts w:eastAsia="Arial"/>
                      <w:b/>
                      <w:color w:val="4472C4"/>
                    </w:rPr>
                    <w:t>1</w:t>
                  </w:r>
                  <w:r w:rsidR="001867E1" w:rsidRPr="007C60AF">
                    <w:rPr>
                      <w:rFonts w:eastAsia="Arial"/>
                      <w:b/>
                      <w:color w:val="4472C4"/>
                    </w:rPr>
                    <w:t>,</w:t>
                  </w:r>
                  <w:r w:rsidR="003625DB"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551" w:type="dxa"/>
                </w:tcPr>
                <w:p w14:paraId="000008B6" w14:textId="6632406F"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3625DB" w:rsidRPr="007C60AF">
                    <w:rPr>
                      <w:rFonts w:eastAsia="Arial"/>
                      <w:b/>
                      <w:color w:val="4472C4"/>
                    </w:rPr>
                    <w:t>1</w:t>
                  </w:r>
                  <w:r w:rsidR="001867E1" w:rsidRPr="007C60AF">
                    <w:rPr>
                      <w:rFonts w:eastAsia="Arial"/>
                      <w:b/>
                      <w:color w:val="4472C4"/>
                    </w:rPr>
                    <w:t>,</w:t>
                  </w:r>
                  <w:r w:rsidR="003625DB"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552" w:type="dxa"/>
                </w:tcPr>
                <w:p w14:paraId="000008B7" w14:textId="30DEBF03"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3625DB" w:rsidRPr="007C60AF">
                    <w:rPr>
                      <w:rFonts w:eastAsia="Arial"/>
                      <w:b/>
                      <w:color w:val="4472C4"/>
                    </w:rPr>
                    <w:t>1</w:t>
                  </w:r>
                  <w:r w:rsidR="001867E1" w:rsidRPr="007C60AF">
                    <w:rPr>
                      <w:rFonts w:eastAsia="Arial"/>
                      <w:b/>
                      <w:color w:val="4472C4"/>
                    </w:rPr>
                    <w:t>,</w:t>
                  </w:r>
                  <w:r w:rsidR="003625DB"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552" w:type="dxa"/>
                </w:tcPr>
                <w:p w14:paraId="000008B8" w14:textId="396B03B2"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930BE" w:rsidRPr="007C60AF">
                    <w:rPr>
                      <w:rFonts w:eastAsia="Arial"/>
                      <w:b/>
                      <w:color w:val="4472C4"/>
                    </w:rPr>
                    <w:t>750</w:t>
                  </w:r>
                  <w:r w:rsidR="001867E1" w:rsidRPr="007C60AF">
                    <w:rPr>
                      <w:rFonts w:eastAsia="Arial"/>
                      <w:b/>
                      <w:color w:val="4472C4"/>
                    </w:rPr>
                    <w:t xml:space="preserve"> – 1,000</w:t>
                  </w:r>
                  <w:r w:rsidRPr="007C60AF">
                    <w:rPr>
                      <w:rFonts w:eastAsia="Arial"/>
                      <w:b/>
                      <w:color w:val="4472C4"/>
                    </w:rPr>
                    <w:t>]</w:t>
                  </w:r>
                </w:p>
              </w:tc>
              <w:tc>
                <w:tcPr>
                  <w:tcW w:w="1552" w:type="dxa"/>
                </w:tcPr>
                <w:p w14:paraId="000008B9" w14:textId="6CA85E6B"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w:t>
                  </w:r>
                  <w:r w:rsidR="00040AE4" w:rsidRPr="007C60AF">
                    <w:rPr>
                      <w:rFonts w:eastAsia="Arial"/>
                      <w:b/>
                      <w:color w:val="4472C4"/>
                    </w:rPr>
                    <w:t xml:space="preserve"> – 1,000</w:t>
                  </w:r>
                  <w:r w:rsidRPr="007C60AF">
                    <w:rPr>
                      <w:rFonts w:eastAsia="Arial"/>
                      <w:b/>
                      <w:color w:val="4472C4"/>
                    </w:rPr>
                    <w:t>]</w:t>
                  </w:r>
                </w:p>
              </w:tc>
            </w:tr>
            <w:tr w:rsidR="00416D85" w:rsidRPr="007C60AF" w14:paraId="4B888C5A" w14:textId="77777777">
              <w:tc>
                <w:tcPr>
                  <w:tcW w:w="1163" w:type="dxa"/>
                  <w:shd w:val="clear" w:color="auto" w:fill="D0CECE"/>
                </w:tcPr>
                <w:p w14:paraId="000008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BB" w14:textId="6EB5DB0C"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BC" w14:textId="51A150C5"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108</w:t>
                  </w:r>
                </w:p>
              </w:tc>
              <w:tc>
                <w:tcPr>
                  <w:tcW w:w="1552" w:type="dxa"/>
                </w:tcPr>
                <w:p w14:paraId="000008BD" w14:textId="34A487AF"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108</w:t>
                  </w:r>
                </w:p>
              </w:tc>
              <w:tc>
                <w:tcPr>
                  <w:tcW w:w="1552" w:type="dxa"/>
                </w:tcPr>
                <w:p w14:paraId="000008BE" w14:textId="26F6108E"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92</w:t>
                  </w:r>
                </w:p>
              </w:tc>
              <w:tc>
                <w:tcPr>
                  <w:tcW w:w="1552" w:type="dxa"/>
                </w:tcPr>
                <w:p w14:paraId="000008BF" w14:textId="48E5D21B"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95</w:t>
                  </w:r>
                </w:p>
              </w:tc>
            </w:tr>
            <w:tr w:rsidR="00416D85" w:rsidRPr="007C60AF" w14:paraId="507D43C4" w14:textId="77777777">
              <w:tc>
                <w:tcPr>
                  <w:tcW w:w="7369" w:type="dxa"/>
                  <w:gridSpan w:val="5"/>
                  <w:shd w:val="clear" w:color="auto" w:fill="D9E2F3"/>
                </w:tcPr>
                <w:p w14:paraId="000008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(GBP/MT)</w:t>
                  </w:r>
                </w:p>
              </w:tc>
              <w:tc>
                <w:tcPr>
                  <w:tcW w:w="1552" w:type="dxa"/>
                  <w:shd w:val="clear" w:color="auto" w:fill="D9E2F3"/>
                </w:tcPr>
                <w:p w14:paraId="000008C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709DA5B2" w14:textId="77777777">
              <w:tc>
                <w:tcPr>
                  <w:tcW w:w="1163" w:type="dxa"/>
                  <w:shd w:val="clear" w:color="auto" w:fill="D0CECE"/>
                </w:tcPr>
                <w:p w14:paraId="000008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1" w:type="dxa"/>
                </w:tcPr>
                <w:p w14:paraId="000008C7" w14:textId="6FA626DB"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040AE4" w:rsidRPr="007C60AF">
                    <w:rPr>
                      <w:rFonts w:eastAsia="Arial"/>
                      <w:b/>
                      <w:color w:val="4472C4"/>
                    </w:rPr>
                    <w:t xml:space="preserve">1,000 – </w:t>
                  </w:r>
                  <w:r w:rsidR="003625DB" w:rsidRPr="007C60AF">
                    <w:rPr>
                      <w:rFonts w:eastAsia="Arial"/>
                      <w:b/>
                      <w:color w:val="4472C4"/>
                    </w:rPr>
                    <w:t>1</w:t>
                  </w:r>
                  <w:r w:rsidR="00040AE4" w:rsidRPr="007C60AF">
                    <w:rPr>
                      <w:rFonts w:eastAsia="Arial"/>
                      <w:b/>
                      <w:color w:val="4472C4"/>
                    </w:rPr>
                    <w:t>,</w:t>
                  </w:r>
                  <w:r w:rsidR="003625DB" w:rsidRPr="007C60AF">
                    <w:rPr>
                      <w:rFonts w:eastAsia="Arial"/>
                      <w:b/>
                      <w:color w:val="4472C4"/>
                    </w:rPr>
                    <w:t>5</w:t>
                  </w:r>
                  <w:r w:rsidR="00040AE4" w:rsidRPr="007C60AF">
                    <w:rPr>
                      <w:rFonts w:eastAsia="Arial"/>
                      <w:b/>
                      <w:color w:val="4472C4"/>
                    </w:rPr>
                    <w:t>00</w:t>
                  </w:r>
                  <w:r w:rsidRPr="007C60AF">
                    <w:rPr>
                      <w:rFonts w:eastAsia="Arial"/>
                      <w:b/>
                      <w:color w:val="4472C4"/>
                    </w:rPr>
                    <w:t>]</w:t>
                  </w:r>
                </w:p>
              </w:tc>
              <w:tc>
                <w:tcPr>
                  <w:tcW w:w="1551" w:type="dxa"/>
                </w:tcPr>
                <w:p w14:paraId="000008C8" w14:textId="542DA5C1"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040AE4" w:rsidRPr="007C60AF">
                    <w:rPr>
                      <w:rFonts w:eastAsia="Arial"/>
                      <w:b/>
                      <w:color w:val="4472C4"/>
                    </w:rPr>
                    <w:t xml:space="preserve">1,000 – </w:t>
                  </w:r>
                  <w:r w:rsidR="003625DB" w:rsidRPr="007C60AF">
                    <w:rPr>
                      <w:rFonts w:eastAsia="Arial"/>
                      <w:b/>
                      <w:color w:val="4472C4"/>
                    </w:rPr>
                    <w:t>1</w:t>
                  </w:r>
                  <w:r w:rsidR="00040AE4" w:rsidRPr="007C60AF">
                    <w:rPr>
                      <w:rFonts w:eastAsia="Arial"/>
                      <w:b/>
                      <w:color w:val="4472C4"/>
                    </w:rPr>
                    <w:t>,</w:t>
                  </w:r>
                  <w:r w:rsidR="003625DB" w:rsidRPr="007C60AF">
                    <w:rPr>
                      <w:rFonts w:eastAsia="Arial"/>
                      <w:b/>
                      <w:color w:val="4472C4"/>
                    </w:rPr>
                    <w:t>5</w:t>
                  </w:r>
                  <w:r w:rsidR="00040AE4" w:rsidRPr="007C60AF">
                    <w:rPr>
                      <w:rFonts w:eastAsia="Arial"/>
                      <w:b/>
                      <w:color w:val="4472C4"/>
                    </w:rPr>
                    <w:t>00</w:t>
                  </w:r>
                  <w:r w:rsidRPr="007C60AF">
                    <w:rPr>
                      <w:rFonts w:eastAsia="Arial"/>
                      <w:b/>
                      <w:color w:val="4472C4"/>
                    </w:rPr>
                    <w:t>]</w:t>
                  </w:r>
                </w:p>
              </w:tc>
              <w:tc>
                <w:tcPr>
                  <w:tcW w:w="1552" w:type="dxa"/>
                </w:tcPr>
                <w:p w14:paraId="000008C9" w14:textId="67BA2CAB"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c>
                <w:tcPr>
                  <w:tcW w:w="1552" w:type="dxa"/>
                </w:tcPr>
                <w:p w14:paraId="000008CA" w14:textId="6998A432"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c>
                <w:tcPr>
                  <w:tcW w:w="1552" w:type="dxa"/>
                </w:tcPr>
                <w:p w14:paraId="000008CB" w14:textId="737298F1"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[1,000 – </w:t>
                  </w:r>
                  <w:r w:rsidR="003625DB" w:rsidRPr="007C60AF">
                    <w:rPr>
                      <w:rFonts w:eastAsia="Arial"/>
                      <w:b/>
                      <w:color w:val="4472C4"/>
                    </w:rPr>
                    <w:t>1</w:t>
                  </w:r>
                  <w:r w:rsidRPr="007C60AF">
                    <w:rPr>
                      <w:rFonts w:eastAsia="Arial"/>
                      <w:b/>
                      <w:color w:val="4472C4"/>
                    </w:rPr>
                    <w:t>,</w:t>
                  </w:r>
                  <w:r w:rsidR="003625DB" w:rsidRPr="007C60AF">
                    <w:rPr>
                      <w:rFonts w:eastAsia="Arial"/>
                      <w:b/>
                      <w:color w:val="4472C4"/>
                    </w:rPr>
                    <w:t>5</w:t>
                  </w:r>
                  <w:r w:rsidRPr="007C60AF">
                    <w:rPr>
                      <w:rFonts w:eastAsia="Arial"/>
                      <w:b/>
                      <w:color w:val="4472C4"/>
                    </w:rPr>
                    <w:t>00]</w:t>
                  </w:r>
                </w:p>
              </w:tc>
            </w:tr>
            <w:tr w:rsidR="00416D85" w:rsidRPr="007C60AF" w14:paraId="6AEA824A" w14:textId="77777777">
              <w:tc>
                <w:tcPr>
                  <w:tcW w:w="1163" w:type="dxa"/>
                  <w:shd w:val="clear" w:color="auto" w:fill="D0CECE"/>
                </w:tcPr>
                <w:p w14:paraId="000008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107</w:t>
                  </w:r>
                </w:p>
              </w:tc>
              <w:tc>
                <w:tcPr>
                  <w:tcW w:w="1552" w:type="dxa"/>
                </w:tcPr>
                <w:p w14:paraId="000008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85</w:t>
                  </w:r>
                </w:p>
              </w:tc>
              <w:tc>
                <w:tcPr>
                  <w:tcW w:w="1552" w:type="dxa"/>
                </w:tcPr>
                <w:p w14:paraId="000008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88</w:t>
                  </w:r>
                </w:p>
              </w:tc>
              <w:tc>
                <w:tcPr>
                  <w:tcW w:w="1552" w:type="dxa"/>
                </w:tcPr>
                <w:p w14:paraId="000008D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95</w:t>
                  </w:r>
                </w:p>
              </w:tc>
            </w:tr>
          </w:tbl>
          <w:p w14:paraId="000008D2" w14:textId="77777777" w:rsidR="00416D85" w:rsidRPr="007C60AF" w:rsidRDefault="00416D85">
            <w:pPr>
              <w:spacing w:after="0"/>
              <w:jc w:val="both"/>
              <w:rPr>
                <w:color w:val="4472C4"/>
              </w:rPr>
            </w:pPr>
          </w:p>
          <w:p w14:paraId="000008D3" w14:textId="77777777" w:rsidR="00416D85" w:rsidRPr="007C60AF" w:rsidRDefault="00130320">
            <w:pPr>
              <w:spacing w:after="0"/>
              <w:jc w:val="both"/>
              <w:rPr>
                <w:b/>
                <w:color w:val="4472C4"/>
              </w:rPr>
            </w:pPr>
            <w:r w:rsidRPr="007C60AF">
              <w:rPr>
                <w:b/>
                <w:color w:val="4472C4"/>
              </w:rPr>
              <w:t>Export sales of the UK industry</w:t>
            </w:r>
          </w:p>
          <w:p w14:paraId="000008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Export sales to unrelated companies</w:t>
            </w:r>
          </w:p>
          <w:p w14:paraId="000008D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D6" w14:textId="0D1D55CF"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volume of export sales of the UK industry to unrelated companies increased by </w:t>
            </w:r>
            <w:r w:rsidRPr="007C60AF">
              <w:rPr>
                <w:rFonts w:eastAsia="Arial"/>
                <w:b/>
                <w:color w:val="4472C4"/>
              </w:rPr>
              <w:t xml:space="preserve">[SENSITIVE] </w:t>
            </w:r>
            <w:r w:rsidRPr="007C60AF">
              <w:rPr>
                <w:rFonts w:eastAsia="Arial"/>
                <w:color w:val="4472C4"/>
              </w:rPr>
              <w:t xml:space="preserve">between the start of the injury period and the POI, from </w:t>
            </w:r>
            <w:r w:rsidR="00574461" w:rsidRPr="007C60AF">
              <w:rPr>
                <w:rFonts w:eastAsia="Arial"/>
                <w:color w:val="4472C4"/>
              </w:rPr>
              <w:t>[</w:t>
            </w:r>
            <w:r w:rsidR="00040AE4" w:rsidRPr="007C60AF">
              <w:rPr>
                <w:rFonts w:eastAsia="Arial"/>
                <w:b/>
                <w:color w:val="4472C4"/>
              </w:rPr>
              <w:t>50,000 – 75,000</w:t>
            </w:r>
            <w:r w:rsidR="00574461" w:rsidRPr="007C60AF">
              <w:rPr>
                <w:rFonts w:eastAsia="Arial"/>
                <w:b/>
                <w:color w:val="4472C4"/>
              </w:rPr>
              <w:t xml:space="preserve">] </w:t>
            </w:r>
            <w:r w:rsidRPr="007C60AF">
              <w:rPr>
                <w:rFonts w:eastAsia="Arial"/>
                <w:color w:val="4472C4"/>
              </w:rPr>
              <w:t xml:space="preserve">MT to </w:t>
            </w:r>
            <w:r w:rsidR="00574461" w:rsidRPr="007C60AF">
              <w:rPr>
                <w:rFonts w:eastAsia="Arial"/>
                <w:b/>
                <w:color w:val="4472C4"/>
              </w:rPr>
              <w:t>[</w:t>
            </w:r>
            <w:r w:rsidR="00040AE4" w:rsidRPr="007C60AF">
              <w:rPr>
                <w:rFonts w:eastAsia="Arial"/>
                <w:b/>
                <w:color w:val="4472C4"/>
              </w:rPr>
              <w:t>50,000 – 75,000</w:t>
            </w:r>
            <w:r w:rsidR="00574461" w:rsidRPr="007C60AF">
              <w:rPr>
                <w:rFonts w:eastAsia="Arial"/>
                <w:b/>
                <w:color w:val="4472C4"/>
              </w:rPr>
              <w:t>]</w:t>
            </w:r>
            <w:r w:rsidR="00040AE4" w:rsidRPr="007C60AF">
              <w:rPr>
                <w:rFonts w:eastAsia="Arial"/>
                <w:b/>
                <w:color w:val="4472C4"/>
              </w:rPr>
              <w:t xml:space="preserve"> </w:t>
            </w:r>
            <w:r w:rsidRPr="007C60AF">
              <w:rPr>
                <w:rFonts w:eastAsia="Arial"/>
                <w:color w:val="4472C4"/>
              </w:rPr>
              <w:t xml:space="preserve">MT (see table 15 below). Export sales of the UK industry have increased because it is not viable for the UK industry to sell their goods domestically due to the dumped and subsidised imports of US HVO.  </w:t>
            </w:r>
          </w:p>
          <w:p w14:paraId="000008D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D8" w14:textId="55B88668"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Equally, the value of export sales of the UK industry to unrelated companies increased </w:t>
            </w:r>
            <w:r w:rsidR="00574461" w:rsidRPr="007C60AF">
              <w:rPr>
                <w:rFonts w:eastAsia="Arial"/>
                <w:color w:val="4472C4"/>
              </w:rPr>
              <w:t>[</w:t>
            </w:r>
            <w:r w:rsidR="00EE45C5" w:rsidRPr="007C60AF">
              <w:rPr>
                <w:rFonts w:eastAsia="Arial"/>
                <w:b/>
                <w:color w:val="4472C4"/>
              </w:rPr>
              <w:t>0-25</w:t>
            </w:r>
            <w:r w:rsidRPr="007C60AF">
              <w:rPr>
                <w:rFonts w:eastAsia="Arial"/>
                <w:b/>
                <w:color w:val="4472C4"/>
              </w:rPr>
              <w:t>%</w:t>
            </w:r>
            <w:r w:rsidR="00574461" w:rsidRPr="007C60AF">
              <w:rPr>
                <w:rFonts w:eastAsia="Arial"/>
                <w:b/>
                <w:color w:val="4472C4"/>
              </w:rPr>
              <w:t>]</w:t>
            </w:r>
            <w:r w:rsidRPr="007C60AF">
              <w:rPr>
                <w:rFonts w:eastAsia="Arial"/>
                <w:color w:val="4472C4"/>
              </w:rPr>
              <w:t xml:space="preserve"> between the start of the injury period and the POI, from </w:t>
            </w:r>
            <w:r w:rsidR="00815F83" w:rsidRPr="007C60AF">
              <w:rPr>
                <w:rFonts w:eastAsia="Arial"/>
                <w:b/>
                <w:color w:val="4472C4"/>
              </w:rPr>
              <w:t>[50m-60m]</w:t>
            </w:r>
            <w:r w:rsidRPr="007C60AF">
              <w:rPr>
                <w:rFonts w:eastAsia="Arial"/>
                <w:b/>
                <w:color w:val="4472C4"/>
              </w:rPr>
              <w:t xml:space="preserve"> </w:t>
            </w:r>
            <w:r w:rsidRPr="007C60AF">
              <w:rPr>
                <w:rFonts w:eastAsia="Arial"/>
                <w:color w:val="4472C4"/>
              </w:rPr>
              <w:t xml:space="preserve">GBP to </w:t>
            </w:r>
            <w:r w:rsidR="00815F83" w:rsidRPr="007C60AF">
              <w:rPr>
                <w:rFonts w:eastAsia="Arial"/>
                <w:b/>
                <w:color w:val="4472C4"/>
              </w:rPr>
              <w:t>[70m-80m]</w:t>
            </w:r>
            <w:r w:rsidRPr="007C60AF">
              <w:rPr>
                <w:rFonts w:eastAsia="Arial"/>
                <w:b/>
                <w:color w:val="4472C4"/>
              </w:rPr>
              <w:t xml:space="preserve"> </w:t>
            </w:r>
            <w:r w:rsidRPr="007C60AF">
              <w:rPr>
                <w:rFonts w:eastAsia="Arial"/>
                <w:color w:val="4472C4"/>
              </w:rPr>
              <w:t>GBP (see table 17 below).</w:t>
            </w:r>
          </w:p>
          <w:p w14:paraId="000008D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DA" w14:textId="3CB4D04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lastRenderedPageBreak/>
              <w:t xml:space="preserve">The unit price of export sales of the UK industry to unrelated companies increased between the start of the injury period and the POI by </w:t>
            </w:r>
            <w:r w:rsidR="00574461" w:rsidRPr="007C60AF">
              <w:rPr>
                <w:rFonts w:eastAsia="Arial"/>
                <w:color w:val="4472C4"/>
              </w:rPr>
              <w:t>[</w:t>
            </w:r>
            <w:r w:rsidR="00EE45C5" w:rsidRPr="007C60AF">
              <w:rPr>
                <w:rFonts w:eastAsia="Arial"/>
                <w:b/>
                <w:color w:val="4472C4"/>
              </w:rPr>
              <w:t>0-25</w:t>
            </w:r>
            <w:r w:rsidRPr="007C60AF">
              <w:rPr>
                <w:rFonts w:eastAsia="Arial"/>
                <w:b/>
                <w:color w:val="4472C4"/>
              </w:rPr>
              <w:t>%</w:t>
            </w:r>
            <w:r w:rsidR="00574461" w:rsidRPr="007C60AF">
              <w:rPr>
                <w:rFonts w:eastAsia="Arial"/>
                <w:b/>
                <w:color w:val="4472C4"/>
              </w:rPr>
              <w:t>]</w:t>
            </w:r>
            <w:r w:rsidRPr="007C60AF">
              <w:rPr>
                <w:rFonts w:eastAsia="Arial"/>
                <w:color w:val="4472C4"/>
              </w:rPr>
              <w:t xml:space="preserve">, from </w:t>
            </w:r>
            <w:r w:rsidR="00574461" w:rsidRPr="007C60AF">
              <w:rPr>
                <w:rFonts w:eastAsia="Arial"/>
                <w:color w:val="4472C4"/>
              </w:rPr>
              <w:t>[</w:t>
            </w:r>
            <w:r w:rsidR="00574461" w:rsidRPr="007C60AF">
              <w:rPr>
                <w:rFonts w:eastAsia="Arial"/>
                <w:b/>
                <w:bCs/>
                <w:color w:val="4472C4"/>
              </w:rPr>
              <w:t>750</w:t>
            </w:r>
            <w:r w:rsidR="00040AE4" w:rsidRPr="007C60AF">
              <w:rPr>
                <w:rFonts w:eastAsia="Arial"/>
                <w:b/>
                <w:bCs/>
                <w:color w:val="4472C4"/>
              </w:rPr>
              <w:t xml:space="preserve"> – 1,000</w:t>
            </w:r>
            <w:r w:rsidR="00574461" w:rsidRPr="007C60AF">
              <w:rPr>
                <w:rFonts w:eastAsia="Arial"/>
                <w:b/>
                <w:bCs/>
                <w:color w:val="4472C4"/>
              </w:rPr>
              <w:t>]</w:t>
            </w:r>
            <w:r w:rsidR="00040AE4" w:rsidRPr="007C60AF">
              <w:rPr>
                <w:rFonts w:eastAsia="Arial"/>
                <w:color w:val="4472C4"/>
              </w:rPr>
              <w:t xml:space="preserve"> </w:t>
            </w:r>
            <w:r w:rsidRPr="007C60AF">
              <w:rPr>
                <w:rFonts w:eastAsia="Arial"/>
                <w:color w:val="4472C4"/>
              </w:rPr>
              <w:t xml:space="preserve">GBP/MT to </w:t>
            </w:r>
            <w:r w:rsidR="00574461" w:rsidRPr="007C60AF">
              <w:rPr>
                <w:rFonts w:eastAsia="Arial"/>
                <w:color w:val="4472C4"/>
              </w:rPr>
              <w:t>[</w:t>
            </w:r>
            <w:r w:rsidR="00040AE4" w:rsidRPr="007C60AF">
              <w:rPr>
                <w:rFonts w:eastAsia="Arial"/>
                <w:b/>
                <w:color w:val="4472C4"/>
              </w:rPr>
              <w:t xml:space="preserve">1,000 – </w:t>
            </w:r>
            <w:r w:rsidR="003625DB" w:rsidRPr="007C60AF">
              <w:rPr>
                <w:rFonts w:eastAsia="Arial"/>
                <w:b/>
                <w:color w:val="4472C4"/>
              </w:rPr>
              <w:t>1</w:t>
            </w:r>
            <w:r w:rsidR="00040AE4" w:rsidRPr="007C60AF">
              <w:rPr>
                <w:rFonts w:eastAsia="Arial"/>
                <w:b/>
                <w:color w:val="4472C4"/>
              </w:rPr>
              <w:t>,</w:t>
            </w:r>
            <w:r w:rsidR="003625DB" w:rsidRPr="007C60AF">
              <w:rPr>
                <w:rFonts w:eastAsia="Arial"/>
                <w:b/>
                <w:color w:val="4472C4"/>
              </w:rPr>
              <w:t>5</w:t>
            </w:r>
            <w:r w:rsidR="00040AE4" w:rsidRPr="007C60AF">
              <w:rPr>
                <w:rFonts w:eastAsia="Arial"/>
                <w:b/>
                <w:color w:val="4472C4"/>
              </w:rPr>
              <w:t>00</w:t>
            </w:r>
            <w:r w:rsidR="00574461" w:rsidRPr="007C60AF">
              <w:rPr>
                <w:rFonts w:eastAsia="Arial"/>
                <w:b/>
                <w:color w:val="4472C4"/>
              </w:rPr>
              <w:t>]</w:t>
            </w:r>
            <w:r w:rsidRPr="007C60AF">
              <w:rPr>
                <w:rFonts w:eastAsia="Arial"/>
                <w:b/>
                <w:color w:val="4472C4"/>
              </w:rPr>
              <w:t xml:space="preserve"> </w:t>
            </w:r>
            <w:r w:rsidRPr="007C60AF">
              <w:rPr>
                <w:rFonts w:eastAsia="Arial"/>
                <w:color w:val="4472C4"/>
              </w:rPr>
              <w:t>GBP/MT (see table 19 below), as the UK industry could pass on part but not all of the increase in the costs of production to their customers.</w:t>
            </w:r>
          </w:p>
          <w:p w14:paraId="000008DB" w14:textId="77777777" w:rsidR="00416D85" w:rsidRPr="007C60AF" w:rsidRDefault="00130320">
            <w:pPr>
              <w:rPr>
                <w:i/>
                <w:color w:val="4472C4"/>
              </w:rPr>
            </w:pPr>
            <w:r w:rsidRPr="007C60AF">
              <w:rPr>
                <w:i/>
                <w:color w:val="4472C4"/>
              </w:rPr>
              <w:t>Export sales to related companies</w:t>
            </w:r>
          </w:p>
          <w:p w14:paraId="000008DC" w14:textId="77777777" w:rsidR="00416D85" w:rsidRPr="007C60AF" w:rsidRDefault="00130320">
            <w:pPr>
              <w:numPr>
                <w:ilvl w:val="6"/>
                <w:numId w:val="61"/>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 xml:space="preserve">The volume of export sales of the UK industry to related companies between the start of the injury period and the POI decreased by an insignificant amount (see table 15 below). </w:t>
            </w:r>
          </w:p>
          <w:p w14:paraId="000008D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8DE" w14:textId="3B2720B0"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On the other hand, the value (see table 17 below) and unit price (see table 19 below) of export sales to related companies increased between the start of the injury period and the third year of the injury by </w:t>
            </w:r>
            <w:r w:rsidR="008758AD" w:rsidRPr="007C60AF">
              <w:rPr>
                <w:rFonts w:eastAsia="Arial"/>
                <w:color w:val="4472C4"/>
              </w:rPr>
              <w:t>[</w:t>
            </w:r>
            <w:r w:rsidR="00574461" w:rsidRPr="007C60AF">
              <w:rPr>
                <w:rFonts w:eastAsia="Arial"/>
                <w:b/>
                <w:color w:val="4472C4"/>
              </w:rPr>
              <w:t>25</w:t>
            </w:r>
            <w:r w:rsidR="00EE45C5" w:rsidRPr="007C60AF">
              <w:rPr>
                <w:rFonts w:eastAsia="Arial"/>
                <w:b/>
                <w:color w:val="4472C4"/>
              </w:rPr>
              <w:t>-</w:t>
            </w:r>
            <w:r w:rsidR="00574461" w:rsidRPr="007C60AF">
              <w:rPr>
                <w:rFonts w:eastAsia="Arial"/>
                <w:b/>
                <w:color w:val="4472C4"/>
              </w:rPr>
              <w:t xml:space="preserve">50%] and </w:t>
            </w:r>
            <w:r w:rsidR="008758AD" w:rsidRPr="007C60AF">
              <w:rPr>
                <w:rFonts w:eastAsia="Arial"/>
                <w:b/>
                <w:color w:val="4472C4"/>
              </w:rPr>
              <w:t>[50-75</w:t>
            </w:r>
            <w:r w:rsidR="00EE45C5" w:rsidRPr="007C60AF">
              <w:rPr>
                <w:rFonts w:eastAsia="Arial"/>
                <w:b/>
                <w:color w:val="4472C4"/>
              </w:rPr>
              <w:t>%</w:t>
            </w:r>
            <w:r w:rsidR="008758AD" w:rsidRPr="007C60AF">
              <w:rPr>
                <w:rFonts w:eastAsia="Arial"/>
                <w:b/>
                <w:color w:val="4472C4"/>
              </w:rPr>
              <w:t>]</w:t>
            </w:r>
            <w:r w:rsidRPr="007C60AF">
              <w:rPr>
                <w:rFonts w:eastAsia="Arial"/>
                <w:b/>
                <w:color w:val="4472C4"/>
              </w:rPr>
              <w:t xml:space="preserve"> </w:t>
            </w:r>
            <w:r w:rsidRPr="007C60AF">
              <w:rPr>
                <w:rFonts w:eastAsia="Arial"/>
                <w:color w:val="4472C4"/>
              </w:rPr>
              <w:t>respectively. However, the increase between the start of the injury period and the POI was also ultimately insignificant.</w:t>
            </w:r>
          </w:p>
          <w:p w14:paraId="000008DF"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8E0" w14:textId="77777777"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This is not necessarily reflective of the market as the sales may reflect intra-company agreements. In addition, please also refer to paragraphs 31 to 33 above with respect to biodiesel prices.</w:t>
            </w:r>
          </w:p>
          <w:p w14:paraId="000008E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8E2" w14:textId="77777777" w:rsidR="00416D85" w:rsidRPr="007C60AF" w:rsidRDefault="00130320">
            <w:pPr>
              <w:pBdr>
                <w:top w:val="nil"/>
                <w:left w:val="nil"/>
                <w:bottom w:val="nil"/>
                <w:right w:val="nil"/>
                <w:between w:val="nil"/>
              </w:pBdr>
              <w:spacing w:after="0" w:line="276" w:lineRule="auto"/>
              <w:jc w:val="both"/>
              <w:rPr>
                <w:rFonts w:eastAsia="Arial"/>
                <w:i/>
                <w:color w:val="4472C4"/>
              </w:rPr>
            </w:pPr>
            <w:r w:rsidRPr="007C60AF">
              <w:rPr>
                <w:rFonts w:eastAsia="Arial"/>
                <w:i/>
                <w:color w:val="4472C4"/>
              </w:rPr>
              <w:t>Total export sales</w:t>
            </w:r>
          </w:p>
          <w:p w14:paraId="000008E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8E4" w14:textId="3E68D5A4"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total volume of export sales to unrelated and related companies decreased by an insignificant amount between the start of the injury period and the POI (see table 15 below). While the value of total export sales increased by </w:t>
            </w:r>
            <w:r w:rsidR="008758AD" w:rsidRPr="007C60AF">
              <w:rPr>
                <w:rFonts w:eastAsia="Arial"/>
                <w:color w:val="4472C4"/>
              </w:rPr>
              <w:t>[</w:t>
            </w:r>
            <w:r w:rsidR="00EE45C5" w:rsidRPr="007C60AF">
              <w:rPr>
                <w:rFonts w:eastAsia="Arial"/>
                <w:b/>
                <w:color w:val="4472C4"/>
              </w:rPr>
              <w:t>50-75</w:t>
            </w:r>
            <w:r w:rsidRPr="007C60AF">
              <w:rPr>
                <w:rFonts w:eastAsia="Arial"/>
                <w:b/>
                <w:color w:val="4472C4"/>
              </w:rPr>
              <w:t>%</w:t>
            </w:r>
            <w:r w:rsidR="008758AD" w:rsidRPr="007C60AF">
              <w:rPr>
                <w:rFonts w:eastAsia="Arial"/>
                <w:b/>
                <w:color w:val="4472C4"/>
              </w:rPr>
              <w:t>]</w:t>
            </w:r>
            <w:r w:rsidRPr="007C60AF">
              <w:rPr>
                <w:rFonts w:eastAsia="Arial"/>
                <w:color w:val="4472C4"/>
              </w:rPr>
              <w:t xml:space="preserve"> between the start of the injury period and the third year of the injury period, the increase between the start of the injury period and the POI was ultimately insignificant (see table 17 below).  </w:t>
            </w:r>
          </w:p>
          <w:p w14:paraId="000008E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E6"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Please refer to paragraph 30 above regarding the shift between different categories of sales. </w:t>
            </w:r>
          </w:p>
          <w:p w14:paraId="000008E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E8"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addition, as mentioned in paragraph 32 above, the significant increase in the export sales price of biodiesel from 2020 to 2022 can be explained by a major increase in the commodity price post-pandemic when supply chain bottlenecks were revealed. However, when the biodiesel market returned to normal operations in 2022 and the POI, such trends reversed, and the prices of biodiesel dropped.</w:t>
            </w:r>
          </w:p>
          <w:p w14:paraId="000008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E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15: Volume of export sales (MT) for the injury period and the POI</w:t>
            </w:r>
          </w:p>
          <w:p w14:paraId="000008E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e"/>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1954EFD" w14:textId="77777777">
              <w:tc>
                <w:tcPr>
                  <w:tcW w:w="1784" w:type="dxa"/>
                  <w:shd w:val="clear" w:color="auto" w:fill="D0CECE"/>
                </w:tcPr>
                <w:p w14:paraId="000008E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8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8E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8E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8F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18040E5D" w14:textId="77777777">
              <w:tc>
                <w:tcPr>
                  <w:tcW w:w="8921" w:type="dxa"/>
                  <w:gridSpan w:val="5"/>
                  <w:shd w:val="clear" w:color="auto" w:fill="D9E2F3"/>
                </w:tcPr>
                <w:p w14:paraId="000008F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(MT)</w:t>
                  </w:r>
                </w:p>
              </w:tc>
            </w:tr>
            <w:tr w:rsidR="00416D85" w:rsidRPr="007C60AF" w14:paraId="6EA7C014" w14:textId="77777777">
              <w:tc>
                <w:tcPr>
                  <w:tcW w:w="1784" w:type="dxa"/>
                  <w:shd w:val="clear" w:color="auto" w:fill="D0CECE"/>
                </w:tcPr>
                <w:p w14:paraId="000008F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8F7" w14:textId="56D8D084"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040AE4" w:rsidRPr="007C60AF">
                    <w:rPr>
                      <w:rFonts w:eastAsia="Arial"/>
                      <w:b/>
                      <w:color w:val="4472C4"/>
                    </w:rPr>
                    <w:t>50,000 – 75,000</w:t>
                  </w:r>
                  <w:r w:rsidRPr="007C60AF">
                    <w:rPr>
                      <w:rFonts w:eastAsia="Arial"/>
                      <w:b/>
                      <w:color w:val="4472C4"/>
                    </w:rPr>
                    <w:t>]</w:t>
                  </w:r>
                </w:p>
              </w:tc>
              <w:tc>
                <w:tcPr>
                  <w:tcW w:w="1784" w:type="dxa"/>
                </w:tcPr>
                <w:p w14:paraId="000008F8" w14:textId="56C42CEC"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040AE4" w:rsidRPr="007C60AF">
                    <w:rPr>
                      <w:rFonts w:eastAsia="Arial"/>
                      <w:b/>
                      <w:color w:val="4472C4"/>
                    </w:rPr>
                    <w:t>75,000 – 100,000</w:t>
                  </w:r>
                  <w:r w:rsidRPr="007C60AF">
                    <w:rPr>
                      <w:rFonts w:eastAsia="Arial"/>
                      <w:b/>
                      <w:color w:val="4472C4"/>
                    </w:rPr>
                    <w:t>]</w:t>
                  </w:r>
                </w:p>
              </w:tc>
              <w:tc>
                <w:tcPr>
                  <w:tcW w:w="1784" w:type="dxa"/>
                </w:tcPr>
                <w:p w14:paraId="000008F9" w14:textId="06D96F64"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 – 75,000]</w:t>
                  </w:r>
                </w:p>
              </w:tc>
              <w:tc>
                <w:tcPr>
                  <w:tcW w:w="1785" w:type="dxa"/>
                </w:tcPr>
                <w:p w14:paraId="000008FA" w14:textId="5E92F384"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 – 75,000]</w:t>
                  </w:r>
                </w:p>
              </w:tc>
            </w:tr>
            <w:tr w:rsidR="00416D85" w:rsidRPr="007C60AF" w14:paraId="3480A53E" w14:textId="77777777">
              <w:tc>
                <w:tcPr>
                  <w:tcW w:w="1784" w:type="dxa"/>
                  <w:shd w:val="clear" w:color="auto" w:fill="D0CECE"/>
                </w:tcPr>
                <w:p w14:paraId="000008F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F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158</w:t>
                  </w:r>
                </w:p>
              </w:tc>
              <w:tc>
                <w:tcPr>
                  <w:tcW w:w="1784" w:type="dxa"/>
                </w:tcPr>
                <w:p w14:paraId="000008F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110</w:t>
                  </w:r>
                </w:p>
              </w:tc>
              <w:tc>
                <w:tcPr>
                  <w:tcW w:w="1785" w:type="dxa"/>
                </w:tcPr>
                <w:p w14:paraId="000008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105</w:t>
                  </w:r>
                </w:p>
              </w:tc>
            </w:tr>
            <w:tr w:rsidR="00416D85" w:rsidRPr="007C60AF" w14:paraId="46501D9B" w14:textId="77777777">
              <w:tc>
                <w:tcPr>
                  <w:tcW w:w="8921" w:type="dxa"/>
                  <w:gridSpan w:val="5"/>
                  <w:shd w:val="clear" w:color="auto" w:fill="D9E2F3"/>
                </w:tcPr>
                <w:p w14:paraId="000009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(MT)</w:t>
                  </w:r>
                </w:p>
              </w:tc>
            </w:tr>
            <w:tr w:rsidR="00416D85" w:rsidRPr="007C60AF" w14:paraId="0A8C943C" w14:textId="77777777">
              <w:tc>
                <w:tcPr>
                  <w:tcW w:w="1784" w:type="dxa"/>
                  <w:shd w:val="clear" w:color="auto" w:fill="D0CECE"/>
                </w:tcPr>
                <w:p w14:paraId="0000090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06" w14:textId="5DE974EB"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[250,000 </w:t>
                  </w:r>
                  <w:r w:rsidR="00130320" w:rsidRPr="007C60AF">
                    <w:rPr>
                      <w:rFonts w:eastAsia="Arial"/>
                      <w:b/>
                      <w:color w:val="4472C4"/>
                    </w:rPr>
                    <w:t xml:space="preserve">– </w:t>
                  </w:r>
                  <w:r w:rsidRPr="007C60AF">
                    <w:rPr>
                      <w:rFonts w:eastAsia="Arial"/>
                      <w:b/>
                      <w:color w:val="4472C4"/>
                    </w:rPr>
                    <w:t>300,000]</w:t>
                  </w:r>
                </w:p>
              </w:tc>
              <w:tc>
                <w:tcPr>
                  <w:tcW w:w="1784" w:type="dxa"/>
                </w:tcPr>
                <w:p w14:paraId="00000907" w14:textId="60375042"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[250,000 – 300,000]</w:t>
                  </w:r>
                </w:p>
              </w:tc>
              <w:tc>
                <w:tcPr>
                  <w:tcW w:w="1784" w:type="dxa"/>
                </w:tcPr>
                <w:p w14:paraId="00000908" w14:textId="450EDB9A"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[250,000 – 300,000]</w:t>
                  </w:r>
                </w:p>
              </w:tc>
              <w:tc>
                <w:tcPr>
                  <w:tcW w:w="1785" w:type="dxa"/>
                </w:tcPr>
                <w:p w14:paraId="00000909" w14:textId="62F28EDA"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[250,000 – 300,000]</w:t>
                  </w:r>
                </w:p>
              </w:tc>
            </w:tr>
            <w:tr w:rsidR="00416D85" w:rsidRPr="007C60AF" w14:paraId="4E1F7BDE" w14:textId="77777777">
              <w:tc>
                <w:tcPr>
                  <w:tcW w:w="1784" w:type="dxa"/>
                  <w:shd w:val="clear" w:color="auto" w:fill="D0CECE"/>
                </w:tcPr>
                <w:p w14:paraId="000009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0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88</w:t>
                  </w:r>
                </w:p>
              </w:tc>
              <w:tc>
                <w:tcPr>
                  <w:tcW w:w="1784" w:type="dxa"/>
                </w:tcPr>
                <w:p w14:paraId="0000090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85</w:t>
                  </w:r>
                </w:p>
              </w:tc>
              <w:tc>
                <w:tcPr>
                  <w:tcW w:w="1785" w:type="dxa"/>
                </w:tcPr>
                <w:p w14:paraId="000009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97</w:t>
                  </w:r>
                </w:p>
              </w:tc>
            </w:tr>
            <w:tr w:rsidR="00416D85" w:rsidRPr="007C60AF" w14:paraId="28DFC4B9" w14:textId="77777777">
              <w:tc>
                <w:tcPr>
                  <w:tcW w:w="8921" w:type="dxa"/>
                  <w:gridSpan w:val="5"/>
                  <w:shd w:val="clear" w:color="auto" w:fill="D9E2F3"/>
                </w:tcPr>
                <w:p w14:paraId="0000090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EXPORT SALES (MT)</w:t>
                  </w:r>
                </w:p>
              </w:tc>
            </w:tr>
            <w:tr w:rsidR="00416D85" w:rsidRPr="007C60AF" w14:paraId="2B8AB537" w14:textId="77777777">
              <w:tc>
                <w:tcPr>
                  <w:tcW w:w="1784" w:type="dxa"/>
                  <w:shd w:val="clear" w:color="auto" w:fill="D0CECE"/>
                </w:tcPr>
                <w:p w14:paraId="0000091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15" w14:textId="74743938"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[300,000 </w:t>
                  </w:r>
                  <w:r w:rsidR="00130320" w:rsidRPr="007C60AF">
                    <w:rPr>
                      <w:rFonts w:eastAsia="Arial"/>
                      <w:b/>
                      <w:color w:val="4472C4"/>
                    </w:rPr>
                    <w:t xml:space="preserve">– </w:t>
                  </w:r>
                  <w:r w:rsidRPr="007C60AF">
                    <w:rPr>
                      <w:rFonts w:eastAsia="Arial"/>
                      <w:b/>
                      <w:color w:val="4472C4"/>
                    </w:rPr>
                    <w:t>400,000]</w:t>
                  </w:r>
                </w:p>
              </w:tc>
              <w:tc>
                <w:tcPr>
                  <w:tcW w:w="1784" w:type="dxa"/>
                </w:tcPr>
                <w:p w14:paraId="00000916" w14:textId="29C41248"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 – 400,000]</w:t>
                  </w:r>
                </w:p>
              </w:tc>
              <w:tc>
                <w:tcPr>
                  <w:tcW w:w="1784" w:type="dxa"/>
                </w:tcPr>
                <w:p w14:paraId="00000917" w14:textId="61FE0E39"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 – 400,000]</w:t>
                  </w:r>
                </w:p>
              </w:tc>
              <w:tc>
                <w:tcPr>
                  <w:tcW w:w="1785" w:type="dxa"/>
                </w:tcPr>
                <w:p w14:paraId="00000918" w14:textId="6A749824"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 – 400,000]</w:t>
                  </w:r>
                </w:p>
              </w:tc>
            </w:tr>
            <w:tr w:rsidR="00416D85" w:rsidRPr="007C60AF" w14:paraId="0356C7D1" w14:textId="77777777">
              <w:tc>
                <w:tcPr>
                  <w:tcW w:w="1784" w:type="dxa"/>
                  <w:shd w:val="clear" w:color="auto" w:fill="D0CECE"/>
                </w:tcPr>
                <w:p w14:paraId="0000091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1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1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90</w:t>
                  </w:r>
                </w:p>
              </w:tc>
              <w:tc>
                <w:tcPr>
                  <w:tcW w:w="1785" w:type="dxa"/>
                </w:tcPr>
                <w:p w14:paraId="0000091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98</w:t>
                  </w:r>
                </w:p>
              </w:tc>
            </w:tr>
          </w:tbl>
          <w:p w14:paraId="0000091E" w14:textId="77777777" w:rsidR="00416D85" w:rsidRPr="007C60AF" w:rsidRDefault="00416D85">
            <w:pPr>
              <w:spacing w:after="0"/>
              <w:jc w:val="both"/>
              <w:rPr>
                <w:color w:val="4472C4"/>
              </w:rPr>
            </w:pPr>
          </w:p>
          <w:p w14:paraId="000009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16: Volume of export sales (MT) for Q2 2023 – Q2 2024</w:t>
            </w:r>
          </w:p>
          <w:p w14:paraId="0000092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1332"/>
              <w:gridCol w:w="1344"/>
              <w:gridCol w:w="1428"/>
              <w:gridCol w:w="1465"/>
              <w:gridCol w:w="1564"/>
            </w:tblGrid>
            <w:tr w:rsidR="00416D85" w:rsidRPr="007C60AF" w14:paraId="333C3F52" w14:textId="77777777">
              <w:tc>
                <w:tcPr>
                  <w:tcW w:w="1788" w:type="dxa"/>
                  <w:shd w:val="clear" w:color="auto" w:fill="D0CECE"/>
                </w:tcPr>
                <w:p w14:paraId="0000092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332" w:type="dxa"/>
                  <w:shd w:val="clear" w:color="auto" w:fill="D0CECE"/>
                </w:tcPr>
                <w:p w14:paraId="000009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344" w:type="dxa"/>
                  <w:shd w:val="clear" w:color="auto" w:fill="D0CECE"/>
                </w:tcPr>
                <w:p w14:paraId="0000092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428" w:type="dxa"/>
                  <w:shd w:val="clear" w:color="auto" w:fill="D0CECE"/>
                </w:tcPr>
                <w:p w14:paraId="0000092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465" w:type="dxa"/>
                  <w:shd w:val="clear" w:color="auto" w:fill="D0CECE"/>
                </w:tcPr>
                <w:p w14:paraId="0000092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64" w:type="dxa"/>
                  <w:shd w:val="clear" w:color="auto" w:fill="D0CECE"/>
                </w:tcPr>
                <w:p w14:paraId="0000092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2955EE94" w14:textId="77777777">
              <w:tc>
                <w:tcPr>
                  <w:tcW w:w="7357" w:type="dxa"/>
                  <w:gridSpan w:val="5"/>
                  <w:shd w:val="clear" w:color="auto" w:fill="D9E2F3"/>
                </w:tcPr>
                <w:p w14:paraId="0000092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(MT)</w:t>
                  </w:r>
                </w:p>
              </w:tc>
              <w:tc>
                <w:tcPr>
                  <w:tcW w:w="1564" w:type="dxa"/>
                  <w:shd w:val="clear" w:color="auto" w:fill="D9E2F3"/>
                </w:tcPr>
                <w:p w14:paraId="0000092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60AE69AC" w14:textId="77777777">
              <w:tc>
                <w:tcPr>
                  <w:tcW w:w="1788" w:type="dxa"/>
                  <w:shd w:val="clear" w:color="auto" w:fill="D0CECE"/>
                </w:tcPr>
                <w:p w14:paraId="0000092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332" w:type="dxa"/>
                </w:tcPr>
                <w:p w14:paraId="0000092E" w14:textId="15FD8B73"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4E1EE8" w:rsidRPr="007C60AF">
                    <w:rPr>
                      <w:rFonts w:eastAsia="Arial"/>
                      <w:b/>
                      <w:color w:val="4472C4"/>
                    </w:rPr>
                    <w:t>20,00</w:t>
                  </w:r>
                  <w:r w:rsidR="00EA249C" w:rsidRPr="007C60AF">
                    <w:rPr>
                      <w:rFonts w:eastAsia="Arial"/>
                      <w:b/>
                      <w:color w:val="4472C4"/>
                    </w:rPr>
                    <w:t xml:space="preserve">0 – </w:t>
                  </w:r>
                  <w:r w:rsidR="004E1EE8" w:rsidRPr="007C60AF">
                    <w:rPr>
                      <w:rFonts w:eastAsia="Arial"/>
                      <w:b/>
                      <w:color w:val="4472C4"/>
                    </w:rPr>
                    <w:t>30</w:t>
                  </w:r>
                  <w:r w:rsidR="00EA249C" w:rsidRPr="007C60AF">
                    <w:rPr>
                      <w:rFonts w:eastAsia="Arial"/>
                      <w:b/>
                      <w:color w:val="4472C4"/>
                    </w:rPr>
                    <w:t>,000</w:t>
                  </w:r>
                  <w:r w:rsidRPr="007C60AF">
                    <w:rPr>
                      <w:rFonts w:eastAsia="Arial"/>
                      <w:b/>
                      <w:color w:val="4472C4"/>
                    </w:rPr>
                    <w:t>]</w:t>
                  </w:r>
                </w:p>
              </w:tc>
              <w:tc>
                <w:tcPr>
                  <w:tcW w:w="1344" w:type="dxa"/>
                </w:tcPr>
                <w:p w14:paraId="0000092F" w14:textId="3ADB839C"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right="-116"/>
                    <w:jc w:val="both"/>
                    <w:rPr>
                      <w:rFonts w:eastAsia="Arial"/>
                      <w:color w:val="4472C4"/>
                    </w:rPr>
                  </w:pPr>
                  <w:r w:rsidRPr="007C60AF">
                    <w:rPr>
                      <w:rFonts w:eastAsia="Arial"/>
                      <w:b/>
                      <w:color w:val="4472C4"/>
                    </w:rPr>
                    <w:t>[</w:t>
                  </w:r>
                  <w:r w:rsidR="004E1EE8" w:rsidRPr="007C60AF">
                    <w:rPr>
                      <w:rFonts w:eastAsia="Arial"/>
                      <w:b/>
                      <w:color w:val="4472C4"/>
                    </w:rPr>
                    <w:t>10,00</w:t>
                  </w:r>
                  <w:r w:rsidR="00EA249C" w:rsidRPr="007C60AF">
                    <w:rPr>
                      <w:rFonts w:eastAsia="Arial"/>
                      <w:b/>
                      <w:color w:val="4472C4"/>
                    </w:rPr>
                    <w:t>0 – 2</w:t>
                  </w:r>
                  <w:r w:rsidR="004E1EE8" w:rsidRPr="007C60AF">
                    <w:rPr>
                      <w:rFonts w:eastAsia="Arial"/>
                      <w:b/>
                      <w:color w:val="4472C4"/>
                    </w:rPr>
                    <w:t>0</w:t>
                  </w:r>
                  <w:r w:rsidR="00EA249C" w:rsidRPr="007C60AF">
                    <w:rPr>
                      <w:rFonts w:eastAsia="Arial"/>
                      <w:b/>
                      <w:color w:val="4472C4"/>
                    </w:rPr>
                    <w:t>,000</w:t>
                  </w:r>
                  <w:r w:rsidRPr="007C60AF">
                    <w:rPr>
                      <w:rFonts w:eastAsia="Arial"/>
                      <w:b/>
                      <w:color w:val="4472C4"/>
                    </w:rPr>
                    <w:t>]</w:t>
                  </w:r>
                </w:p>
              </w:tc>
              <w:tc>
                <w:tcPr>
                  <w:tcW w:w="1428" w:type="dxa"/>
                </w:tcPr>
                <w:p w14:paraId="00000930" w14:textId="4EEFAA88"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F3630D" w:rsidRPr="007C60AF">
                    <w:rPr>
                      <w:rFonts w:eastAsia="Arial"/>
                      <w:b/>
                      <w:color w:val="4472C4"/>
                    </w:rPr>
                    <w:t>10,000 – 20,000</w:t>
                  </w:r>
                  <w:r w:rsidRPr="007C60AF">
                    <w:rPr>
                      <w:rFonts w:eastAsia="Arial"/>
                      <w:b/>
                      <w:color w:val="4472C4"/>
                    </w:rPr>
                    <w:t>]</w:t>
                  </w:r>
                </w:p>
              </w:tc>
              <w:tc>
                <w:tcPr>
                  <w:tcW w:w="1465" w:type="dxa"/>
                </w:tcPr>
                <w:p w14:paraId="00000931" w14:textId="58A9B7C7"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right="-95"/>
                    <w:jc w:val="both"/>
                    <w:rPr>
                      <w:rFonts w:eastAsia="Arial"/>
                      <w:color w:val="4472C4"/>
                    </w:rPr>
                  </w:pPr>
                  <w:r w:rsidRPr="007C60AF">
                    <w:rPr>
                      <w:rFonts w:eastAsia="Arial"/>
                      <w:b/>
                      <w:color w:val="4472C4"/>
                    </w:rPr>
                    <w:t>[</w:t>
                  </w:r>
                  <w:r w:rsidR="00F3630D" w:rsidRPr="007C60AF">
                    <w:rPr>
                      <w:rFonts w:eastAsia="Arial"/>
                      <w:b/>
                      <w:color w:val="4472C4"/>
                    </w:rPr>
                    <w:t>10,000 – 20,000</w:t>
                  </w:r>
                  <w:r w:rsidRPr="007C60AF">
                    <w:rPr>
                      <w:rFonts w:eastAsia="Arial"/>
                      <w:b/>
                      <w:color w:val="4472C4"/>
                    </w:rPr>
                    <w:t>]</w:t>
                  </w:r>
                </w:p>
              </w:tc>
              <w:tc>
                <w:tcPr>
                  <w:tcW w:w="1564" w:type="dxa"/>
                </w:tcPr>
                <w:p w14:paraId="00000932" w14:textId="15EC13AC"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F3630D" w:rsidRPr="007C60AF">
                    <w:rPr>
                      <w:rFonts w:eastAsia="Arial"/>
                      <w:b/>
                      <w:color w:val="4472C4"/>
                    </w:rPr>
                    <w:t>9,000</w:t>
                  </w:r>
                  <w:r w:rsidR="00EA249C" w:rsidRPr="007C60AF">
                    <w:rPr>
                      <w:rFonts w:eastAsia="Arial"/>
                      <w:b/>
                      <w:color w:val="4472C4"/>
                    </w:rPr>
                    <w:t xml:space="preserve"> – 1</w:t>
                  </w:r>
                  <w:r w:rsidR="00F3630D" w:rsidRPr="007C60AF">
                    <w:rPr>
                      <w:rFonts w:eastAsia="Arial"/>
                      <w:b/>
                      <w:color w:val="4472C4"/>
                    </w:rPr>
                    <w:t>0</w:t>
                  </w:r>
                  <w:r w:rsidR="00EA249C" w:rsidRPr="007C60AF">
                    <w:rPr>
                      <w:rFonts w:eastAsia="Arial"/>
                      <w:b/>
                      <w:color w:val="4472C4"/>
                    </w:rPr>
                    <w:t>,000</w:t>
                  </w:r>
                  <w:r w:rsidRPr="007C60AF">
                    <w:rPr>
                      <w:rFonts w:eastAsia="Arial"/>
                      <w:b/>
                      <w:color w:val="4472C4"/>
                    </w:rPr>
                    <w:t>]</w:t>
                  </w:r>
                </w:p>
              </w:tc>
            </w:tr>
            <w:tr w:rsidR="00416D85" w:rsidRPr="007C60AF" w14:paraId="1E18D762" w14:textId="77777777">
              <w:tc>
                <w:tcPr>
                  <w:tcW w:w="1788" w:type="dxa"/>
                  <w:shd w:val="clear" w:color="auto" w:fill="D0CECE"/>
                </w:tcPr>
                <w:p w14:paraId="0000093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332" w:type="dxa"/>
                </w:tcPr>
                <w:p w14:paraId="0000093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344" w:type="dxa"/>
                </w:tcPr>
                <w:p w14:paraId="000009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54</w:t>
                  </w:r>
                </w:p>
              </w:tc>
              <w:tc>
                <w:tcPr>
                  <w:tcW w:w="1428" w:type="dxa"/>
                </w:tcPr>
                <w:p w14:paraId="000009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74</w:t>
                  </w:r>
                </w:p>
              </w:tc>
              <w:tc>
                <w:tcPr>
                  <w:tcW w:w="1465" w:type="dxa"/>
                </w:tcPr>
                <w:p w14:paraId="0000093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45</w:t>
                  </w:r>
                </w:p>
              </w:tc>
              <w:tc>
                <w:tcPr>
                  <w:tcW w:w="1564" w:type="dxa"/>
                </w:tcPr>
                <w:p w14:paraId="000009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41</w:t>
                  </w:r>
                </w:p>
              </w:tc>
            </w:tr>
            <w:tr w:rsidR="00416D85" w:rsidRPr="007C60AF" w14:paraId="3A0B93A8" w14:textId="77777777">
              <w:tc>
                <w:tcPr>
                  <w:tcW w:w="7357" w:type="dxa"/>
                  <w:gridSpan w:val="5"/>
                  <w:shd w:val="clear" w:color="auto" w:fill="D9E2F3"/>
                </w:tcPr>
                <w:p w14:paraId="000009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(MT)</w:t>
                  </w:r>
                </w:p>
              </w:tc>
              <w:tc>
                <w:tcPr>
                  <w:tcW w:w="1564" w:type="dxa"/>
                  <w:shd w:val="clear" w:color="auto" w:fill="D9E2F3"/>
                </w:tcPr>
                <w:p w14:paraId="0000093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692C71B0" w14:textId="77777777">
              <w:tc>
                <w:tcPr>
                  <w:tcW w:w="1788" w:type="dxa"/>
                  <w:shd w:val="clear" w:color="auto" w:fill="D0CECE"/>
                </w:tcPr>
                <w:p w14:paraId="0000093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UK industry</w:t>
                  </w:r>
                </w:p>
              </w:tc>
              <w:tc>
                <w:tcPr>
                  <w:tcW w:w="1332" w:type="dxa"/>
                </w:tcPr>
                <w:p w14:paraId="00000940" w14:textId="1CBB6442"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972E08" w:rsidRPr="007C60AF">
                    <w:rPr>
                      <w:rFonts w:eastAsia="Arial"/>
                      <w:b/>
                      <w:color w:val="4472C4"/>
                    </w:rPr>
                    <w:t>40</w:t>
                  </w:r>
                  <w:r w:rsidR="00EA249C" w:rsidRPr="007C60AF">
                    <w:rPr>
                      <w:rFonts w:eastAsia="Arial"/>
                      <w:b/>
                      <w:color w:val="4472C4"/>
                    </w:rPr>
                    <w:t>,000 – 50,000</w:t>
                  </w:r>
                  <w:r w:rsidRPr="007C60AF">
                    <w:rPr>
                      <w:rFonts w:eastAsia="Arial"/>
                      <w:b/>
                      <w:color w:val="4472C4"/>
                    </w:rPr>
                    <w:t>]</w:t>
                  </w:r>
                </w:p>
              </w:tc>
              <w:tc>
                <w:tcPr>
                  <w:tcW w:w="1344" w:type="dxa"/>
                </w:tcPr>
                <w:p w14:paraId="00000941" w14:textId="5C020959"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EA249C" w:rsidRPr="007C60AF">
                    <w:rPr>
                      <w:rFonts w:eastAsia="Arial"/>
                      <w:b/>
                      <w:color w:val="4472C4"/>
                    </w:rPr>
                    <w:t>50,000 – 75,000</w:t>
                  </w:r>
                  <w:r w:rsidRPr="007C60AF">
                    <w:rPr>
                      <w:rFonts w:eastAsia="Arial"/>
                      <w:b/>
                      <w:color w:val="4472C4"/>
                    </w:rPr>
                    <w:t>]</w:t>
                  </w:r>
                </w:p>
              </w:tc>
              <w:tc>
                <w:tcPr>
                  <w:tcW w:w="1428" w:type="dxa"/>
                </w:tcPr>
                <w:p w14:paraId="00000942" w14:textId="552D7F36"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EA249C" w:rsidRPr="007C60AF">
                    <w:rPr>
                      <w:rFonts w:eastAsia="Arial"/>
                      <w:b/>
                      <w:color w:val="4472C4"/>
                    </w:rPr>
                    <w:t>75,000 – 100,000</w:t>
                  </w:r>
                  <w:r w:rsidRPr="007C60AF">
                    <w:rPr>
                      <w:rFonts w:eastAsia="Arial"/>
                      <w:b/>
                      <w:color w:val="4472C4"/>
                    </w:rPr>
                    <w:t>]</w:t>
                  </w:r>
                </w:p>
              </w:tc>
              <w:tc>
                <w:tcPr>
                  <w:tcW w:w="1465" w:type="dxa"/>
                </w:tcPr>
                <w:p w14:paraId="00000943" w14:textId="4D761953"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EA249C" w:rsidRPr="007C60AF">
                    <w:rPr>
                      <w:rFonts w:eastAsia="Arial"/>
                      <w:b/>
                      <w:color w:val="4472C4"/>
                    </w:rPr>
                    <w:t>75,000 – 100,000</w:t>
                  </w:r>
                  <w:r w:rsidRPr="007C60AF">
                    <w:rPr>
                      <w:rFonts w:eastAsia="Arial"/>
                      <w:b/>
                      <w:color w:val="4472C4"/>
                    </w:rPr>
                    <w:t>]</w:t>
                  </w:r>
                </w:p>
              </w:tc>
              <w:tc>
                <w:tcPr>
                  <w:tcW w:w="1564" w:type="dxa"/>
                </w:tcPr>
                <w:p w14:paraId="00000944" w14:textId="48466711"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972E08" w:rsidRPr="007C60AF">
                    <w:rPr>
                      <w:rFonts w:eastAsia="Arial"/>
                      <w:b/>
                      <w:color w:val="4472C4"/>
                    </w:rPr>
                    <w:t>40</w:t>
                  </w:r>
                  <w:r w:rsidR="00EA249C" w:rsidRPr="007C60AF">
                    <w:rPr>
                      <w:rFonts w:eastAsia="Arial"/>
                      <w:b/>
                      <w:color w:val="4472C4"/>
                    </w:rPr>
                    <w:t>,000 – 50,000</w:t>
                  </w:r>
                  <w:r w:rsidRPr="007C60AF">
                    <w:rPr>
                      <w:rFonts w:eastAsia="Arial"/>
                      <w:b/>
                      <w:color w:val="4472C4"/>
                    </w:rPr>
                    <w:t>]</w:t>
                  </w:r>
                </w:p>
              </w:tc>
            </w:tr>
            <w:tr w:rsidR="00416D85" w:rsidRPr="007C60AF" w14:paraId="69126F16" w14:textId="77777777">
              <w:tc>
                <w:tcPr>
                  <w:tcW w:w="1788" w:type="dxa"/>
                  <w:shd w:val="clear" w:color="auto" w:fill="D0CECE"/>
                </w:tcPr>
                <w:p w14:paraId="0000094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332" w:type="dxa"/>
                </w:tcPr>
                <w:p w14:paraId="0000094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344" w:type="dxa"/>
                </w:tcPr>
                <w:p w14:paraId="000009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150</w:t>
                  </w:r>
                </w:p>
              </w:tc>
              <w:tc>
                <w:tcPr>
                  <w:tcW w:w="1428" w:type="dxa"/>
                </w:tcPr>
                <w:p w14:paraId="000009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177</w:t>
                  </w:r>
                </w:p>
              </w:tc>
              <w:tc>
                <w:tcPr>
                  <w:tcW w:w="1465" w:type="dxa"/>
                </w:tcPr>
                <w:p w14:paraId="000009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181</w:t>
                  </w:r>
                </w:p>
              </w:tc>
              <w:tc>
                <w:tcPr>
                  <w:tcW w:w="1564" w:type="dxa"/>
                </w:tcPr>
                <w:p w14:paraId="000009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96</w:t>
                  </w:r>
                </w:p>
              </w:tc>
            </w:tr>
            <w:tr w:rsidR="00416D85" w:rsidRPr="007C60AF" w14:paraId="033C8C64" w14:textId="77777777">
              <w:tc>
                <w:tcPr>
                  <w:tcW w:w="7357" w:type="dxa"/>
                  <w:gridSpan w:val="5"/>
                  <w:shd w:val="clear" w:color="auto" w:fill="D9E2F3"/>
                </w:tcPr>
                <w:p w14:paraId="0000094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EXPORT SALES (MT)</w:t>
                  </w:r>
                </w:p>
              </w:tc>
              <w:tc>
                <w:tcPr>
                  <w:tcW w:w="1564" w:type="dxa"/>
                  <w:shd w:val="clear" w:color="auto" w:fill="D9E2F3"/>
                </w:tcPr>
                <w:p w14:paraId="0000095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44E2934C" w14:textId="77777777">
              <w:tc>
                <w:tcPr>
                  <w:tcW w:w="1788" w:type="dxa"/>
                  <w:shd w:val="clear" w:color="auto" w:fill="D0CECE"/>
                </w:tcPr>
                <w:p w14:paraId="0000095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332" w:type="dxa"/>
                </w:tcPr>
                <w:p w14:paraId="00000952" w14:textId="4FECC434"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EA249C" w:rsidRPr="007C60AF">
                    <w:rPr>
                      <w:rFonts w:eastAsia="Arial"/>
                      <w:b/>
                      <w:color w:val="4472C4"/>
                    </w:rPr>
                    <w:t>50,000 – 75,000</w:t>
                  </w:r>
                  <w:r w:rsidRPr="007C60AF">
                    <w:rPr>
                      <w:rFonts w:eastAsia="Arial"/>
                      <w:b/>
                      <w:color w:val="4472C4"/>
                    </w:rPr>
                    <w:t>]</w:t>
                  </w:r>
                </w:p>
              </w:tc>
              <w:tc>
                <w:tcPr>
                  <w:tcW w:w="1344" w:type="dxa"/>
                </w:tcPr>
                <w:p w14:paraId="00000953" w14:textId="492FCE3D"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EA249C" w:rsidRPr="007C60AF">
                    <w:rPr>
                      <w:rFonts w:eastAsia="Arial"/>
                      <w:b/>
                      <w:color w:val="4472C4"/>
                    </w:rPr>
                    <w:t>75,000 – 100,000</w:t>
                  </w:r>
                  <w:r w:rsidRPr="007C60AF">
                    <w:rPr>
                      <w:rFonts w:eastAsia="Arial"/>
                      <w:b/>
                      <w:color w:val="4472C4"/>
                    </w:rPr>
                    <w:t>]</w:t>
                  </w:r>
                </w:p>
              </w:tc>
              <w:tc>
                <w:tcPr>
                  <w:tcW w:w="1428" w:type="dxa"/>
                </w:tcPr>
                <w:p w14:paraId="00000954" w14:textId="4A07E1B6"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EA249C" w:rsidRPr="007C60AF">
                    <w:rPr>
                      <w:rFonts w:eastAsia="Arial"/>
                      <w:b/>
                      <w:color w:val="4472C4"/>
                    </w:rPr>
                    <w:t>100,000 – 1</w:t>
                  </w:r>
                  <w:r w:rsidR="00972E08" w:rsidRPr="007C60AF">
                    <w:rPr>
                      <w:rFonts w:eastAsia="Arial"/>
                      <w:b/>
                      <w:color w:val="4472C4"/>
                    </w:rPr>
                    <w:t>25</w:t>
                  </w:r>
                  <w:r w:rsidR="00EA249C" w:rsidRPr="007C60AF">
                    <w:rPr>
                      <w:rFonts w:eastAsia="Arial"/>
                      <w:b/>
                      <w:color w:val="4472C4"/>
                    </w:rPr>
                    <w:t>,000</w:t>
                  </w:r>
                  <w:r w:rsidRPr="007C60AF">
                    <w:rPr>
                      <w:rFonts w:eastAsia="Arial"/>
                      <w:b/>
                      <w:color w:val="4472C4"/>
                    </w:rPr>
                    <w:t>]</w:t>
                  </w:r>
                </w:p>
              </w:tc>
              <w:tc>
                <w:tcPr>
                  <w:tcW w:w="1465" w:type="dxa"/>
                </w:tcPr>
                <w:p w14:paraId="00000955" w14:textId="2B6ADE02"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335A97" w:rsidRPr="007C60AF">
                    <w:rPr>
                      <w:rFonts w:eastAsia="Arial"/>
                      <w:b/>
                      <w:color w:val="4472C4"/>
                    </w:rPr>
                    <w:t>75,000 – 100,000</w:t>
                  </w:r>
                  <w:r w:rsidRPr="007C60AF">
                    <w:rPr>
                      <w:rFonts w:eastAsia="Arial"/>
                      <w:b/>
                      <w:color w:val="4472C4"/>
                    </w:rPr>
                    <w:t>]</w:t>
                  </w:r>
                </w:p>
              </w:tc>
              <w:tc>
                <w:tcPr>
                  <w:tcW w:w="1564" w:type="dxa"/>
                </w:tcPr>
                <w:p w14:paraId="00000956" w14:textId="73FE5739"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335A97" w:rsidRPr="007C60AF">
                    <w:rPr>
                      <w:rFonts w:eastAsia="Arial"/>
                      <w:b/>
                      <w:color w:val="4472C4"/>
                    </w:rPr>
                    <w:t>50,000 – 75,000</w:t>
                  </w:r>
                  <w:r w:rsidRPr="007C60AF">
                    <w:rPr>
                      <w:rFonts w:eastAsia="Arial"/>
                      <w:b/>
                      <w:color w:val="4472C4"/>
                    </w:rPr>
                    <w:t>]</w:t>
                  </w:r>
                </w:p>
              </w:tc>
            </w:tr>
            <w:tr w:rsidR="00416D85" w:rsidRPr="007C60AF" w14:paraId="4339A294" w14:textId="77777777">
              <w:tc>
                <w:tcPr>
                  <w:tcW w:w="1788" w:type="dxa"/>
                  <w:shd w:val="clear" w:color="auto" w:fill="D0CECE"/>
                </w:tcPr>
                <w:p w14:paraId="000009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332" w:type="dxa"/>
                </w:tcPr>
                <w:p w14:paraId="000009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344" w:type="dxa"/>
                </w:tcPr>
                <w:p w14:paraId="000009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c>
                <w:tcPr>
                  <w:tcW w:w="1428" w:type="dxa"/>
                </w:tcPr>
                <w:p w14:paraId="000009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142</w:t>
                  </w:r>
                </w:p>
              </w:tc>
              <w:tc>
                <w:tcPr>
                  <w:tcW w:w="1465" w:type="dxa"/>
                </w:tcPr>
                <w:p w14:paraId="000009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c>
                <w:tcPr>
                  <w:tcW w:w="1564" w:type="dxa"/>
                </w:tcPr>
                <w:p w14:paraId="000009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78</w:t>
                  </w:r>
                </w:p>
              </w:tc>
            </w:tr>
          </w:tbl>
          <w:p w14:paraId="0000095D" w14:textId="77777777" w:rsidR="00416D85" w:rsidRPr="007C60AF" w:rsidRDefault="00416D85">
            <w:pPr>
              <w:spacing w:after="0"/>
              <w:jc w:val="both"/>
              <w:rPr>
                <w:color w:val="4472C4"/>
              </w:rPr>
            </w:pPr>
          </w:p>
          <w:p w14:paraId="0000095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17: Value of export sales (GBP) for the injury period and the POI</w:t>
            </w:r>
          </w:p>
          <w:p w14:paraId="0000095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0"/>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151EDBB0" w14:textId="77777777">
              <w:tc>
                <w:tcPr>
                  <w:tcW w:w="1784" w:type="dxa"/>
                  <w:shd w:val="clear" w:color="auto" w:fill="D0CECE"/>
                </w:tcPr>
                <w:p w14:paraId="0000096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9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9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9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9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5BDEB332" w14:textId="77777777">
              <w:tc>
                <w:tcPr>
                  <w:tcW w:w="8921" w:type="dxa"/>
                  <w:gridSpan w:val="5"/>
                  <w:shd w:val="clear" w:color="auto" w:fill="D9E2F3"/>
                </w:tcPr>
                <w:p w14:paraId="0000096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(GBP)</w:t>
                  </w:r>
                </w:p>
              </w:tc>
            </w:tr>
            <w:tr w:rsidR="00416D85" w:rsidRPr="007C60AF" w14:paraId="098D7137" w14:textId="77777777">
              <w:trPr>
                <w:trHeight w:val="456"/>
              </w:trPr>
              <w:tc>
                <w:tcPr>
                  <w:tcW w:w="1784" w:type="dxa"/>
                  <w:shd w:val="clear" w:color="auto" w:fill="D0CECE"/>
                </w:tcPr>
                <w:p w14:paraId="000009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96B" w14:textId="7F650D08"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[50,000,000-60,000,000]</w:t>
                  </w:r>
                </w:p>
              </w:tc>
              <w:tc>
                <w:tcPr>
                  <w:tcW w:w="1784" w:type="dxa"/>
                </w:tcPr>
                <w:p w14:paraId="0000096C" w14:textId="62B1D853"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[100,000,000-</w:t>
                  </w:r>
                  <w:r w:rsidR="00A022EC" w:rsidRPr="007C60AF">
                    <w:rPr>
                      <w:rFonts w:eastAsia="Arial"/>
                      <w:b/>
                      <w:color w:val="4472C4"/>
                    </w:rPr>
                    <w:t>150</w:t>
                  </w:r>
                  <w:r w:rsidRPr="007C60AF">
                    <w:rPr>
                      <w:rFonts w:eastAsia="Arial"/>
                      <w:b/>
                      <w:color w:val="4472C4"/>
                    </w:rPr>
                    <w:t>,000,000]</w:t>
                  </w:r>
                </w:p>
              </w:tc>
              <w:tc>
                <w:tcPr>
                  <w:tcW w:w="1784" w:type="dxa"/>
                </w:tcPr>
                <w:p w14:paraId="0000096D" w14:textId="7F8D258D"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[100,000,000-</w:t>
                  </w:r>
                  <w:r w:rsidR="00A022EC" w:rsidRPr="007C60AF">
                    <w:rPr>
                      <w:rFonts w:eastAsia="Arial"/>
                      <w:b/>
                      <w:color w:val="4472C4"/>
                    </w:rPr>
                    <w:t>150</w:t>
                  </w:r>
                  <w:r w:rsidRPr="007C60AF">
                    <w:rPr>
                      <w:rFonts w:eastAsia="Arial"/>
                      <w:b/>
                      <w:color w:val="4472C4"/>
                    </w:rPr>
                    <w:t>,000,000]</w:t>
                  </w:r>
                </w:p>
              </w:tc>
              <w:tc>
                <w:tcPr>
                  <w:tcW w:w="1785" w:type="dxa"/>
                </w:tcPr>
                <w:p w14:paraId="0000096E" w14:textId="64E69FEA"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[70,000,000-80,000,000]</w:t>
                  </w:r>
                </w:p>
              </w:tc>
            </w:tr>
            <w:tr w:rsidR="00416D85" w:rsidRPr="007C60AF" w14:paraId="123CFB9D" w14:textId="77777777">
              <w:tc>
                <w:tcPr>
                  <w:tcW w:w="1784" w:type="dxa"/>
                  <w:shd w:val="clear" w:color="auto" w:fill="D0CECE"/>
                </w:tcPr>
                <w:p w14:paraId="0000096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7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7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213</w:t>
                  </w:r>
                </w:p>
              </w:tc>
              <w:tc>
                <w:tcPr>
                  <w:tcW w:w="1784" w:type="dxa"/>
                </w:tcPr>
                <w:p w14:paraId="0000097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184</w:t>
                  </w:r>
                </w:p>
              </w:tc>
              <w:tc>
                <w:tcPr>
                  <w:tcW w:w="1785" w:type="dxa"/>
                </w:tcPr>
                <w:p w14:paraId="000009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124</w:t>
                  </w:r>
                </w:p>
              </w:tc>
            </w:tr>
            <w:tr w:rsidR="00416D85" w:rsidRPr="007C60AF" w14:paraId="488D6517" w14:textId="77777777">
              <w:tc>
                <w:tcPr>
                  <w:tcW w:w="8921" w:type="dxa"/>
                  <w:gridSpan w:val="5"/>
                  <w:shd w:val="clear" w:color="auto" w:fill="D9E2F3"/>
                </w:tcPr>
                <w:p w14:paraId="000009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(GBP)</w:t>
                  </w:r>
                </w:p>
              </w:tc>
            </w:tr>
            <w:tr w:rsidR="00416D85" w:rsidRPr="007C60AF" w14:paraId="736BFFE4" w14:textId="77777777">
              <w:tc>
                <w:tcPr>
                  <w:tcW w:w="1784" w:type="dxa"/>
                  <w:shd w:val="clear" w:color="auto" w:fill="D0CECE"/>
                </w:tcPr>
                <w:p w14:paraId="000009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7A" w14:textId="37B2E979"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w:t>
                  </w:r>
                  <w:r w:rsidR="00A022EC" w:rsidRPr="007C60AF">
                    <w:rPr>
                      <w:rFonts w:eastAsia="Arial"/>
                      <w:b/>
                      <w:color w:val="4472C4"/>
                    </w:rPr>
                    <w:t>5</w:t>
                  </w:r>
                  <w:r w:rsidRPr="007C60AF">
                    <w:rPr>
                      <w:rFonts w:eastAsia="Arial"/>
                      <w:b/>
                      <w:color w:val="4472C4"/>
                    </w:rPr>
                    <w:t>0,000,000-300,000,000]</w:t>
                  </w:r>
                </w:p>
              </w:tc>
              <w:tc>
                <w:tcPr>
                  <w:tcW w:w="1784" w:type="dxa"/>
                </w:tcPr>
                <w:p w14:paraId="0000097B" w14:textId="3454EE0A"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300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00A022EC" w:rsidRPr="007C60AF">
                    <w:rPr>
                      <w:rFonts w:eastAsia="Arial"/>
                      <w:b/>
                      <w:color w:val="4472C4"/>
                    </w:rPr>
                    <w:t>35</w:t>
                  </w:r>
                  <w:r w:rsidRPr="007C60AF">
                    <w:rPr>
                      <w:rFonts w:eastAsia="Arial"/>
                      <w:b/>
                      <w:color w:val="4472C4"/>
                    </w:rPr>
                    <w:t>0,000,000]</w:t>
                  </w:r>
                </w:p>
              </w:tc>
              <w:tc>
                <w:tcPr>
                  <w:tcW w:w="1784" w:type="dxa"/>
                </w:tcPr>
                <w:p w14:paraId="0000097C" w14:textId="393CD385"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[400,000,000-</w:t>
                  </w:r>
                  <w:r w:rsidR="00A022EC" w:rsidRPr="007C60AF">
                    <w:rPr>
                      <w:rFonts w:eastAsia="Arial"/>
                      <w:b/>
                      <w:color w:val="4472C4"/>
                    </w:rPr>
                    <w:t>45</w:t>
                  </w:r>
                  <w:r w:rsidRPr="007C60AF">
                    <w:rPr>
                      <w:rFonts w:eastAsia="Arial"/>
                      <w:b/>
                      <w:color w:val="4472C4"/>
                    </w:rPr>
                    <w:t>0,000,000]</w:t>
                  </w:r>
                </w:p>
              </w:tc>
              <w:tc>
                <w:tcPr>
                  <w:tcW w:w="1785" w:type="dxa"/>
                </w:tcPr>
                <w:p w14:paraId="0000097D" w14:textId="3CEA9C6C"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w:t>
                  </w:r>
                  <w:r w:rsidR="00A022EC" w:rsidRPr="007C60AF">
                    <w:rPr>
                      <w:rFonts w:eastAsia="Arial"/>
                      <w:b/>
                      <w:color w:val="4472C4"/>
                    </w:rPr>
                    <w:t>5</w:t>
                  </w:r>
                  <w:r w:rsidRPr="007C60AF">
                    <w:rPr>
                      <w:rFonts w:eastAsia="Arial"/>
                      <w:b/>
                      <w:color w:val="4472C4"/>
                    </w:rPr>
                    <w:t>0,000,000-300,000,000]</w:t>
                  </w:r>
                </w:p>
              </w:tc>
            </w:tr>
            <w:tr w:rsidR="00416D85" w:rsidRPr="007C60AF" w14:paraId="1144B42F" w14:textId="77777777">
              <w:tc>
                <w:tcPr>
                  <w:tcW w:w="1784" w:type="dxa"/>
                  <w:shd w:val="clear" w:color="auto" w:fill="D0CECE"/>
                </w:tcPr>
                <w:p w14:paraId="000009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124</w:t>
                  </w:r>
                </w:p>
              </w:tc>
              <w:tc>
                <w:tcPr>
                  <w:tcW w:w="1784" w:type="dxa"/>
                </w:tcPr>
                <w:p w14:paraId="000009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147</w:t>
                  </w:r>
                </w:p>
              </w:tc>
              <w:tc>
                <w:tcPr>
                  <w:tcW w:w="1785" w:type="dxa"/>
                </w:tcPr>
                <w:p w14:paraId="0000098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101</w:t>
                  </w:r>
                </w:p>
              </w:tc>
            </w:tr>
            <w:tr w:rsidR="00416D85" w:rsidRPr="007C60AF" w14:paraId="13C12759" w14:textId="77777777">
              <w:tc>
                <w:tcPr>
                  <w:tcW w:w="8921" w:type="dxa"/>
                  <w:gridSpan w:val="5"/>
                  <w:shd w:val="clear" w:color="auto" w:fill="D9E2F3"/>
                </w:tcPr>
                <w:p w14:paraId="000009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EXPORT SALES (GBP)</w:t>
                  </w:r>
                </w:p>
              </w:tc>
            </w:tr>
            <w:tr w:rsidR="00416D85" w:rsidRPr="007C60AF" w14:paraId="740F449D" w14:textId="77777777">
              <w:tc>
                <w:tcPr>
                  <w:tcW w:w="1784" w:type="dxa"/>
                  <w:shd w:val="clear" w:color="auto" w:fill="D0CECE"/>
                </w:tcPr>
                <w:p w14:paraId="0000098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89" w14:textId="0F7FADE2"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[3000,000,000-</w:t>
                  </w:r>
                  <w:r w:rsidR="00A022EC" w:rsidRPr="007C60AF">
                    <w:rPr>
                      <w:rFonts w:eastAsia="Arial"/>
                      <w:b/>
                      <w:color w:val="4472C4"/>
                    </w:rPr>
                    <w:t>35</w:t>
                  </w:r>
                  <w:r w:rsidRPr="007C60AF">
                    <w:rPr>
                      <w:rFonts w:eastAsia="Arial"/>
                      <w:b/>
                      <w:color w:val="4472C4"/>
                    </w:rPr>
                    <w:t>0,000,000]</w:t>
                  </w:r>
                </w:p>
              </w:tc>
              <w:tc>
                <w:tcPr>
                  <w:tcW w:w="1784" w:type="dxa"/>
                </w:tcPr>
                <w:p w14:paraId="0000098A" w14:textId="62B1154E"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[4</w:t>
                  </w:r>
                  <w:r w:rsidR="00A022EC" w:rsidRPr="007C60AF">
                    <w:rPr>
                      <w:rFonts w:eastAsia="Arial"/>
                      <w:b/>
                      <w:color w:val="4472C4"/>
                    </w:rPr>
                    <w:t>5</w:t>
                  </w:r>
                  <w:r w:rsidRPr="007C60AF">
                    <w:rPr>
                      <w:rFonts w:eastAsia="Arial"/>
                      <w:b/>
                      <w:color w:val="4472C4"/>
                    </w:rPr>
                    <w:t>0,000,000-500,000,000]</w:t>
                  </w:r>
                </w:p>
              </w:tc>
              <w:tc>
                <w:tcPr>
                  <w:tcW w:w="1784" w:type="dxa"/>
                </w:tcPr>
                <w:p w14:paraId="0000098B" w14:textId="211770DD"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[500,000,000-</w:t>
                  </w:r>
                  <w:r w:rsidR="00A022EC" w:rsidRPr="007C60AF">
                    <w:rPr>
                      <w:rFonts w:eastAsia="Arial"/>
                      <w:b/>
                      <w:color w:val="4472C4"/>
                    </w:rPr>
                    <w:t>55</w:t>
                  </w:r>
                  <w:r w:rsidRPr="007C60AF">
                    <w:rPr>
                      <w:rFonts w:eastAsia="Arial"/>
                      <w:b/>
                      <w:color w:val="4472C4"/>
                    </w:rPr>
                    <w:t>0,000,000]</w:t>
                  </w:r>
                </w:p>
              </w:tc>
              <w:tc>
                <w:tcPr>
                  <w:tcW w:w="1785" w:type="dxa"/>
                </w:tcPr>
                <w:p w14:paraId="0000098C" w14:textId="45B0CA00"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[3000,000,000-</w:t>
                  </w:r>
                  <w:r w:rsidR="00A022EC" w:rsidRPr="007C60AF">
                    <w:rPr>
                      <w:rFonts w:eastAsia="Arial"/>
                      <w:b/>
                      <w:color w:val="4472C4"/>
                    </w:rPr>
                    <w:t>35</w:t>
                  </w:r>
                  <w:r w:rsidRPr="007C60AF">
                    <w:rPr>
                      <w:rFonts w:eastAsia="Arial"/>
                      <w:b/>
                      <w:color w:val="4472C4"/>
                    </w:rPr>
                    <w:t>0,000,000]</w:t>
                  </w:r>
                </w:p>
              </w:tc>
            </w:tr>
            <w:tr w:rsidR="00416D85" w:rsidRPr="007C60AF" w14:paraId="08C83F96" w14:textId="77777777">
              <w:tc>
                <w:tcPr>
                  <w:tcW w:w="1784" w:type="dxa"/>
                  <w:shd w:val="clear" w:color="auto" w:fill="D0CECE"/>
                </w:tcPr>
                <w:p w14:paraId="0000098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8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8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139</w:t>
                  </w:r>
                </w:p>
              </w:tc>
              <w:tc>
                <w:tcPr>
                  <w:tcW w:w="1784" w:type="dxa"/>
                </w:tcPr>
                <w:p w14:paraId="0000099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153</w:t>
                  </w:r>
                </w:p>
              </w:tc>
              <w:tc>
                <w:tcPr>
                  <w:tcW w:w="1785" w:type="dxa"/>
                </w:tcPr>
                <w:p w14:paraId="0000099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105</w:t>
                  </w:r>
                </w:p>
              </w:tc>
            </w:tr>
          </w:tbl>
          <w:p w14:paraId="00000992" w14:textId="77777777" w:rsidR="00416D85" w:rsidRPr="007C60AF" w:rsidRDefault="00416D85">
            <w:pPr>
              <w:spacing w:after="0"/>
              <w:jc w:val="both"/>
              <w:rPr>
                <w:color w:val="4472C4"/>
              </w:rPr>
            </w:pPr>
          </w:p>
          <w:p w14:paraId="000009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lastRenderedPageBreak/>
              <w:t>Table 18: Value of export sales (GBP) for Q2 2023 – Q2 2024</w:t>
            </w:r>
          </w:p>
          <w:p w14:paraId="0000099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1"/>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0"/>
              <w:gridCol w:w="1550"/>
              <w:gridCol w:w="1551"/>
              <w:gridCol w:w="1556"/>
              <w:gridCol w:w="1551"/>
            </w:tblGrid>
            <w:tr w:rsidR="00416D85" w:rsidRPr="007C60AF" w14:paraId="053C1D69" w14:textId="77777777">
              <w:tc>
                <w:tcPr>
                  <w:tcW w:w="1163" w:type="dxa"/>
                  <w:shd w:val="clear" w:color="auto" w:fill="D0CECE"/>
                </w:tcPr>
                <w:p w14:paraId="0000099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550" w:type="dxa"/>
                  <w:shd w:val="clear" w:color="auto" w:fill="D0CECE"/>
                </w:tcPr>
                <w:p w14:paraId="000009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0" w:type="dxa"/>
                  <w:shd w:val="clear" w:color="auto" w:fill="D0CECE"/>
                </w:tcPr>
                <w:p w14:paraId="000009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1" w:type="dxa"/>
                  <w:shd w:val="clear" w:color="auto" w:fill="D0CECE"/>
                </w:tcPr>
                <w:p w14:paraId="000009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6" w:type="dxa"/>
                  <w:shd w:val="clear" w:color="auto" w:fill="D0CECE"/>
                </w:tcPr>
                <w:p w14:paraId="0000099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1" w:type="dxa"/>
                  <w:shd w:val="clear" w:color="auto" w:fill="D0CECE"/>
                </w:tcPr>
                <w:p w14:paraId="0000099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6E40F64C" w14:textId="77777777">
              <w:tc>
                <w:tcPr>
                  <w:tcW w:w="7370" w:type="dxa"/>
                  <w:gridSpan w:val="5"/>
                  <w:shd w:val="clear" w:color="auto" w:fill="D9E2F3"/>
                </w:tcPr>
                <w:p w14:paraId="0000099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(GBP)</w:t>
                  </w:r>
                </w:p>
              </w:tc>
              <w:tc>
                <w:tcPr>
                  <w:tcW w:w="1551" w:type="dxa"/>
                  <w:shd w:val="clear" w:color="auto" w:fill="D9E2F3"/>
                </w:tcPr>
                <w:p w14:paraId="000009A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4D35A171" w14:textId="77777777">
              <w:tc>
                <w:tcPr>
                  <w:tcW w:w="1163" w:type="dxa"/>
                  <w:shd w:val="clear" w:color="auto" w:fill="D0CECE"/>
                </w:tcPr>
                <w:p w14:paraId="000009A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0" w:type="dxa"/>
                </w:tcPr>
                <w:p w14:paraId="000009A2" w14:textId="2A4247AE"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w:t>
                  </w:r>
                  <w:r w:rsidR="00972E08" w:rsidRPr="007C60AF">
                    <w:rPr>
                      <w:rFonts w:eastAsia="Arial"/>
                      <w:b/>
                      <w:color w:val="4472C4"/>
                    </w:rPr>
                    <w:t>5</w:t>
                  </w:r>
                  <w:r w:rsidRPr="007C60AF">
                    <w:rPr>
                      <w:rFonts w:eastAsia="Arial"/>
                      <w:b/>
                      <w:color w:val="4472C4"/>
                    </w:rPr>
                    <w:t>,000,000-30,000,000]</w:t>
                  </w:r>
                </w:p>
              </w:tc>
              <w:tc>
                <w:tcPr>
                  <w:tcW w:w="1550" w:type="dxa"/>
                </w:tcPr>
                <w:p w14:paraId="000009A3" w14:textId="781B32B4"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w:t>
                  </w:r>
                  <w:r w:rsidR="00972E08" w:rsidRPr="007C60AF">
                    <w:rPr>
                      <w:rFonts w:eastAsia="Arial"/>
                      <w:b/>
                      <w:color w:val="4472C4"/>
                    </w:rPr>
                    <w:t>15</w:t>
                  </w:r>
                  <w:r w:rsidRPr="007C60AF">
                    <w:rPr>
                      <w:rFonts w:eastAsia="Arial"/>
                      <w:b/>
                      <w:color w:val="4472C4"/>
                    </w:rPr>
                    <w:t>,000,000]</w:t>
                  </w:r>
                </w:p>
              </w:tc>
              <w:tc>
                <w:tcPr>
                  <w:tcW w:w="1551" w:type="dxa"/>
                </w:tcPr>
                <w:p w14:paraId="000009A4" w14:textId="46751E6C"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w:t>
                  </w:r>
                  <w:r w:rsidR="00972E08" w:rsidRPr="007C60AF">
                    <w:rPr>
                      <w:rFonts w:eastAsia="Arial"/>
                      <w:b/>
                      <w:color w:val="4472C4"/>
                    </w:rPr>
                    <w:t>5</w:t>
                  </w:r>
                  <w:r w:rsidRPr="007C60AF">
                    <w:rPr>
                      <w:rFonts w:eastAsia="Arial"/>
                      <w:b/>
                      <w:color w:val="4472C4"/>
                    </w:rPr>
                    <w:t>,000,000-20,000,000]</w:t>
                  </w:r>
                </w:p>
              </w:tc>
              <w:tc>
                <w:tcPr>
                  <w:tcW w:w="1556" w:type="dxa"/>
                </w:tcPr>
                <w:p w14:paraId="000009A5" w14:textId="161CF8F8"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w:t>
                  </w:r>
                  <w:r w:rsidR="00972E08" w:rsidRPr="007C60AF">
                    <w:rPr>
                      <w:rFonts w:eastAsia="Arial"/>
                      <w:b/>
                      <w:color w:val="4472C4"/>
                    </w:rPr>
                    <w:t>15</w:t>
                  </w:r>
                  <w:r w:rsidRPr="007C60AF">
                    <w:rPr>
                      <w:rFonts w:eastAsia="Arial"/>
                      <w:b/>
                      <w:color w:val="4472C4"/>
                    </w:rPr>
                    <w:t>,000,000]</w:t>
                  </w:r>
                </w:p>
              </w:tc>
              <w:tc>
                <w:tcPr>
                  <w:tcW w:w="1551" w:type="dxa"/>
                </w:tcPr>
                <w:p w14:paraId="000009A6" w14:textId="7087EC80"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972E08" w:rsidRPr="007C60AF">
                    <w:rPr>
                      <w:rFonts w:eastAsia="Arial"/>
                      <w:b/>
                      <w:color w:val="4472C4"/>
                    </w:rPr>
                    <w:t>9</w:t>
                  </w:r>
                  <w:r w:rsidRPr="007C60AF">
                    <w:rPr>
                      <w:rFonts w:eastAsia="Arial"/>
                      <w:b/>
                      <w:color w:val="4472C4"/>
                    </w:rPr>
                    <w:t>,000,000-10,000,000]</w:t>
                  </w:r>
                </w:p>
              </w:tc>
            </w:tr>
            <w:tr w:rsidR="00416D85" w:rsidRPr="007C60AF" w14:paraId="1D7F522E" w14:textId="77777777">
              <w:tc>
                <w:tcPr>
                  <w:tcW w:w="1163" w:type="dxa"/>
                  <w:shd w:val="clear" w:color="auto" w:fill="D0CECE"/>
                </w:tcPr>
                <w:p w14:paraId="000009A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0" w:type="dxa"/>
                </w:tcPr>
                <w:p w14:paraId="000009A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0" w:type="dxa"/>
                </w:tcPr>
                <w:p w14:paraId="000009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51</w:t>
                  </w:r>
                </w:p>
              </w:tc>
              <w:tc>
                <w:tcPr>
                  <w:tcW w:w="1551" w:type="dxa"/>
                </w:tcPr>
                <w:p w14:paraId="000009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70</w:t>
                  </w:r>
                </w:p>
              </w:tc>
              <w:tc>
                <w:tcPr>
                  <w:tcW w:w="1556" w:type="dxa"/>
                </w:tcPr>
                <w:p w14:paraId="000009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40</w:t>
                  </w:r>
                </w:p>
              </w:tc>
              <w:tc>
                <w:tcPr>
                  <w:tcW w:w="1551" w:type="dxa"/>
                </w:tcPr>
                <w:p w14:paraId="000009A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36</w:t>
                  </w:r>
                </w:p>
              </w:tc>
            </w:tr>
            <w:tr w:rsidR="00416D85" w:rsidRPr="007C60AF" w14:paraId="3880784B" w14:textId="77777777">
              <w:tc>
                <w:tcPr>
                  <w:tcW w:w="7370" w:type="dxa"/>
                  <w:gridSpan w:val="5"/>
                  <w:shd w:val="clear" w:color="auto" w:fill="D9E2F3"/>
                </w:tcPr>
                <w:p w14:paraId="000009A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(GBP)</w:t>
                  </w:r>
                </w:p>
              </w:tc>
              <w:tc>
                <w:tcPr>
                  <w:tcW w:w="1551" w:type="dxa"/>
                  <w:shd w:val="clear" w:color="auto" w:fill="D9E2F3"/>
                </w:tcPr>
                <w:p w14:paraId="000009B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339396F6" w14:textId="77777777">
              <w:tc>
                <w:tcPr>
                  <w:tcW w:w="1163" w:type="dxa"/>
                  <w:shd w:val="clear" w:color="auto" w:fill="D0CECE"/>
                </w:tcPr>
                <w:p w14:paraId="000009B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0" w:type="dxa"/>
                </w:tcPr>
                <w:p w14:paraId="000009B4" w14:textId="2988E35C"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40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 xml:space="preserve">000 </w:t>
                  </w:r>
                  <w:r w:rsidRPr="007C60AF">
                    <w:rPr>
                      <w:rFonts w:eastAsia="Arial"/>
                      <w:b/>
                      <w:color w:val="4472C4"/>
                    </w:rPr>
                    <w:t>-50,000,000]</w:t>
                  </w:r>
                </w:p>
              </w:tc>
              <w:tc>
                <w:tcPr>
                  <w:tcW w:w="1550" w:type="dxa"/>
                </w:tcPr>
                <w:p w14:paraId="000009B5" w14:textId="6CCD671C"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70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 – 80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551" w:type="dxa"/>
                </w:tcPr>
                <w:p w14:paraId="000009B6" w14:textId="70F60EC9"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[70,000,000 – 80,000,000]</w:t>
                  </w:r>
                </w:p>
              </w:tc>
              <w:tc>
                <w:tcPr>
                  <w:tcW w:w="1556" w:type="dxa"/>
                </w:tcPr>
                <w:p w14:paraId="000009B7" w14:textId="2AA22723"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[80,000,000-90,000,000]</w:t>
                  </w:r>
                </w:p>
              </w:tc>
              <w:tc>
                <w:tcPr>
                  <w:tcW w:w="1551" w:type="dxa"/>
                </w:tcPr>
                <w:p w14:paraId="000009B8" w14:textId="29C435C5"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[40,000,000-50,000,000]</w:t>
                  </w:r>
                </w:p>
              </w:tc>
            </w:tr>
            <w:tr w:rsidR="00416D85" w:rsidRPr="007C60AF" w14:paraId="40131A4F" w14:textId="77777777">
              <w:tc>
                <w:tcPr>
                  <w:tcW w:w="1163" w:type="dxa"/>
                  <w:shd w:val="clear" w:color="auto" w:fill="D0CECE"/>
                </w:tcPr>
                <w:p w14:paraId="000009B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0" w:type="dxa"/>
                </w:tcPr>
                <w:p w14:paraId="000009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0" w:type="dxa"/>
                </w:tcPr>
                <w:p w14:paraId="000009B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178</w:t>
                  </w:r>
                </w:p>
              </w:tc>
              <w:tc>
                <w:tcPr>
                  <w:tcW w:w="1551" w:type="dxa"/>
                </w:tcPr>
                <w:p w14:paraId="000009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169</w:t>
                  </w:r>
                </w:p>
              </w:tc>
              <w:tc>
                <w:tcPr>
                  <w:tcW w:w="1556" w:type="dxa"/>
                </w:tcPr>
                <w:p w14:paraId="000009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196</w:t>
                  </w:r>
                </w:p>
              </w:tc>
              <w:tc>
                <w:tcPr>
                  <w:tcW w:w="1551" w:type="dxa"/>
                </w:tcPr>
                <w:p w14:paraId="000009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112</w:t>
                  </w:r>
                </w:p>
              </w:tc>
            </w:tr>
            <w:tr w:rsidR="00416D85" w:rsidRPr="007C60AF" w14:paraId="37E5125B" w14:textId="77777777">
              <w:tc>
                <w:tcPr>
                  <w:tcW w:w="7370" w:type="dxa"/>
                  <w:gridSpan w:val="5"/>
                  <w:shd w:val="clear" w:color="auto" w:fill="D9E2F3"/>
                </w:tcPr>
                <w:p w14:paraId="000009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EXPORT SALES (GBP)</w:t>
                  </w:r>
                </w:p>
              </w:tc>
              <w:tc>
                <w:tcPr>
                  <w:tcW w:w="1551" w:type="dxa"/>
                  <w:shd w:val="clear" w:color="auto" w:fill="D9E2F3"/>
                </w:tcPr>
                <w:p w14:paraId="000009C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69FDF5BD" w14:textId="77777777">
              <w:tc>
                <w:tcPr>
                  <w:tcW w:w="1163" w:type="dxa"/>
                  <w:shd w:val="clear" w:color="auto" w:fill="D0CECE"/>
                </w:tcPr>
                <w:p w14:paraId="000009C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0" w:type="dxa"/>
                </w:tcPr>
                <w:p w14:paraId="000009C6" w14:textId="674F880D"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[70,000,000-80,000,000]</w:t>
                  </w:r>
                </w:p>
              </w:tc>
              <w:tc>
                <w:tcPr>
                  <w:tcW w:w="1550" w:type="dxa"/>
                </w:tcPr>
                <w:p w14:paraId="000009C7" w14:textId="41DD7CE9"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[90,000,000-100,000,000]</w:t>
                  </w:r>
                </w:p>
              </w:tc>
              <w:tc>
                <w:tcPr>
                  <w:tcW w:w="1551" w:type="dxa"/>
                </w:tcPr>
                <w:p w14:paraId="000009C8" w14:textId="690DC2D8"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[90,000,000-100,000,000]</w:t>
                  </w:r>
                </w:p>
              </w:tc>
              <w:tc>
                <w:tcPr>
                  <w:tcW w:w="1556" w:type="dxa"/>
                </w:tcPr>
                <w:p w14:paraId="000009C9" w14:textId="4FF8CE41"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[90,000,000-100,000,000]</w:t>
                  </w:r>
                </w:p>
              </w:tc>
              <w:tc>
                <w:tcPr>
                  <w:tcW w:w="1551" w:type="dxa"/>
                </w:tcPr>
                <w:p w14:paraId="000009CA" w14:textId="170D8223"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[50,000,000-60,000,000]</w:t>
                  </w:r>
                </w:p>
              </w:tc>
            </w:tr>
            <w:tr w:rsidR="00416D85" w:rsidRPr="007C60AF" w14:paraId="4EC934D7" w14:textId="77777777">
              <w:trPr>
                <w:trHeight w:val="70"/>
              </w:trPr>
              <w:tc>
                <w:tcPr>
                  <w:tcW w:w="1163" w:type="dxa"/>
                  <w:shd w:val="clear" w:color="auto" w:fill="D0CECE"/>
                </w:tcPr>
                <w:p w14:paraId="000009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0" w:type="dxa"/>
                </w:tcPr>
                <w:p w14:paraId="000009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0" w:type="dxa"/>
                </w:tcPr>
                <w:p w14:paraId="000009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129</w:t>
                  </w:r>
                </w:p>
              </w:tc>
              <w:tc>
                <w:tcPr>
                  <w:tcW w:w="1551" w:type="dxa"/>
                </w:tcPr>
                <w:p w14:paraId="000009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131</w:t>
                  </w:r>
                </w:p>
              </w:tc>
              <w:tc>
                <w:tcPr>
                  <w:tcW w:w="1556" w:type="dxa"/>
                </w:tcPr>
                <w:p w14:paraId="000009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c>
                <w:tcPr>
                  <w:tcW w:w="1551" w:type="dxa"/>
                </w:tcPr>
                <w:p w14:paraId="000009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83</w:t>
                  </w:r>
                </w:p>
              </w:tc>
            </w:tr>
          </w:tbl>
          <w:p w14:paraId="502FC62E" w14:textId="77777777" w:rsidR="001F503C" w:rsidRPr="007C60AF" w:rsidRDefault="001F503C">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p>
          <w:p w14:paraId="000009D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19: Unit price of export sales (GBP/MT) for the injury period and the POI</w:t>
            </w:r>
          </w:p>
          <w:p w14:paraId="000009D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2"/>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17FD0C80" w14:textId="77777777">
              <w:tc>
                <w:tcPr>
                  <w:tcW w:w="1784" w:type="dxa"/>
                  <w:shd w:val="clear" w:color="auto" w:fill="D0CECE"/>
                </w:tcPr>
                <w:p w14:paraId="000009D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9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9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9D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9D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61D54FA8" w14:textId="77777777">
              <w:tc>
                <w:tcPr>
                  <w:tcW w:w="8921" w:type="dxa"/>
                  <w:gridSpan w:val="5"/>
                  <w:shd w:val="clear" w:color="auto" w:fill="D9E2F3"/>
                </w:tcPr>
                <w:p w14:paraId="000009D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(GBP/MT)</w:t>
                  </w:r>
                </w:p>
              </w:tc>
            </w:tr>
            <w:tr w:rsidR="00416D85" w:rsidRPr="007C60AF" w14:paraId="4F5DD2F8" w14:textId="77777777">
              <w:tc>
                <w:tcPr>
                  <w:tcW w:w="1784" w:type="dxa"/>
                  <w:shd w:val="clear" w:color="auto" w:fill="D0CECE"/>
                </w:tcPr>
                <w:p w14:paraId="000009D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9DF" w14:textId="7C46291D"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56D18" w:rsidRPr="007C60AF">
                    <w:rPr>
                      <w:rFonts w:eastAsia="Arial"/>
                      <w:b/>
                      <w:color w:val="4472C4"/>
                    </w:rPr>
                    <w:t>750 – 1000</w:t>
                  </w:r>
                  <w:r w:rsidRPr="007C60AF">
                    <w:rPr>
                      <w:rFonts w:eastAsia="Arial"/>
                      <w:b/>
                      <w:color w:val="4472C4"/>
                    </w:rPr>
                    <w:t>]</w:t>
                  </w:r>
                </w:p>
              </w:tc>
              <w:tc>
                <w:tcPr>
                  <w:tcW w:w="1784" w:type="dxa"/>
                </w:tcPr>
                <w:p w14:paraId="000009E0" w14:textId="2AA44AC7"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56D18" w:rsidRPr="007C60AF">
                    <w:rPr>
                      <w:rFonts w:eastAsia="Arial"/>
                      <w:b/>
                      <w:color w:val="4472C4"/>
                    </w:rPr>
                    <w:t xml:space="preserve">1,000 – </w:t>
                  </w:r>
                  <w:r w:rsidR="00825EF9" w:rsidRPr="007C60AF">
                    <w:rPr>
                      <w:rFonts w:eastAsia="Arial"/>
                      <w:b/>
                      <w:color w:val="4472C4"/>
                    </w:rPr>
                    <w:t>1</w:t>
                  </w:r>
                  <w:r w:rsidR="00D56D18" w:rsidRPr="007C60AF">
                    <w:rPr>
                      <w:rFonts w:eastAsia="Arial"/>
                      <w:b/>
                      <w:color w:val="4472C4"/>
                    </w:rPr>
                    <w:t>,</w:t>
                  </w:r>
                  <w:r w:rsidR="00825EF9" w:rsidRPr="007C60AF">
                    <w:rPr>
                      <w:rFonts w:eastAsia="Arial"/>
                      <w:b/>
                      <w:color w:val="4472C4"/>
                    </w:rPr>
                    <w:t>5</w:t>
                  </w:r>
                  <w:r w:rsidR="00D56D18" w:rsidRPr="007C60AF">
                    <w:rPr>
                      <w:rFonts w:eastAsia="Arial"/>
                      <w:b/>
                      <w:color w:val="4472C4"/>
                    </w:rPr>
                    <w:t>00</w:t>
                  </w:r>
                  <w:r w:rsidRPr="007C60AF">
                    <w:rPr>
                      <w:rFonts w:eastAsia="Arial"/>
                      <w:b/>
                      <w:color w:val="4472C4"/>
                    </w:rPr>
                    <w:t>]</w:t>
                  </w:r>
                </w:p>
              </w:tc>
              <w:tc>
                <w:tcPr>
                  <w:tcW w:w="1784" w:type="dxa"/>
                </w:tcPr>
                <w:p w14:paraId="000009E1" w14:textId="473F681D"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w:t>
                  </w:r>
                  <w:r w:rsidR="00D56D18" w:rsidRPr="007C60AF">
                    <w:rPr>
                      <w:rFonts w:eastAsia="Arial"/>
                      <w:b/>
                      <w:bCs/>
                      <w:color w:val="4472C4"/>
                    </w:rPr>
                    <w:t>1,</w:t>
                  </w:r>
                  <w:r w:rsidR="00825EF9" w:rsidRPr="007C60AF">
                    <w:rPr>
                      <w:rFonts w:eastAsia="Arial"/>
                      <w:b/>
                      <w:bCs/>
                      <w:color w:val="4472C4"/>
                    </w:rPr>
                    <w:t>5</w:t>
                  </w:r>
                  <w:r w:rsidR="00D56D18" w:rsidRPr="007C60AF">
                    <w:rPr>
                      <w:rFonts w:eastAsia="Arial"/>
                      <w:b/>
                      <w:bCs/>
                      <w:color w:val="4472C4"/>
                    </w:rPr>
                    <w:t>00 – 2,000</w:t>
                  </w:r>
                  <w:r w:rsidRPr="007C60AF">
                    <w:rPr>
                      <w:rFonts w:eastAsia="Arial"/>
                      <w:b/>
                      <w:bCs/>
                      <w:color w:val="4472C4"/>
                    </w:rPr>
                    <w:t>]</w:t>
                  </w:r>
                </w:p>
              </w:tc>
              <w:tc>
                <w:tcPr>
                  <w:tcW w:w="1785" w:type="dxa"/>
                </w:tcPr>
                <w:p w14:paraId="000009E2" w14:textId="4A3D8CB1"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Pr="007C60AF">
                    <w:rPr>
                      <w:rFonts w:eastAsia="Arial"/>
                      <w:b/>
                      <w:bCs/>
                      <w:color w:val="4472C4"/>
                    </w:rPr>
                    <w:t xml:space="preserve">1,000 – </w:t>
                  </w:r>
                  <w:r w:rsidR="00825EF9" w:rsidRPr="007C60AF">
                    <w:rPr>
                      <w:rFonts w:eastAsia="Arial"/>
                      <w:b/>
                      <w:bCs/>
                      <w:color w:val="4472C4"/>
                    </w:rPr>
                    <w:t>1</w:t>
                  </w:r>
                  <w:r w:rsidRPr="007C60AF">
                    <w:rPr>
                      <w:rFonts w:eastAsia="Arial"/>
                      <w:b/>
                      <w:bCs/>
                      <w:color w:val="4472C4"/>
                    </w:rPr>
                    <w:t>,</w:t>
                  </w:r>
                  <w:r w:rsidR="00825EF9" w:rsidRPr="007C60AF">
                    <w:rPr>
                      <w:rFonts w:eastAsia="Arial"/>
                      <w:b/>
                      <w:bCs/>
                      <w:color w:val="4472C4"/>
                    </w:rPr>
                    <w:t>5</w:t>
                  </w:r>
                  <w:r w:rsidRPr="007C60AF">
                    <w:rPr>
                      <w:rFonts w:eastAsia="Arial"/>
                      <w:b/>
                      <w:bCs/>
                      <w:color w:val="4472C4"/>
                    </w:rPr>
                    <w:t>00]</w:t>
                  </w:r>
                </w:p>
              </w:tc>
            </w:tr>
            <w:tr w:rsidR="00416D85" w:rsidRPr="007C60AF" w14:paraId="5D73665C" w14:textId="77777777">
              <w:tc>
                <w:tcPr>
                  <w:tcW w:w="1784" w:type="dxa"/>
                  <w:shd w:val="clear" w:color="auto" w:fill="D0CECE"/>
                </w:tcPr>
                <w:p w14:paraId="000009E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Index: Q2 2020 - Q1 2021 = 100</w:t>
                  </w:r>
                </w:p>
              </w:tc>
              <w:tc>
                <w:tcPr>
                  <w:tcW w:w="1784" w:type="dxa"/>
                </w:tcPr>
                <w:p w14:paraId="000009E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E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c>
                <w:tcPr>
                  <w:tcW w:w="1784" w:type="dxa"/>
                </w:tcPr>
                <w:p w14:paraId="000009E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167</w:t>
                  </w:r>
                </w:p>
              </w:tc>
              <w:tc>
                <w:tcPr>
                  <w:tcW w:w="1785" w:type="dxa"/>
                </w:tcPr>
                <w:p w14:paraId="000009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118</w:t>
                  </w:r>
                </w:p>
              </w:tc>
            </w:tr>
            <w:tr w:rsidR="00416D85" w:rsidRPr="007C60AF" w14:paraId="2F2AB156" w14:textId="77777777">
              <w:tc>
                <w:tcPr>
                  <w:tcW w:w="8921" w:type="dxa"/>
                  <w:gridSpan w:val="5"/>
                  <w:shd w:val="clear" w:color="auto" w:fill="D9E2F3"/>
                </w:tcPr>
                <w:p w14:paraId="000009E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(GBP/MT)</w:t>
                  </w:r>
                </w:p>
              </w:tc>
            </w:tr>
            <w:tr w:rsidR="00416D85" w:rsidRPr="007C60AF" w14:paraId="13E208E3" w14:textId="77777777">
              <w:tc>
                <w:tcPr>
                  <w:tcW w:w="1784" w:type="dxa"/>
                  <w:shd w:val="clear" w:color="auto" w:fill="D0CECE"/>
                </w:tcPr>
                <w:p w14:paraId="000009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EE" w14:textId="364B3CF7"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56D18" w:rsidRPr="007C60AF">
                    <w:rPr>
                      <w:rFonts w:eastAsia="Arial"/>
                      <w:b/>
                      <w:color w:val="4472C4"/>
                    </w:rPr>
                    <w:t>750 – 1,000</w:t>
                  </w:r>
                  <w:r w:rsidRPr="007C60AF">
                    <w:rPr>
                      <w:rFonts w:eastAsia="Arial"/>
                      <w:b/>
                      <w:color w:val="4472C4"/>
                    </w:rPr>
                    <w:t>]</w:t>
                  </w:r>
                </w:p>
              </w:tc>
              <w:tc>
                <w:tcPr>
                  <w:tcW w:w="1784" w:type="dxa"/>
                </w:tcPr>
                <w:p w14:paraId="000009EF" w14:textId="7F6EA153"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 xml:space="preserve">1,000 – </w:t>
                  </w:r>
                  <w:r w:rsidR="00825EF9" w:rsidRPr="007C60AF">
                    <w:rPr>
                      <w:rFonts w:eastAsia="Arial"/>
                      <w:b/>
                      <w:color w:val="4472C4"/>
                    </w:rPr>
                    <w:t>1</w:t>
                  </w:r>
                  <w:r w:rsidR="00AC3023" w:rsidRPr="007C60AF">
                    <w:rPr>
                      <w:rFonts w:eastAsia="Arial"/>
                      <w:b/>
                      <w:color w:val="4472C4"/>
                    </w:rPr>
                    <w:t>,</w:t>
                  </w:r>
                  <w:r w:rsidR="00825EF9" w:rsidRPr="007C60AF">
                    <w:rPr>
                      <w:rFonts w:eastAsia="Arial"/>
                      <w:b/>
                      <w:color w:val="4472C4"/>
                    </w:rPr>
                    <w:t>5</w:t>
                  </w:r>
                  <w:r w:rsidR="00AC3023" w:rsidRPr="007C60AF">
                    <w:rPr>
                      <w:rFonts w:eastAsia="Arial"/>
                      <w:b/>
                      <w:color w:val="4472C4"/>
                    </w:rPr>
                    <w:t>00</w:t>
                  </w:r>
                  <w:r w:rsidRPr="007C60AF">
                    <w:rPr>
                      <w:rFonts w:eastAsia="Arial"/>
                      <w:b/>
                      <w:color w:val="4472C4"/>
                    </w:rPr>
                    <w:t>]</w:t>
                  </w:r>
                </w:p>
              </w:tc>
              <w:tc>
                <w:tcPr>
                  <w:tcW w:w="1784" w:type="dxa"/>
                </w:tcPr>
                <w:p w14:paraId="000009F0" w14:textId="522FE5F0"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1,</w:t>
                  </w:r>
                  <w:r w:rsidR="00825EF9" w:rsidRPr="007C60AF">
                    <w:rPr>
                      <w:rFonts w:eastAsia="Arial"/>
                      <w:b/>
                      <w:color w:val="4472C4"/>
                    </w:rPr>
                    <w:t>5</w:t>
                  </w:r>
                  <w:r w:rsidR="00AC3023" w:rsidRPr="007C60AF">
                    <w:rPr>
                      <w:rFonts w:eastAsia="Arial"/>
                      <w:b/>
                      <w:color w:val="4472C4"/>
                    </w:rPr>
                    <w:t>00 – 2,000</w:t>
                  </w:r>
                  <w:r w:rsidRPr="007C60AF">
                    <w:rPr>
                      <w:rFonts w:eastAsia="Arial"/>
                      <w:b/>
                      <w:color w:val="4472C4"/>
                    </w:rPr>
                    <w:t>]</w:t>
                  </w:r>
                </w:p>
              </w:tc>
              <w:tc>
                <w:tcPr>
                  <w:tcW w:w="1785" w:type="dxa"/>
                </w:tcPr>
                <w:p w14:paraId="000009F1" w14:textId="155A8664"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r>
            <w:tr w:rsidR="00416D85" w:rsidRPr="007C60AF" w14:paraId="617B9B5E" w14:textId="77777777">
              <w:tc>
                <w:tcPr>
                  <w:tcW w:w="1784" w:type="dxa"/>
                  <w:shd w:val="clear" w:color="auto" w:fill="D0CECE"/>
                </w:tcPr>
                <w:p w14:paraId="000009F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F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F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141</w:t>
                  </w:r>
                </w:p>
              </w:tc>
              <w:tc>
                <w:tcPr>
                  <w:tcW w:w="1784" w:type="dxa"/>
                </w:tcPr>
                <w:p w14:paraId="000009F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172</w:t>
                  </w:r>
                </w:p>
              </w:tc>
              <w:tc>
                <w:tcPr>
                  <w:tcW w:w="1785" w:type="dxa"/>
                </w:tcPr>
                <w:p w14:paraId="000009F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105</w:t>
                  </w:r>
                </w:p>
              </w:tc>
            </w:tr>
          </w:tbl>
          <w:p w14:paraId="000009F7" w14:textId="77777777" w:rsidR="00416D85" w:rsidRPr="007C60AF" w:rsidRDefault="00416D85">
            <w:pPr>
              <w:spacing w:after="0"/>
              <w:jc w:val="both"/>
              <w:rPr>
                <w:b/>
                <w:color w:val="4472C4"/>
              </w:rPr>
            </w:pPr>
          </w:p>
          <w:p w14:paraId="000009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20: Unit price of export sales (GBP/MT) for Q2 2023 – Q2 2024</w:t>
            </w:r>
          </w:p>
          <w:p w14:paraId="000009F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5E045A1C" w14:textId="77777777">
              <w:tc>
                <w:tcPr>
                  <w:tcW w:w="1163" w:type="dxa"/>
                  <w:shd w:val="clear" w:color="auto" w:fill="D0CECE"/>
                </w:tcPr>
                <w:p w14:paraId="000009F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551" w:type="dxa"/>
                  <w:shd w:val="clear" w:color="auto" w:fill="D0CECE"/>
                </w:tcPr>
                <w:p w14:paraId="000009F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9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9F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9F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9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6801D2C4" w14:textId="77777777">
              <w:tc>
                <w:tcPr>
                  <w:tcW w:w="7369" w:type="dxa"/>
                  <w:gridSpan w:val="5"/>
                  <w:shd w:val="clear" w:color="auto" w:fill="D9E2F3"/>
                </w:tcPr>
                <w:p w14:paraId="00000A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(GBP/MT)</w:t>
                  </w:r>
                </w:p>
              </w:tc>
              <w:tc>
                <w:tcPr>
                  <w:tcW w:w="1552" w:type="dxa"/>
                  <w:shd w:val="clear" w:color="auto" w:fill="D9E2F3"/>
                </w:tcPr>
                <w:p w14:paraId="00000A0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28FF86F1" w14:textId="77777777">
              <w:tc>
                <w:tcPr>
                  <w:tcW w:w="1163" w:type="dxa"/>
                  <w:shd w:val="clear" w:color="auto" w:fill="D0CECE"/>
                </w:tcPr>
                <w:p w14:paraId="00000A0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A07" w14:textId="4CE257BC"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 xml:space="preserve">1,000 – </w:t>
                  </w:r>
                  <w:r w:rsidR="00825EF9" w:rsidRPr="007C60AF">
                    <w:rPr>
                      <w:rFonts w:eastAsia="Arial"/>
                      <w:b/>
                      <w:color w:val="4472C4"/>
                    </w:rPr>
                    <w:t>1</w:t>
                  </w:r>
                  <w:r w:rsidR="00AC3023" w:rsidRPr="007C60AF">
                    <w:rPr>
                      <w:rFonts w:eastAsia="Arial"/>
                      <w:b/>
                      <w:color w:val="4472C4"/>
                    </w:rPr>
                    <w:t>,</w:t>
                  </w:r>
                  <w:r w:rsidR="00825EF9" w:rsidRPr="007C60AF">
                    <w:rPr>
                      <w:rFonts w:eastAsia="Arial"/>
                      <w:b/>
                      <w:color w:val="4472C4"/>
                    </w:rPr>
                    <w:t>5</w:t>
                  </w:r>
                  <w:r w:rsidR="00AC3023" w:rsidRPr="007C60AF">
                    <w:rPr>
                      <w:rFonts w:eastAsia="Arial"/>
                      <w:b/>
                      <w:color w:val="4472C4"/>
                    </w:rPr>
                    <w:t>00</w:t>
                  </w:r>
                  <w:r w:rsidRPr="007C60AF">
                    <w:rPr>
                      <w:rFonts w:eastAsia="Arial"/>
                      <w:b/>
                      <w:color w:val="4472C4"/>
                    </w:rPr>
                    <w:t>]</w:t>
                  </w:r>
                </w:p>
              </w:tc>
              <w:tc>
                <w:tcPr>
                  <w:tcW w:w="1551" w:type="dxa"/>
                </w:tcPr>
                <w:p w14:paraId="00000A08" w14:textId="44B0FADF"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w:t>
                  </w:r>
                  <w:r w:rsidR="00AC3023" w:rsidRPr="007C60AF">
                    <w:rPr>
                      <w:rFonts w:eastAsia="Arial"/>
                      <w:b/>
                      <w:bCs/>
                      <w:color w:val="4472C4"/>
                    </w:rPr>
                    <w:t xml:space="preserve">1,000 – </w:t>
                  </w:r>
                  <w:r w:rsidR="00825EF9" w:rsidRPr="007C60AF">
                    <w:rPr>
                      <w:rFonts w:eastAsia="Arial"/>
                      <w:b/>
                      <w:bCs/>
                      <w:color w:val="4472C4"/>
                    </w:rPr>
                    <w:t>1</w:t>
                  </w:r>
                  <w:r w:rsidR="00AC3023" w:rsidRPr="007C60AF">
                    <w:rPr>
                      <w:rFonts w:eastAsia="Arial"/>
                      <w:b/>
                      <w:bCs/>
                      <w:color w:val="4472C4"/>
                    </w:rPr>
                    <w:t>,</w:t>
                  </w:r>
                  <w:r w:rsidR="00825EF9" w:rsidRPr="007C60AF">
                    <w:rPr>
                      <w:rFonts w:eastAsia="Arial"/>
                      <w:b/>
                      <w:bCs/>
                      <w:color w:val="4472C4"/>
                    </w:rPr>
                    <w:t>5</w:t>
                  </w:r>
                  <w:r w:rsidR="00AC3023" w:rsidRPr="007C60AF">
                    <w:rPr>
                      <w:rFonts w:eastAsia="Arial"/>
                      <w:b/>
                      <w:bCs/>
                      <w:color w:val="4472C4"/>
                    </w:rPr>
                    <w:t>00</w:t>
                  </w:r>
                  <w:r w:rsidRPr="007C60AF">
                    <w:rPr>
                      <w:rFonts w:eastAsia="Arial"/>
                      <w:b/>
                      <w:bCs/>
                      <w:color w:val="4472C4"/>
                    </w:rPr>
                    <w:t>]</w:t>
                  </w:r>
                </w:p>
              </w:tc>
              <w:tc>
                <w:tcPr>
                  <w:tcW w:w="1552" w:type="dxa"/>
                </w:tcPr>
                <w:p w14:paraId="00000A09" w14:textId="549527DC"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bCs/>
                      <w:color w:val="4472C4"/>
                    </w:rPr>
                    <w:t xml:space="preserve">1,000 – </w:t>
                  </w:r>
                  <w:r w:rsidR="00825EF9" w:rsidRPr="007C60AF">
                    <w:rPr>
                      <w:rFonts w:eastAsia="Arial"/>
                      <w:b/>
                      <w:bCs/>
                      <w:color w:val="4472C4"/>
                    </w:rPr>
                    <w:t>1</w:t>
                  </w:r>
                  <w:r w:rsidR="00AC3023" w:rsidRPr="007C60AF">
                    <w:rPr>
                      <w:rFonts w:eastAsia="Arial"/>
                      <w:b/>
                      <w:bCs/>
                      <w:color w:val="4472C4"/>
                    </w:rPr>
                    <w:t>,</w:t>
                  </w:r>
                  <w:r w:rsidR="00825EF9" w:rsidRPr="007C60AF">
                    <w:rPr>
                      <w:rFonts w:eastAsia="Arial"/>
                      <w:b/>
                      <w:bCs/>
                      <w:color w:val="4472C4"/>
                    </w:rPr>
                    <w:t>5</w:t>
                  </w:r>
                  <w:r w:rsidR="00AC3023" w:rsidRPr="007C60AF">
                    <w:rPr>
                      <w:rFonts w:eastAsia="Arial"/>
                      <w:b/>
                      <w:bCs/>
                      <w:color w:val="4472C4"/>
                    </w:rPr>
                    <w:t>00</w:t>
                  </w:r>
                  <w:r w:rsidRPr="007C60AF">
                    <w:rPr>
                      <w:rFonts w:eastAsia="Arial"/>
                      <w:b/>
                      <w:bCs/>
                      <w:color w:val="4472C4"/>
                    </w:rPr>
                    <w:t>]</w:t>
                  </w:r>
                </w:p>
              </w:tc>
              <w:tc>
                <w:tcPr>
                  <w:tcW w:w="1552" w:type="dxa"/>
                </w:tcPr>
                <w:p w14:paraId="00000A0A" w14:textId="67D85537"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c>
                <w:tcPr>
                  <w:tcW w:w="1552" w:type="dxa"/>
                </w:tcPr>
                <w:p w14:paraId="00000A0B" w14:textId="3D0388BD"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r>
            <w:tr w:rsidR="00416D85" w:rsidRPr="007C60AF" w14:paraId="6DE887F1" w14:textId="77777777">
              <w:tc>
                <w:tcPr>
                  <w:tcW w:w="1163" w:type="dxa"/>
                  <w:shd w:val="clear" w:color="auto" w:fill="D0CECE"/>
                </w:tcPr>
                <w:p w14:paraId="00000A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A0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A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95</w:t>
                  </w:r>
                </w:p>
              </w:tc>
              <w:tc>
                <w:tcPr>
                  <w:tcW w:w="1552" w:type="dxa"/>
                </w:tcPr>
                <w:p w14:paraId="00000A0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94</w:t>
                  </w:r>
                </w:p>
              </w:tc>
              <w:tc>
                <w:tcPr>
                  <w:tcW w:w="1552" w:type="dxa"/>
                </w:tcPr>
                <w:p w14:paraId="00000A1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w:t>
                  </w:r>
                </w:p>
              </w:tc>
              <w:tc>
                <w:tcPr>
                  <w:tcW w:w="1552" w:type="dxa"/>
                </w:tcPr>
                <w:p w14:paraId="00000A1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w:t>
                  </w:r>
                </w:p>
              </w:tc>
            </w:tr>
            <w:tr w:rsidR="00416D85" w:rsidRPr="007C60AF" w14:paraId="0CB411D4" w14:textId="77777777">
              <w:tc>
                <w:tcPr>
                  <w:tcW w:w="7369" w:type="dxa"/>
                  <w:gridSpan w:val="5"/>
                  <w:shd w:val="clear" w:color="auto" w:fill="D9E2F3"/>
                </w:tcPr>
                <w:p w14:paraId="00000A1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(GBP/MT)</w:t>
                  </w:r>
                </w:p>
              </w:tc>
              <w:tc>
                <w:tcPr>
                  <w:tcW w:w="1552" w:type="dxa"/>
                  <w:shd w:val="clear" w:color="auto" w:fill="D9E2F3"/>
                </w:tcPr>
                <w:p w14:paraId="00000A1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731CAD6E" w14:textId="77777777">
              <w:tc>
                <w:tcPr>
                  <w:tcW w:w="1163" w:type="dxa"/>
                  <w:shd w:val="clear" w:color="auto" w:fill="D0CECE"/>
                </w:tcPr>
                <w:p w14:paraId="00000A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1" w:type="dxa"/>
                </w:tcPr>
                <w:p w14:paraId="00000A19" w14:textId="4BA18656"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750 – 1,000</w:t>
                  </w:r>
                  <w:r w:rsidRPr="007C60AF">
                    <w:rPr>
                      <w:rFonts w:eastAsia="Arial"/>
                      <w:b/>
                      <w:color w:val="4472C4"/>
                    </w:rPr>
                    <w:t>]</w:t>
                  </w:r>
                </w:p>
              </w:tc>
              <w:tc>
                <w:tcPr>
                  <w:tcW w:w="1551" w:type="dxa"/>
                </w:tcPr>
                <w:p w14:paraId="00000A1A" w14:textId="63D87809"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 xml:space="preserve">1,000 – </w:t>
                  </w:r>
                  <w:r w:rsidR="00825EF9" w:rsidRPr="007C60AF">
                    <w:rPr>
                      <w:rFonts w:eastAsia="Arial"/>
                      <w:b/>
                      <w:color w:val="4472C4"/>
                    </w:rPr>
                    <w:t>1</w:t>
                  </w:r>
                  <w:r w:rsidR="00AC3023" w:rsidRPr="007C60AF">
                    <w:rPr>
                      <w:rFonts w:eastAsia="Arial"/>
                      <w:b/>
                      <w:color w:val="4472C4"/>
                    </w:rPr>
                    <w:t>,</w:t>
                  </w:r>
                  <w:r w:rsidR="00825EF9" w:rsidRPr="007C60AF">
                    <w:rPr>
                      <w:rFonts w:eastAsia="Arial"/>
                      <w:b/>
                      <w:color w:val="4472C4"/>
                    </w:rPr>
                    <w:t>5</w:t>
                  </w:r>
                  <w:r w:rsidR="00AC3023" w:rsidRPr="007C60AF">
                    <w:rPr>
                      <w:rFonts w:eastAsia="Arial"/>
                      <w:b/>
                      <w:color w:val="4472C4"/>
                    </w:rPr>
                    <w:t>00</w:t>
                  </w:r>
                  <w:r w:rsidRPr="007C60AF">
                    <w:rPr>
                      <w:rFonts w:eastAsia="Arial"/>
                      <w:b/>
                      <w:color w:val="4472C4"/>
                    </w:rPr>
                    <w:t>]</w:t>
                  </w:r>
                </w:p>
              </w:tc>
              <w:tc>
                <w:tcPr>
                  <w:tcW w:w="1552" w:type="dxa"/>
                </w:tcPr>
                <w:p w14:paraId="00000A1B" w14:textId="0281EBC8"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750 – 1,000</w:t>
                  </w:r>
                  <w:r w:rsidRPr="007C60AF">
                    <w:rPr>
                      <w:rFonts w:eastAsia="Arial"/>
                      <w:b/>
                      <w:color w:val="4472C4"/>
                    </w:rPr>
                    <w:t>]</w:t>
                  </w:r>
                </w:p>
              </w:tc>
              <w:tc>
                <w:tcPr>
                  <w:tcW w:w="1552" w:type="dxa"/>
                </w:tcPr>
                <w:p w14:paraId="00000A1C" w14:textId="4D3F0A75"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750 – 1,00</w:t>
                  </w:r>
                  <w:r w:rsidR="00825EF9" w:rsidRPr="007C60AF">
                    <w:rPr>
                      <w:rFonts w:eastAsia="Arial"/>
                      <w:b/>
                      <w:color w:val="4472C4"/>
                    </w:rPr>
                    <w:t>0</w:t>
                  </w:r>
                  <w:r w:rsidRPr="007C60AF">
                    <w:rPr>
                      <w:rFonts w:eastAsia="Arial"/>
                      <w:b/>
                      <w:color w:val="4472C4"/>
                    </w:rPr>
                    <w:t>]</w:t>
                  </w:r>
                </w:p>
              </w:tc>
              <w:tc>
                <w:tcPr>
                  <w:tcW w:w="1552" w:type="dxa"/>
                </w:tcPr>
                <w:p w14:paraId="00000A1D" w14:textId="43E4A9BD"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 xml:space="preserve">1,000 – </w:t>
                  </w:r>
                  <w:r w:rsidR="00825EF9" w:rsidRPr="007C60AF">
                    <w:rPr>
                      <w:rFonts w:eastAsia="Arial"/>
                      <w:b/>
                      <w:color w:val="4472C4"/>
                    </w:rPr>
                    <w:t>1</w:t>
                  </w:r>
                  <w:r w:rsidR="00AC3023" w:rsidRPr="007C60AF">
                    <w:rPr>
                      <w:rFonts w:eastAsia="Arial"/>
                      <w:b/>
                      <w:color w:val="4472C4"/>
                    </w:rPr>
                    <w:t>,</w:t>
                  </w:r>
                  <w:r w:rsidR="00825EF9" w:rsidRPr="007C60AF">
                    <w:rPr>
                      <w:rFonts w:eastAsia="Arial"/>
                      <w:b/>
                      <w:color w:val="4472C4"/>
                    </w:rPr>
                    <w:t>5</w:t>
                  </w:r>
                  <w:r w:rsidR="00AC3023" w:rsidRPr="007C60AF">
                    <w:rPr>
                      <w:rFonts w:eastAsia="Arial"/>
                      <w:b/>
                      <w:color w:val="4472C4"/>
                    </w:rPr>
                    <w:t>00</w:t>
                  </w:r>
                  <w:r w:rsidRPr="007C60AF">
                    <w:rPr>
                      <w:rFonts w:eastAsia="Arial"/>
                      <w:b/>
                      <w:color w:val="4472C4"/>
                    </w:rPr>
                    <w:t>]</w:t>
                  </w:r>
                </w:p>
              </w:tc>
            </w:tr>
            <w:tr w:rsidR="00416D85" w:rsidRPr="007C60AF" w14:paraId="2E3656BD" w14:textId="77777777">
              <w:tc>
                <w:tcPr>
                  <w:tcW w:w="1163" w:type="dxa"/>
                  <w:shd w:val="clear" w:color="auto" w:fill="D0CECE"/>
                </w:tcPr>
                <w:p w14:paraId="00000A1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A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A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119</w:t>
                  </w:r>
                </w:p>
              </w:tc>
              <w:tc>
                <w:tcPr>
                  <w:tcW w:w="1552" w:type="dxa"/>
                </w:tcPr>
                <w:p w14:paraId="00000A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96</w:t>
                  </w:r>
                </w:p>
              </w:tc>
              <w:tc>
                <w:tcPr>
                  <w:tcW w:w="1552" w:type="dxa"/>
                </w:tcPr>
                <w:p w14:paraId="00000A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108</w:t>
                  </w:r>
                </w:p>
              </w:tc>
              <w:tc>
                <w:tcPr>
                  <w:tcW w:w="1552" w:type="dxa"/>
                </w:tcPr>
                <w:p w14:paraId="00000A2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r>
          </w:tbl>
          <w:p w14:paraId="00000A24" w14:textId="77777777" w:rsidR="00416D85" w:rsidRPr="007C60AF" w:rsidRDefault="00416D85">
            <w:pPr>
              <w:spacing w:after="0"/>
              <w:jc w:val="both"/>
              <w:rPr>
                <w:color w:val="4472C4"/>
              </w:rPr>
            </w:pPr>
          </w:p>
          <w:p w14:paraId="00000A25" w14:textId="77777777" w:rsidR="00416D85" w:rsidRPr="007C60AF" w:rsidRDefault="00130320">
            <w:pPr>
              <w:spacing w:after="0"/>
              <w:jc w:val="both"/>
              <w:rPr>
                <w:b/>
                <w:color w:val="4472C4"/>
              </w:rPr>
            </w:pPr>
            <w:r w:rsidRPr="007C60AF">
              <w:rPr>
                <w:b/>
                <w:color w:val="4472C4"/>
              </w:rPr>
              <w:t>Market share</w:t>
            </w:r>
          </w:p>
          <w:p w14:paraId="00000A26" w14:textId="77777777" w:rsidR="00416D85" w:rsidRPr="007C60AF" w:rsidRDefault="00416D85">
            <w:pPr>
              <w:spacing w:after="0"/>
              <w:jc w:val="both"/>
              <w:rPr>
                <w:color w:val="4472C4"/>
              </w:rPr>
            </w:pPr>
          </w:p>
          <w:p w14:paraId="00000A27"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market share of the UK industry has been calculated based on demand. The Applicants used actual demand figures from the RTFO statistics and actual sales data from the UK producers. The Applicants converted RTFO statistics from million </w:t>
            </w:r>
            <w:r w:rsidRPr="007C60AF">
              <w:rPr>
                <w:rFonts w:eastAsia="Arial"/>
                <w:color w:val="4472C4"/>
              </w:rPr>
              <w:lastRenderedPageBreak/>
              <w:t>litres to MT using the average densities of HVO (0.780 l/MT) and FAME (0.885 l/MT) respectively.</w:t>
            </w:r>
            <w:r w:rsidRPr="007C60AF">
              <w:rPr>
                <w:rFonts w:eastAsia="Arial"/>
                <w:color w:val="4472C4"/>
                <w:vertAlign w:val="superscript"/>
              </w:rPr>
              <w:footnoteReference w:id="155"/>
            </w:r>
            <w:r w:rsidRPr="007C60AF">
              <w:rPr>
                <w:rFonts w:eastAsia="Arial"/>
                <w:color w:val="4472C4"/>
              </w:rPr>
              <w:t xml:space="preserve"> Please refer to Appendix G.2 for the full calculations.</w:t>
            </w:r>
          </w:p>
          <w:p w14:paraId="00000A2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A29"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table below clearly indicates that market share has been shifting from FAME to HVO. This is easily explained by the fact that while profitability was dropping, the Applicants needed to maintain sales to be able to cover the fixed costs of production.</w:t>
            </w:r>
          </w:p>
          <w:p w14:paraId="00000A2A"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A2B" w14:textId="7115E0F3"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The Applicants understand that imports of HVO/FAME cover the remaining market share of </w:t>
            </w:r>
            <w:r w:rsidR="00295255" w:rsidRPr="007C60AF">
              <w:rPr>
                <w:rFonts w:eastAsia="Arial"/>
                <w:color w:val="4472C4"/>
              </w:rPr>
              <w:t>[</w:t>
            </w:r>
            <w:r w:rsidR="00EE45C5" w:rsidRPr="007C60AF">
              <w:rPr>
                <w:rFonts w:eastAsia="Arial"/>
                <w:b/>
                <w:color w:val="4472C4"/>
              </w:rPr>
              <w:t>75-100</w:t>
            </w:r>
            <w:r w:rsidRPr="007C60AF">
              <w:rPr>
                <w:rFonts w:eastAsia="Arial"/>
                <w:color w:val="4472C4"/>
              </w:rPr>
              <w:t>%</w:t>
            </w:r>
            <w:r w:rsidR="00295255" w:rsidRPr="007C60AF">
              <w:rPr>
                <w:rFonts w:eastAsia="Arial"/>
                <w:color w:val="4472C4"/>
              </w:rPr>
              <w:t>]</w:t>
            </w:r>
            <w:r w:rsidRPr="007C60AF">
              <w:rPr>
                <w:rFonts w:eastAsia="Arial"/>
                <w:color w:val="4472C4"/>
              </w:rPr>
              <w:t>.</w:t>
            </w:r>
          </w:p>
          <w:p w14:paraId="00000A2C" w14:textId="77777777" w:rsidR="00416D85" w:rsidRPr="007C60AF" w:rsidRDefault="00416D85">
            <w:pPr>
              <w:spacing w:after="0"/>
              <w:jc w:val="both"/>
              <w:rPr>
                <w:color w:val="4472C4"/>
              </w:rPr>
            </w:pPr>
          </w:p>
          <w:p w14:paraId="00000A2D" w14:textId="77777777" w:rsidR="00416D85" w:rsidRPr="007C60AF" w:rsidRDefault="00130320">
            <w:pPr>
              <w:spacing w:after="0"/>
              <w:jc w:val="both"/>
              <w:rPr>
                <w:i/>
                <w:color w:val="4472C4"/>
              </w:rPr>
            </w:pPr>
            <w:r w:rsidRPr="007C60AF">
              <w:rPr>
                <w:i/>
                <w:color w:val="4472C4"/>
              </w:rPr>
              <w:t>Table 21: Market share of the UK industry</w:t>
            </w:r>
          </w:p>
          <w:p w14:paraId="00000A2E" w14:textId="77777777" w:rsidR="00416D85" w:rsidRPr="007C60AF" w:rsidRDefault="00416D85">
            <w:pPr>
              <w:spacing w:after="0"/>
              <w:jc w:val="both"/>
              <w:rPr>
                <w:i/>
                <w:color w:val="4472C4"/>
              </w:rPr>
            </w:pPr>
          </w:p>
          <w:tbl>
            <w:tblPr>
              <w:tblStyle w:val="afffffff4"/>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237A1C8E" w14:textId="77777777">
              <w:tc>
                <w:tcPr>
                  <w:tcW w:w="1784" w:type="dxa"/>
                  <w:shd w:val="clear" w:color="auto" w:fill="D0CECE"/>
                </w:tcPr>
                <w:p w14:paraId="00000A2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A3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A3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A3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A3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1EA649D5" w14:textId="77777777">
              <w:tc>
                <w:tcPr>
                  <w:tcW w:w="1784" w:type="dxa"/>
                  <w:shd w:val="clear" w:color="auto" w:fill="D0CECE"/>
                </w:tcPr>
                <w:p w14:paraId="00000A3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FAME consumption (MT)</w:t>
                  </w:r>
                </w:p>
              </w:tc>
              <w:tc>
                <w:tcPr>
                  <w:tcW w:w="1784" w:type="dxa"/>
                </w:tcPr>
                <w:p w14:paraId="00000A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1,320,361</w:t>
                  </w:r>
                </w:p>
              </w:tc>
              <w:tc>
                <w:tcPr>
                  <w:tcW w:w="1784" w:type="dxa"/>
                </w:tcPr>
                <w:p w14:paraId="00000A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1,142,435</w:t>
                  </w:r>
                </w:p>
              </w:tc>
              <w:tc>
                <w:tcPr>
                  <w:tcW w:w="1784" w:type="dxa"/>
                </w:tcPr>
                <w:p w14:paraId="00000A3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1,271,766</w:t>
                  </w:r>
                </w:p>
              </w:tc>
              <w:tc>
                <w:tcPr>
                  <w:tcW w:w="1785" w:type="dxa"/>
                </w:tcPr>
                <w:p w14:paraId="00000A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1,035,053</w:t>
                  </w:r>
                </w:p>
              </w:tc>
            </w:tr>
            <w:tr w:rsidR="00416D85" w:rsidRPr="007C60AF" w14:paraId="6C6B267A" w14:textId="77777777">
              <w:tc>
                <w:tcPr>
                  <w:tcW w:w="1784" w:type="dxa"/>
                  <w:shd w:val="clear" w:color="auto" w:fill="D0CECE"/>
                </w:tcPr>
                <w:p w14:paraId="00000A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HVO consumption (MT)</w:t>
                  </w:r>
                </w:p>
              </w:tc>
              <w:tc>
                <w:tcPr>
                  <w:tcW w:w="1784" w:type="dxa"/>
                </w:tcPr>
                <w:p w14:paraId="00000A3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34,420</w:t>
                  </w:r>
                </w:p>
              </w:tc>
              <w:tc>
                <w:tcPr>
                  <w:tcW w:w="1784" w:type="dxa"/>
                </w:tcPr>
                <w:p w14:paraId="00000A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88,081</w:t>
                  </w:r>
                </w:p>
              </w:tc>
              <w:tc>
                <w:tcPr>
                  <w:tcW w:w="1784" w:type="dxa"/>
                </w:tcPr>
                <w:p w14:paraId="00000A3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252,254</w:t>
                  </w:r>
                </w:p>
              </w:tc>
              <w:tc>
                <w:tcPr>
                  <w:tcW w:w="1785" w:type="dxa"/>
                </w:tcPr>
                <w:p w14:paraId="00000A3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357,435</w:t>
                  </w:r>
                </w:p>
              </w:tc>
            </w:tr>
            <w:tr w:rsidR="00416D85" w:rsidRPr="007C60AF" w14:paraId="65AFF5B4" w14:textId="77777777">
              <w:tc>
                <w:tcPr>
                  <w:tcW w:w="1784" w:type="dxa"/>
                  <w:shd w:val="clear" w:color="auto" w:fill="D0CECE"/>
                </w:tcPr>
                <w:p w14:paraId="00000A3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Total UK FAME/HVO consumption (MT)</w:t>
                  </w:r>
                </w:p>
              </w:tc>
              <w:tc>
                <w:tcPr>
                  <w:tcW w:w="1784" w:type="dxa"/>
                </w:tcPr>
                <w:p w14:paraId="00000A3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1,354,781</w:t>
                  </w:r>
                </w:p>
              </w:tc>
              <w:tc>
                <w:tcPr>
                  <w:tcW w:w="1784" w:type="dxa"/>
                </w:tcPr>
                <w:p w14:paraId="00000A4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1,230,516</w:t>
                  </w:r>
                </w:p>
              </w:tc>
              <w:tc>
                <w:tcPr>
                  <w:tcW w:w="1784" w:type="dxa"/>
                </w:tcPr>
                <w:p w14:paraId="00000A4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1,524,020</w:t>
                  </w:r>
                </w:p>
              </w:tc>
              <w:tc>
                <w:tcPr>
                  <w:tcW w:w="1785" w:type="dxa"/>
                </w:tcPr>
                <w:p w14:paraId="00000A4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1,392,488</w:t>
                  </w:r>
                </w:p>
              </w:tc>
            </w:tr>
            <w:tr w:rsidR="00416D85" w:rsidRPr="007C60AF" w14:paraId="2A71DD13" w14:textId="77777777">
              <w:tc>
                <w:tcPr>
                  <w:tcW w:w="1784" w:type="dxa"/>
                  <w:shd w:val="clear" w:color="auto" w:fill="D0CECE"/>
                </w:tcPr>
                <w:p w14:paraId="00000A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Sales of UK industry (MT)</w:t>
                  </w:r>
                </w:p>
              </w:tc>
              <w:tc>
                <w:tcPr>
                  <w:tcW w:w="1784" w:type="dxa"/>
                </w:tcPr>
                <w:p w14:paraId="00000A44" w14:textId="6F63D138"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100,000 – 150,000</w:t>
                  </w:r>
                  <w:r w:rsidRPr="007C60AF">
                    <w:rPr>
                      <w:rFonts w:eastAsia="Arial"/>
                      <w:b/>
                      <w:color w:val="4472C4"/>
                    </w:rPr>
                    <w:t>]</w:t>
                  </w:r>
                </w:p>
              </w:tc>
              <w:tc>
                <w:tcPr>
                  <w:tcW w:w="1784" w:type="dxa"/>
                </w:tcPr>
                <w:p w14:paraId="00000A45" w14:textId="37CEC403"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100,000 – 150,000</w:t>
                  </w:r>
                  <w:r w:rsidRPr="007C60AF">
                    <w:rPr>
                      <w:rFonts w:eastAsia="Arial"/>
                      <w:b/>
                      <w:color w:val="4472C4"/>
                    </w:rPr>
                    <w:t>]</w:t>
                  </w:r>
                </w:p>
              </w:tc>
              <w:tc>
                <w:tcPr>
                  <w:tcW w:w="1784" w:type="dxa"/>
                </w:tcPr>
                <w:p w14:paraId="00000A46" w14:textId="6B4F666E"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AC3023" w:rsidRPr="007C60AF">
                    <w:rPr>
                      <w:rFonts w:eastAsia="Arial"/>
                      <w:b/>
                      <w:color w:val="4472C4"/>
                    </w:rPr>
                    <w:t>100,000 – 150,000</w:t>
                  </w:r>
                  <w:r w:rsidRPr="007C60AF">
                    <w:rPr>
                      <w:rFonts w:eastAsia="Arial"/>
                      <w:b/>
                      <w:color w:val="4472C4"/>
                    </w:rPr>
                    <w:t>]</w:t>
                  </w:r>
                </w:p>
              </w:tc>
              <w:tc>
                <w:tcPr>
                  <w:tcW w:w="1785" w:type="dxa"/>
                </w:tcPr>
                <w:p w14:paraId="00000A47" w14:textId="434CB03E"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100,000 – 150,000</w:t>
                  </w:r>
                  <w:r w:rsidRPr="007C60AF">
                    <w:rPr>
                      <w:rFonts w:eastAsia="Arial"/>
                      <w:b/>
                      <w:color w:val="4472C4"/>
                    </w:rPr>
                    <w:t>]</w:t>
                  </w:r>
                </w:p>
              </w:tc>
            </w:tr>
            <w:tr w:rsidR="00416D85" w:rsidRPr="007C60AF" w14:paraId="6D3ADDD8" w14:textId="77777777">
              <w:tc>
                <w:tcPr>
                  <w:tcW w:w="1784" w:type="dxa"/>
                  <w:shd w:val="clear" w:color="auto" w:fill="D0CECE"/>
                </w:tcPr>
                <w:p w14:paraId="00000A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 xml:space="preserve">UK industry market share (%) </w:t>
                  </w:r>
                </w:p>
              </w:tc>
              <w:tc>
                <w:tcPr>
                  <w:tcW w:w="1784" w:type="dxa"/>
                </w:tcPr>
                <w:p w14:paraId="00000A49" w14:textId="7012151C"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EE45C5" w:rsidRPr="007C60AF">
                    <w:rPr>
                      <w:rFonts w:eastAsia="Arial"/>
                      <w:b/>
                      <w:color w:val="4472C4"/>
                    </w:rPr>
                    <w:t>0-15</w:t>
                  </w:r>
                  <w:r w:rsidRPr="007C60AF">
                    <w:rPr>
                      <w:rFonts w:eastAsia="Arial"/>
                      <w:b/>
                      <w:color w:val="4472C4"/>
                    </w:rPr>
                    <w:t>]</w:t>
                  </w:r>
                </w:p>
              </w:tc>
              <w:tc>
                <w:tcPr>
                  <w:tcW w:w="1784" w:type="dxa"/>
                </w:tcPr>
                <w:p w14:paraId="00000A4A" w14:textId="7E3255CC"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[0-15]</w:t>
                  </w:r>
                </w:p>
              </w:tc>
              <w:tc>
                <w:tcPr>
                  <w:tcW w:w="1784" w:type="dxa"/>
                </w:tcPr>
                <w:p w14:paraId="00000A4B" w14:textId="19B0CEDB"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[0-15]</w:t>
                  </w:r>
                </w:p>
              </w:tc>
              <w:tc>
                <w:tcPr>
                  <w:tcW w:w="1785" w:type="dxa"/>
                </w:tcPr>
                <w:p w14:paraId="00000A4C" w14:textId="23A1A9E8"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[0-15]</w:t>
                  </w:r>
                </w:p>
              </w:tc>
            </w:tr>
          </w:tbl>
          <w:p w14:paraId="00000A4D" w14:textId="77777777" w:rsidR="00416D85" w:rsidRPr="007C60AF" w:rsidRDefault="00416D85">
            <w:pPr>
              <w:spacing w:after="0"/>
              <w:jc w:val="both"/>
              <w:rPr>
                <w:color w:val="4472C4"/>
              </w:rPr>
            </w:pPr>
          </w:p>
          <w:p w14:paraId="00000A4E" w14:textId="77777777" w:rsidR="00416D85" w:rsidRPr="007C60AF" w:rsidRDefault="00130320">
            <w:pPr>
              <w:spacing w:after="0"/>
              <w:jc w:val="both"/>
              <w:rPr>
                <w:b/>
                <w:color w:val="4472C4"/>
              </w:rPr>
            </w:pPr>
            <w:r w:rsidRPr="007C60AF">
              <w:rPr>
                <w:b/>
                <w:color w:val="4472C4"/>
              </w:rPr>
              <w:t>Profitability</w:t>
            </w:r>
          </w:p>
          <w:p w14:paraId="00000A4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p>
          <w:p w14:paraId="00000A50" w14:textId="4B04B5EC"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color w:val="4472C4"/>
              </w:rPr>
              <w:t xml:space="preserve">As a result of the increased dumped and subsidised imports of US HVO, the profitability of sales of the UK industry to unrelated companies has experienced a strong downward trend between the start of the injury period and the POI, </w:t>
            </w:r>
            <w:r w:rsidRPr="007C60AF">
              <w:rPr>
                <w:rFonts w:eastAsia="Arial"/>
                <w:b/>
                <w:bCs/>
                <w:color w:val="4472C4"/>
              </w:rPr>
              <w:t>reaching</w:t>
            </w:r>
            <w:r w:rsidR="00295255" w:rsidRPr="007C60AF">
              <w:rPr>
                <w:rFonts w:eastAsia="Arial"/>
                <w:b/>
                <w:bCs/>
                <w:color w:val="4472C4"/>
              </w:rPr>
              <w:t xml:space="preserve"> </w:t>
            </w:r>
            <w:r w:rsidR="0081219B" w:rsidRPr="007C60AF">
              <w:rPr>
                <w:rFonts w:eastAsia="Arial"/>
                <w:b/>
                <w:bCs/>
                <w:color w:val="4472C4"/>
              </w:rPr>
              <w:t>[</w:t>
            </w:r>
            <w:r w:rsidR="00FA460E" w:rsidRPr="007C60AF">
              <w:rPr>
                <w:rFonts w:eastAsia="Arial"/>
                <w:b/>
                <w:bCs/>
                <w:color w:val="4472C4"/>
              </w:rPr>
              <w:t xml:space="preserve">-10m </w:t>
            </w:r>
            <w:r w:rsidRPr="007C60AF">
              <w:rPr>
                <w:rFonts w:eastAsia="Arial"/>
                <w:b/>
                <w:bCs/>
                <w:color w:val="4472C4"/>
              </w:rPr>
              <w:t>–</w:t>
            </w:r>
            <w:r w:rsidR="00FA460E" w:rsidRPr="007C60AF">
              <w:rPr>
                <w:rFonts w:eastAsia="Arial"/>
                <w:b/>
                <w:bCs/>
                <w:color w:val="4472C4"/>
              </w:rPr>
              <w:t xml:space="preserve"> -5</w:t>
            </w:r>
            <w:r w:rsidR="00295255" w:rsidRPr="007C60AF">
              <w:rPr>
                <w:rFonts w:eastAsia="Arial"/>
                <w:b/>
                <w:bCs/>
                <w:color w:val="4472C4"/>
              </w:rPr>
              <w:t>m</w:t>
            </w:r>
            <w:r w:rsidR="0081219B" w:rsidRPr="007C60AF">
              <w:rPr>
                <w:rFonts w:eastAsia="Arial"/>
                <w:b/>
                <w:bCs/>
                <w:color w:val="4472C4"/>
              </w:rPr>
              <w:t>]</w:t>
            </w:r>
            <w:r w:rsidR="00295255" w:rsidRPr="007C60AF">
              <w:rPr>
                <w:rFonts w:eastAsia="Arial"/>
                <w:b/>
                <w:color w:val="4472C4"/>
              </w:rPr>
              <w:t xml:space="preserve"> </w:t>
            </w:r>
            <w:r w:rsidRPr="007C60AF">
              <w:rPr>
                <w:rFonts w:eastAsia="Arial"/>
                <w:color w:val="4472C4"/>
              </w:rPr>
              <w:t>GBP and a profit margin of</w:t>
            </w:r>
            <w:r w:rsidR="00295255" w:rsidRPr="007C60AF">
              <w:rPr>
                <w:rFonts w:eastAsia="Arial"/>
                <w:color w:val="4472C4"/>
              </w:rPr>
              <w:t xml:space="preserve"> </w:t>
            </w:r>
            <w:r w:rsidR="00295255" w:rsidRPr="007C60AF">
              <w:rPr>
                <w:rFonts w:eastAsia="Arial"/>
                <w:b/>
                <w:bCs/>
                <w:color w:val="4472C4"/>
              </w:rPr>
              <w:t>[-15</w:t>
            </w:r>
            <w:r w:rsidR="0081219B" w:rsidRPr="007C60AF">
              <w:rPr>
                <w:rFonts w:eastAsia="Arial"/>
                <w:b/>
                <w:bCs/>
                <w:color w:val="4472C4"/>
              </w:rPr>
              <w:t xml:space="preserve"> </w:t>
            </w:r>
            <w:r w:rsidRPr="007C60AF">
              <w:rPr>
                <w:rFonts w:eastAsia="Arial"/>
                <w:b/>
                <w:bCs/>
                <w:color w:val="4472C4"/>
              </w:rPr>
              <w:t>–</w:t>
            </w:r>
            <w:r w:rsidR="0081219B" w:rsidRPr="007C60AF">
              <w:rPr>
                <w:rFonts w:eastAsia="Arial"/>
                <w:b/>
                <w:bCs/>
                <w:color w:val="4472C4"/>
              </w:rPr>
              <w:t xml:space="preserve"> 0</w:t>
            </w:r>
            <w:r w:rsidRPr="007C60AF">
              <w:rPr>
                <w:rFonts w:eastAsia="Arial"/>
                <w:b/>
                <w:bCs/>
                <w:color w:val="4472C4"/>
              </w:rPr>
              <w:t>%</w:t>
            </w:r>
            <w:r w:rsidR="0081219B" w:rsidRPr="007C60AF">
              <w:rPr>
                <w:rFonts w:eastAsia="Arial"/>
                <w:b/>
                <w:bCs/>
                <w:color w:val="4472C4"/>
              </w:rPr>
              <w:t>]</w:t>
            </w:r>
            <w:r w:rsidRPr="007C60AF">
              <w:rPr>
                <w:rFonts w:eastAsia="Arial"/>
                <w:color w:val="4472C4"/>
              </w:rPr>
              <w:t xml:space="preserve"> (see tables 22 and 24 below).</w:t>
            </w:r>
          </w:p>
          <w:p w14:paraId="00000A5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A52"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color w:val="4472C4"/>
              </w:rPr>
              <w:t>As discussed in paragraph 30 above, there has been a shift in sales volumes of the UK industry (between domestic and export sales, to unrelated and related companies), particularly in 2022/2023. This can partially be explained by the revocation of measures on US HVO, which was announced in the final determinations of the UK Transition Reviews in November 2022.</w:t>
            </w:r>
          </w:p>
          <w:p w14:paraId="00000A5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A54"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demonstrated above, the UK industry has been able to increase prices when costs increased but not to the full extent of the cost increases.</w:t>
            </w:r>
            <w:r w:rsidRPr="007C60AF">
              <w:rPr>
                <w:rFonts w:eastAsia="Arial"/>
                <w:color w:val="4472C4"/>
                <w:vertAlign w:val="superscript"/>
              </w:rPr>
              <w:footnoteReference w:id="156"/>
            </w:r>
            <w:r w:rsidRPr="007C60AF">
              <w:rPr>
                <w:rFonts w:eastAsia="Arial"/>
                <w:color w:val="4472C4"/>
              </w:rPr>
              <w:t xml:space="preserve"> Indeed, dumped and subsidised imports of US HVO put major price pressure on UK sales, which led to a decrease in profitability. </w:t>
            </w:r>
          </w:p>
          <w:p w14:paraId="00000A5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A56" w14:textId="77777777" w:rsidR="00416D85" w:rsidRPr="007C60AF" w:rsidRDefault="00130320">
            <w:pPr>
              <w:numPr>
                <w:ilvl w:val="6"/>
                <w:numId w:val="61"/>
              </w:numPr>
              <w:pBdr>
                <w:top w:val="nil"/>
                <w:left w:val="nil"/>
                <w:bottom w:val="nil"/>
                <w:right w:val="nil"/>
                <w:between w:val="nil"/>
              </w:pBdr>
              <w:spacing w:after="0" w:line="276" w:lineRule="auto"/>
              <w:rPr>
                <w:rFonts w:eastAsia="Arial"/>
                <w:color w:val="4472C4"/>
              </w:rPr>
            </w:pPr>
            <w:r w:rsidRPr="007C60AF">
              <w:rPr>
                <w:rFonts w:eastAsia="Arial"/>
                <w:b/>
                <w:color w:val="4472C4"/>
              </w:rPr>
              <w:t>[SENSITIVE – INFORMATION ABOUT OPERATIONS OF ONE OR MORE UK PRODUCERS]</w:t>
            </w:r>
            <w:r w:rsidRPr="007C60AF">
              <w:rPr>
                <w:rFonts w:eastAsia="Arial"/>
                <w:color w:val="4472C4"/>
              </w:rPr>
              <w:t>.</w:t>
            </w:r>
          </w:p>
          <w:p w14:paraId="00000A5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A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i/>
                <w:color w:val="4472C4"/>
              </w:rPr>
              <w:t>Table 22: Profit (GBP) for the injury period and the POI</w:t>
            </w:r>
          </w:p>
          <w:p w14:paraId="00000A5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5"/>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E0270C1" w14:textId="77777777">
              <w:tc>
                <w:tcPr>
                  <w:tcW w:w="1784" w:type="dxa"/>
                  <w:shd w:val="clear" w:color="auto" w:fill="D0CECE"/>
                </w:tcPr>
                <w:p w14:paraId="00000A5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A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A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A5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A5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4EAC7547" w14:textId="77777777">
              <w:tc>
                <w:tcPr>
                  <w:tcW w:w="8921" w:type="dxa"/>
                  <w:gridSpan w:val="5"/>
                  <w:shd w:val="clear" w:color="auto" w:fill="D9E2F3"/>
                </w:tcPr>
                <w:p w14:paraId="00000A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PROFIT OF UK SALES TO UNRELATED CUSTOMERS</w:t>
                  </w:r>
                </w:p>
              </w:tc>
            </w:tr>
            <w:tr w:rsidR="00416D85" w:rsidRPr="007C60AF" w14:paraId="491C047A" w14:textId="77777777">
              <w:tc>
                <w:tcPr>
                  <w:tcW w:w="1784" w:type="dxa"/>
                  <w:shd w:val="clear" w:color="auto" w:fill="D0CECE"/>
                </w:tcPr>
                <w:p w14:paraId="00000A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A65" w14:textId="1B1698C5" w:rsidR="00416D85" w:rsidRPr="007C60AF" w:rsidRDefault="00FA460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(1</w:t>
                  </w:r>
                  <w:r w:rsidR="002504C9" w:rsidRPr="007C60AF">
                    <w:rPr>
                      <w:rFonts w:eastAsia="Arial"/>
                      <w:b/>
                      <w:color w:val="4472C4"/>
                    </w:rPr>
                    <w:t>25</w:t>
                  </w:r>
                  <w:r w:rsidRPr="007C60AF">
                    <w:rPr>
                      <w:rFonts w:eastAsia="Arial"/>
                      <w:b/>
                      <w:color w:val="4472C4"/>
                    </w:rPr>
                    <w:t>,</w:t>
                  </w:r>
                  <w:r w:rsidR="00130320" w:rsidRPr="007C60AF">
                    <w:rPr>
                      <w:rFonts w:eastAsia="Arial"/>
                      <w:b/>
                      <w:color w:val="4472C4"/>
                    </w:rPr>
                    <w:t>000) – (1</w:t>
                  </w:r>
                  <w:r w:rsidR="002504C9" w:rsidRPr="007C60AF">
                    <w:rPr>
                      <w:rFonts w:eastAsia="Arial"/>
                      <w:b/>
                      <w:color w:val="4472C4"/>
                    </w:rPr>
                    <w:t>5</w:t>
                  </w:r>
                  <w:r w:rsidR="00130320" w:rsidRPr="007C60AF">
                    <w:rPr>
                      <w:rFonts w:eastAsia="Arial"/>
                      <w:b/>
                      <w:color w:val="4472C4"/>
                    </w:rPr>
                    <w:t>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784" w:type="dxa"/>
                </w:tcPr>
                <w:p w14:paraId="00000A66" w14:textId="4CEF86FF"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504C9" w:rsidRPr="007C60AF">
                    <w:rPr>
                      <w:rFonts w:eastAsia="Arial"/>
                      <w:b/>
                      <w:color w:val="4472C4"/>
                    </w:rPr>
                    <w:t>6</w:t>
                  </w:r>
                  <w:r w:rsidRPr="007C60AF">
                    <w:rPr>
                      <w:rFonts w:eastAsia="Arial"/>
                      <w:b/>
                      <w:color w:val="4472C4"/>
                    </w:rPr>
                    <w:t>,000,000)-(</w:t>
                  </w:r>
                  <w:r w:rsidR="002504C9" w:rsidRPr="007C60AF">
                    <w:rPr>
                      <w:rFonts w:eastAsia="Arial"/>
                      <w:b/>
                      <w:color w:val="4472C4"/>
                    </w:rPr>
                    <w:t>7</w:t>
                  </w:r>
                  <w:r w:rsidRPr="007C60AF">
                    <w:rPr>
                      <w:rFonts w:eastAsia="Arial"/>
                      <w:b/>
                      <w:color w:val="4472C4"/>
                    </w:rPr>
                    <w:t>,000,000)]</w:t>
                  </w:r>
                </w:p>
              </w:tc>
              <w:tc>
                <w:tcPr>
                  <w:tcW w:w="1784" w:type="dxa"/>
                </w:tcPr>
                <w:p w14:paraId="00000A67" w14:textId="1C1ABEC7"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8</w:t>
                  </w:r>
                  <w:r w:rsidRPr="007C60AF">
                    <w:rPr>
                      <w:rFonts w:eastAsia="Arial"/>
                      <w:b/>
                      <w:color w:val="4472C4"/>
                    </w:rPr>
                    <w:t>,000,000)-(</w:t>
                  </w:r>
                  <w:r w:rsidR="00264609" w:rsidRPr="007C60AF">
                    <w:rPr>
                      <w:rFonts w:eastAsia="Arial"/>
                      <w:b/>
                      <w:color w:val="4472C4"/>
                    </w:rPr>
                    <w:t>9</w:t>
                  </w:r>
                  <w:r w:rsidRPr="007C60AF">
                    <w:rPr>
                      <w:rFonts w:eastAsia="Arial"/>
                      <w:b/>
                      <w:color w:val="4472C4"/>
                    </w:rPr>
                    <w:t>,000,000)]</w:t>
                  </w:r>
                </w:p>
              </w:tc>
              <w:tc>
                <w:tcPr>
                  <w:tcW w:w="1785" w:type="dxa"/>
                </w:tcPr>
                <w:p w14:paraId="00000A68" w14:textId="130B988E"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6</w:t>
                  </w:r>
                  <w:r w:rsidRPr="007C60AF">
                    <w:rPr>
                      <w:rFonts w:eastAsia="Arial"/>
                      <w:b/>
                      <w:color w:val="4472C4"/>
                    </w:rPr>
                    <w:t>,000,000)-(</w:t>
                  </w:r>
                  <w:r w:rsidR="00264609" w:rsidRPr="007C60AF">
                    <w:rPr>
                      <w:rFonts w:eastAsia="Arial"/>
                      <w:b/>
                      <w:color w:val="4472C4"/>
                    </w:rPr>
                    <w:t>7</w:t>
                  </w:r>
                  <w:r w:rsidRPr="007C60AF">
                    <w:rPr>
                      <w:rFonts w:eastAsia="Arial"/>
                      <w:b/>
                      <w:color w:val="4472C4"/>
                    </w:rPr>
                    <w:t>,000,000)]</w:t>
                  </w:r>
                </w:p>
              </w:tc>
            </w:tr>
            <w:tr w:rsidR="00416D85" w:rsidRPr="007C60AF" w14:paraId="52E4946F" w14:textId="77777777">
              <w:tc>
                <w:tcPr>
                  <w:tcW w:w="1784" w:type="dxa"/>
                  <w:shd w:val="clear" w:color="auto" w:fill="D0CECE"/>
                </w:tcPr>
                <w:p w14:paraId="00000A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Index: Q2 2020 - Q1 2021 = 100</w:t>
                  </w:r>
                </w:p>
              </w:tc>
              <w:tc>
                <w:tcPr>
                  <w:tcW w:w="1784" w:type="dxa"/>
                </w:tcPr>
                <w:p w14:paraId="00000A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A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(4,836)</w:t>
                  </w:r>
                </w:p>
              </w:tc>
              <w:tc>
                <w:tcPr>
                  <w:tcW w:w="1784" w:type="dxa"/>
                </w:tcPr>
                <w:p w14:paraId="00000A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(6,254)</w:t>
                  </w:r>
                </w:p>
              </w:tc>
              <w:tc>
                <w:tcPr>
                  <w:tcW w:w="1785" w:type="dxa"/>
                </w:tcPr>
                <w:p w14:paraId="00000A6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(5,082)</w:t>
                  </w:r>
                </w:p>
              </w:tc>
            </w:tr>
            <w:tr w:rsidR="00416D85" w:rsidRPr="007C60AF" w14:paraId="261F578B" w14:textId="77777777">
              <w:tc>
                <w:tcPr>
                  <w:tcW w:w="8921" w:type="dxa"/>
                  <w:gridSpan w:val="5"/>
                  <w:shd w:val="clear" w:color="auto" w:fill="D9E2F3"/>
                </w:tcPr>
                <w:p w14:paraId="00000A6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PROFIT</w:t>
                  </w:r>
                </w:p>
              </w:tc>
            </w:tr>
            <w:tr w:rsidR="00416D85" w:rsidRPr="007C60AF" w14:paraId="1B6E3495" w14:textId="77777777">
              <w:tc>
                <w:tcPr>
                  <w:tcW w:w="1784" w:type="dxa"/>
                  <w:shd w:val="clear" w:color="auto" w:fill="D0CECE"/>
                </w:tcPr>
                <w:p w14:paraId="00000A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lastRenderedPageBreak/>
                    <w:t>UK industry</w:t>
                  </w:r>
                </w:p>
              </w:tc>
              <w:tc>
                <w:tcPr>
                  <w:tcW w:w="1784" w:type="dxa"/>
                </w:tcPr>
                <w:p w14:paraId="00000A74" w14:textId="3EE84BA3"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w:t>
                  </w:r>
                  <w:r w:rsidR="00264609" w:rsidRPr="007C60AF">
                    <w:rPr>
                      <w:rFonts w:eastAsia="Arial"/>
                      <w:b/>
                      <w:color w:val="4472C4"/>
                    </w:rPr>
                    <w:t>5</w:t>
                  </w:r>
                  <w:r w:rsidRPr="007C60AF">
                    <w:rPr>
                      <w:rFonts w:eastAsia="Arial"/>
                      <w:b/>
                      <w:color w:val="4472C4"/>
                    </w:rPr>
                    <w:t>,000,000)]</w:t>
                  </w:r>
                </w:p>
              </w:tc>
              <w:tc>
                <w:tcPr>
                  <w:tcW w:w="1784" w:type="dxa"/>
                </w:tcPr>
                <w:p w14:paraId="00000A75" w14:textId="3695349F"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w:t>
                  </w:r>
                  <w:r w:rsidR="00264609" w:rsidRPr="007C60AF">
                    <w:rPr>
                      <w:rFonts w:eastAsia="Arial"/>
                      <w:b/>
                      <w:color w:val="4472C4"/>
                    </w:rPr>
                    <w:t>5</w:t>
                  </w:r>
                  <w:r w:rsidRPr="007C60AF">
                    <w:rPr>
                      <w:rFonts w:eastAsia="Arial"/>
                      <w:b/>
                      <w:color w:val="4472C4"/>
                    </w:rPr>
                    <w:t>,000,000]</w:t>
                  </w:r>
                </w:p>
              </w:tc>
              <w:tc>
                <w:tcPr>
                  <w:tcW w:w="1784" w:type="dxa"/>
                </w:tcPr>
                <w:p w14:paraId="00000A76" w14:textId="151077C1"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0,000,000)-(</w:t>
                  </w:r>
                  <w:r w:rsidR="00264609" w:rsidRPr="007C60AF">
                    <w:rPr>
                      <w:rFonts w:eastAsia="Arial"/>
                      <w:b/>
                      <w:color w:val="4472C4"/>
                    </w:rPr>
                    <w:t>5</w:t>
                  </w:r>
                  <w:r w:rsidRPr="007C60AF">
                    <w:rPr>
                      <w:rFonts w:eastAsia="Arial"/>
                      <w:b/>
                      <w:color w:val="4472C4"/>
                    </w:rPr>
                    <w:t>0,000,000)]</w:t>
                  </w:r>
                </w:p>
              </w:tc>
              <w:tc>
                <w:tcPr>
                  <w:tcW w:w="1785" w:type="dxa"/>
                </w:tcPr>
                <w:p w14:paraId="00000A77" w14:textId="33CEDF3C"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8</w:t>
                  </w:r>
                  <w:r w:rsidRPr="007C60AF">
                    <w:rPr>
                      <w:rFonts w:eastAsia="Arial"/>
                      <w:b/>
                      <w:color w:val="4472C4"/>
                    </w:rPr>
                    <w:t>0,000,000)-(</w:t>
                  </w:r>
                  <w:r w:rsidR="00264609" w:rsidRPr="007C60AF">
                    <w:rPr>
                      <w:rFonts w:eastAsia="Arial"/>
                      <w:b/>
                      <w:color w:val="4472C4"/>
                    </w:rPr>
                    <w:t>9</w:t>
                  </w:r>
                  <w:r w:rsidRPr="007C60AF">
                    <w:rPr>
                      <w:rFonts w:eastAsia="Arial"/>
                      <w:b/>
                      <w:color w:val="4472C4"/>
                    </w:rPr>
                    <w:t>0,000,000)]</w:t>
                  </w:r>
                </w:p>
              </w:tc>
            </w:tr>
            <w:tr w:rsidR="00416D85" w:rsidRPr="007C60AF" w14:paraId="6DE3FDBC" w14:textId="77777777">
              <w:tc>
                <w:tcPr>
                  <w:tcW w:w="1784" w:type="dxa"/>
                  <w:shd w:val="clear" w:color="auto" w:fill="D0CECE"/>
                </w:tcPr>
                <w:p w14:paraId="00000A7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A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A7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784" w:type="dxa"/>
                </w:tcPr>
                <w:p w14:paraId="00000A7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(992)</w:t>
                  </w:r>
                </w:p>
              </w:tc>
              <w:tc>
                <w:tcPr>
                  <w:tcW w:w="1785" w:type="dxa"/>
                </w:tcPr>
                <w:p w14:paraId="00000A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(2,116)</w:t>
                  </w:r>
                </w:p>
              </w:tc>
            </w:tr>
          </w:tbl>
          <w:p w14:paraId="00000A7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A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23: Profit (GBP) for Q2 2023 – Q2 2024</w:t>
            </w:r>
          </w:p>
          <w:p w14:paraId="00000A7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6"/>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4"/>
              <w:gridCol w:w="1553"/>
              <w:gridCol w:w="1545"/>
              <w:gridCol w:w="1553"/>
              <w:gridCol w:w="1553"/>
              <w:gridCol w:w="1553"/>
            </w:tblGrid>
            <w:tr w:rsidR="00416D85" w:rsidRPr="007C60AF" w14:paraId="5E8A0BAF" w14:textId="77777777">
              <w:tc>
                <w:tcPr>
                  <w:tcW w:w="1164" w:type="dxa"/>
                  <w:shd w:val="clear" w:color="auto" w:fill="D0CECE"/>
                </w:tcPr>
                <w:p w14:paraId="00000A8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3" w:type="dxa"/>
                  <w:shd w:val="clear" w:color="auto" w:fill="D0CECE"/>
                </w:tcPr>
                <w:p w14:paraId="00000A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45" w:type="dxa"/>
                  <w:shd w:val="clear" w:color="auto" w:fill="D0CECE"/>
                </w:tcPr>
                <w:p w14:paraId="00000A8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3" w:type="dxa"/>
                  <w:shd w:val="clear" w:color="auto" w:fill="D0CECE"/>
                </w:tcPr>
                <w:p w14:paraId="00000A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3" w:type="dxa"/>
                  <w:shd w:val="clear" w:color="auto" w:fill="D0CECE"/>
                </w:tcPr>
                <w:p w14:paraId="00000A8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3" w:type="dxa"/>
                  <w:shd w:val="clear" w:color="auto" w:fill="D0CECE"/>
                </w:tcPr>
                <w:p w14:paraId="00000A8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0EF121C" w14:textId="77777777">
              <w:tc>
                <w:tcPr>
                  <w:tcW w:w="8921" w:type="dxa"/>
                  <w:gridSpan w:val="6"/>
                  <w:shd w:val="clear" w:color="auto" w:fill="D9E2F3"/>
                </w:tcPr>
                <w:p w14:paraId="00000A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PROFIT OF UK SALES TO UNRELATED CUSTOMERS (GBP)</w:t>
                  </w:r>
                </w:p>
              </w:tc>
            </w:tr>
            <w:tr w:rsidR="00416D85" w:rsidRPr="007C60AF" w14:paraId="1E96BEB3" w14:textId="77777777">
              <w:tc>
                <w:tcPr>
                  <w:tcW w:w="1164" w:type="dxa"/>
                  <w:shd w:val="clear" w:color="auto" w:fill="D0CECE"/>
                </w:tcPr>
                <w:p w14:paraId="00000A8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3" w:type="dxa"/>
                </w:tcPr>
                <w:p w14:paraId="00000A8D" w14:textId="324C1ED1"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w:t>
                  </w:r>
                  <w:r w:rsidR="00264609" w:rsidRPr="007C60AF">
                    <w:rPr>
                      <w:rFonts w:eastAsia="Arial"/>
                      <w:b/>
                      <w:color w:val="4472C4"/>
                    </w:rPr>
                    <w:t>5</w:t>
                  </w:r>
                  <w:r w:rsidRPr="007C60AF">
                    <w:rPr>
                      <w:rFonts w:eastAsia="Arial"/>
                      <w:b/>
                      <w:color w:val="4472C4"/>
                    </w:rPr>
                    <w:t>,000,000)]</w:t>
                  </w:r>
                </w:p>
              </w:tc>
              <w:tc>
                <w:tcPr>
                  <w:tcW w:w="1545" w:type="dxa"/>
                </w:tcPr>
                <w:p w14:paraId="00000A8E" w14:textId="16318F8A"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8</w:t>
                  </w:r>
                  <w:r w:rsidRPr="007C60AF">
                    <w:rPr>
                      <w:rFonts w:eastAsia="Arial"/>
                      <w:b/>
                      <w:color w:val="4472C4"/>
                    </w:rPr>
                    <w:t>00,000)-</w:t>
                  </w:r>
                  <w:r w:rsidR="00130320" w:rsidRPr="007C60AF">
                    <w:rPr>
                      <w:rFonts w:eastAsia="Arial"/>
                      <w:b/>
                      <w:color w:val="4472C4"/>
                    </w:rPr>
                    <w:t>(</w:t>
                  </w:r>
                  <w:r w:rsidR="00264609" w:rsidRPr="007C60AF">
                    <w:rPr>
                      <w:rFonts w:eastAsia="Arial"/>
                      <w:b/>
                      <w:color w:val="4472C4"/>
                    </w:rPr>
                    <w:t>1,0</w:t>
                  </w:r>
                  <w:r w:rsidRPr="007C60AF">
                    <w:rPr>
                      <w:rFonts w:eastAsia="Arial"/>
                      <w:b/>
                      <w:color w:val="4472C4"/>
                    </w:rPr>
                    <w:t>0</w:t>
                  </w:r>
                  <w:r w:rsidR="00130320" w:rsidRPr="007C60AF">
                    <w:rPr>
                      <w:rFonts w:eastAsia="Arial"/>
                      <w:b/>
                      <w:color w:val="4472C4"/>
                    </w:rPr>
                    <w:t>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553" w:type="dxa"/>
                </w:tcPr>
                <w:p w14:paraId="00000A8F" w14:textId="065C5DC1"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2</w:t>
                  </w:r>
                  <w:r w:rsidRPr="007C60AF">
                    <w:rPr>
                      <w:rFonts w:eastAsia="Arial"/>
                      <w:b/>
                      <w:color w:val="4472C4"/>
                    </w:rPr>
                    <w:t>00,000)-(2</w:t>
                  </w:r>
                  <w:r w:rsidR="00264609" w:rsidRPr="007C60AF">
                    <w:rPr>
                      <w:rFonts w:eastAsia="Arial"/>
                      <w:b/>
                      <w:color w:val="4472C4"/>
                    </w:rPr>
                    <w:t>5</w:t>
                  </w:r>
                  <w:r w:rsidRPr="007C60AF">
                    <w:rPr>
                      <w:rFonts w:eastAsia="Arial"/>
                      <w:b/>
                      <w:color w:val="4472C4"/>
                    </w:rPr>
                    <w:t>0,000)]</w:t>
                  </w:r>
                </w:p>
              </w:tc>
              <w:tc>
                <w:tcPr>
                  <w:tcW w:w="1553" w:type="dxa"/>
                </w:tcPr>
                <w:p w14:paraId="00000A90" w14:textId="74C605BF"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1</w:t>
                  </w:r>
                  <w:r w:rsidRPr="007C60AF">
                    <w:rPr>
                      <w:rFonts w:eastAsia="Arial"/>
                      <w:b/>
                      <w:color w:val="4472C4"/>
                    </w:rPr>
                    <w:t>,</w:t>
                  </w:r>
                  <w:r w:rsidR="00264609" w:rsidRPr="007C60AF">
                    <w:rPr>
                      <w:rFonts w:eastAsia="Arial"/>
                      <w:b/>
                      <w:color w:val="4472C4"/>
                    </w:rPr>
                    <w:t>5</w:t>
                  </w:r>
                  <w:r w:rsidRPr="007C60AF">
                    <w:rPr>
                      <w:rFonts w:eastAsia="Arial"/>
                      <w:b/>
                      <w:color w:val="4472C4"/>
                    </w:rPr>
                    <w:t>00,000)-(</w:t>
                  </w:r>
                  <w:r w:rsidR="00264609" w:rsidRPr="007C60AF">
                    <w:rPr>
                      <w:rFonts w:eastAsia="Arial"/>
                      <w:b/>
                      <w:color w:val="4472C4"/>
                    </w:rPr>
                    <w:t>2</w:t>
                  </w:r>
                  <w:r w:rsidRPr="007C60AF">
                    <w:rPr>
                      <w:rFonts w:eastAsia="Arial"/>
                      <w:b/>
                      <w:color w:val="4472C4"/>
                    </w:rPr>
                    <w:t>,000,000)]</w:t>
                  </w:r>
                </w:p>
              </w:tc>
              <w:tc>
                <w:tcPr>
                  <w:tcW w:w="1553" w:type="dxa"/>
                </w:tcPr>
                <w:p w14:paraId="00000A91" w14:textId="6BD7687F"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w:t>
                  </w:r>
                  <w:r w:rsidR="00264609" w:rsidRPr="007C60AF">
                    <w:rPr>
                      <w:rFonts w:eastAsia="Arial"/>
                      <w:b/>
                      <w:color w:val="4472C4"/>
                    </w:rPr>
                    <w:t>5</w:t>
                  </w:r>
                  <w:r w:rsidRPr="007C60AF">
                    <w:rPr>
                      <w:rFonts w:eastAsia="Arial"/>
                      <w:b/>
                      <w:color w:val="4472C4"/>
                    </w:rPr>
                    <w:t>,000,000)]</w:t>
                  </w:r>
                </w:p>
              </w:tc>
            </w:tr>
            <w:tr w:rsidR="00416D85" w:rsidRPr="007C60AF" w14:paraId="181E9CB1" w14:textId="77777777">
              <w:tc>
                <w:tcPr>
                  <w:tcW w:w="1164" w:type="dxa"/>
                  <w:shd w:val="clear" w:color="auto" w:fill="D0CECE"/>
                </w:tcPr>
                <w:p w14:paraId="00000A9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Index: Q2 2023 = 100</w:t>
                  </w:r>
                </w:p>
              </w:tc>
              <w:tc>
                <w:tcPr>
                  <w:tcW w:w="1553" w:type="dxa"/>
                </w:tcPr>
                <w:p w14:paraId="00000A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45" w:type="dxa"/>
                </w:tcPr>
                <w:p w14:paraId="00000A9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w:t>
                  </w:r>
                </w:p>
              </w:tc>
              <w:tc>
                <w:tcPr>
                  <w:tcW w:w="1553" w:type="dxa"/>
                </w:tcPr>
                <w:p w14:paraId="00000A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w:t>
                  </w:r>
                </w:p>
              </w:tc>
              <w:tc>
                <w:tcPr>
                  <w:tcW w:w="1553" w:type="dxa"/>
                </w:tcPr>
                <w:p w14:paraId="00000A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(35)</w:t>
                  </w:r>
                </w:p>
              </w:tc>
              <w:tc>
                <w:tcPr>
                  <w:tcW w:w="1553" w:type="dxa"/>
                </w:tcPr>
                <w:p w14:paraId="00000A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(89)</w:t>
                  </w:r>
                </w:p>
              </w:tc>
            </w:tr>
            <w:tr w:rsidR="00416D85" w:rsidRPr="007C60AF" w14:paraId="696DE699" w14:textId="77777777">
              <w:tc>
                <w:tcPr>
                  <w:tcW w:w="8921" w:type="dxa"/>
                  <w:gridSpan w:val="6"/>
                  <w:shd w:val="clear" w:color="auto" w:fill="D9E2F3"/>
                </w:tcPr>
                <w:p w14:paraId="00000A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TOTAL PROFIT (GBP)</w:t>
                  </w:r>
                </w:p>
              </w:tc>
            </w:tr>
            <w:tr w:rsidR="00416D85" w:rsidRPr="007C60AF" w14:paraId="3834738B" w14:textId="77777777">
              <w:tc>
                <w:tcPr>
                  <w:tcW w:w="1164" w:type="dxa"/>
                  <w:shd w:val="clear" w:color="auto" w:fill="D0CECE"/>
                </w:tcPr>
                <w:p w14:paraId="00000A9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3" w:type="dxa"/>
                </w:tcPr>
                <w:p w14:paraId="00000A9F" w14:textId="41D0B092"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w:t>
                  </w:r>
                  <w:r w:rsidR="00264609" w:rsidRPr="007C60AF">
                    <w:rPr>
                      <w:rFonts w:eastAsia="Arial"/>
                      <w:b/>
                      <w:color w:val="4472C4"/>
                    </w:rPr>
                    <w:t>35</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264609" w:rsidRPr="007C60AF">
                    <w:rPr>
                      <w:rFonts w:eastAsia="Arial"/>
                      <w:b/>
                      <w:color w:val="4472C4"/>
                    </w:rPr>
                    <w:t>4</w:t>
                  </w:r>
                  <w:r w:rsidRPr="007C60AF">
                    <w:rPr>
                      <w:rFonts w:eastAsia="Arial"/>
                      <w:b/>
                      <w:color w:val="4472C4"/>
                    </w:rPr>
                    <w:t>0,000,000)]</w:t>
                  </w:r>
                </w:p>
              </w:tc>
              <w:tc>
                <w:tcPr>
                  <w:tcW w:w="1545" w:type="dxa"/>
                </w:tcPr>
                <w:p w14:paraId="00000AA0" w14:textId="57C4F542"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8</w:t>
                  </w:r>
                  <w:r w:rsidRPr="007C60AF">
                    <w:rPr>
                      <w:rFonts w:eastAsia="Arial"/>
                      <w:b/>
                      <w:color w:val="4472C4"/>
                    </w:rPr>
                    <w:t>,000,000)-(</w:t>
                  </w:r>
                  <w:r w:rsidR="00264609" w:rsidRPr="007C60AF">
                    <w:rPr>
                      <w:rFonts w:eastAsia="Arial"/>
                      <w:b/>
                      <w:color w:val="4472C4"/>
                    </w:rPr>
                    <w:t>9</w:t>
                  </w:r>
                  <w:r w:rsidRPr="007C60AF">
                    <w:rPr>
                      <w:rFonts w:eastAsia="Arial"/>
                      <w:b/>
                      <w:color w:val="4472C4"/>
                    </w:rPr>
                    <w:t>,000,000)]</w:t>
                  </w:r>
                </w:p>
              </w:tc>
              <w:tc>
                <w:tcPr>
                  <w:tcW w:w="1553" w:type="dxa"/>
                </w:tcPr>
                <w:p w14:paraId="00000AA1" w14:textId="3A01D97E"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25</w:t>
                  </w:r>
                  <w:r w:rsidRPr="007C60AF">
                    <w:rPr>
                      <w:rFonts w:eastAsia="Arial"/>
                      <w:b/>
                      <w:color w:val="4472C4"/>
                    </w:rPr>
                    <w:t>,000,000)-(</w:t>
                  </w:r>
                  <w:r w:rsidR="00264609" w:rsidRPr="007C60AF">
                    <w:rPr>
                      <w:rFonts w:eastAsia="Arial"/>
                      <w:b/>
                      <w:color w:val="4472C4"/>
                    </w:rPr>
                    <w:t>3</w:t>
                  </w:r>
                  <w:r w:rsidRPr="007C60AF">
                    <w:rPr>
                      <w:rFonts w:eastAsia="Arial"/>
                      <w:b/>
                      <w:color w:val="4472C4"/>
                    </w:rPr>
                    <w:t>0,000,000)]</w:t>
                  </w:r>
                </w:p>
              </w:tc>
              <w:tc>
                <w:tcPr>
                  <w:tcW w:w="1553" w:type="dxa"/>
                </w:tcPr>
                <w:p w14:paraId="00000AA2" w14:textId="0FEC10B0"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15</w:t>
                  </w:r>
                  <w:r w:rsidRPr="007C60AF">
                    <w:rPr>
                      <w:rFonts w:eastAsia="Arial"/>
                      <w:b/>
                      <w:color w:val="4472C4"/>
                    </w:rPr>
                    <w:t>,000,000)-(</w:t>
                  </w:r>
                  <w:r w:rsidR="00264609" w:rsidRPr="007C60AF">
                    <w:rPr>
                      <w:rFonts w:eastAsia="Arial"/>
                      <w:b/>
                      <w:color w:val="4472C4"/>
                    </w:rPr>
                    <w:t>2</w:t>
                  </w:r>
                  <w:r w:rsidRPr="007C60AF">
                    <w:rPr>
                      <w:rFonts w:eastAsia="Arial"/>
                      <w:b/>
                      <w:color w:val="4472C4"/>
                    </w:rPr>
                    <w:t>0,000,000)]</w:t>
                  </w:r>
                </w:p>
              </w:tc>
              <w:tc>
                <w:tcPr>
                  <w:tcW w:w="1553" w:type="dxa"/>
                </w:tcPr>
                <w:p w14:paraId="00000AA3" w14:textId="6E48EA87" w:rsidR="00416D85" w:rsidRPr="007C60AF" w:rsidRDefault="00774CB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9</w:t>
                  </w:r>
                  <w:r w:rsidRPr="007C60AF">
                    <w:rPr>
                      <w:rFonts w:eastAsia="Arial"/>
                      <w:b/>
                      <w:color w:val="4472C4"/>
                    </w:rPr>
                    <w:t>,000,000)-(</w:t>
                  </w:r>
                  <w:r w:rsidR="00264609" w:rsidRPr="007C60AF">
                    <w:rPr>
                      <w:rFonts w:eastAsia="Arial"/>
                      <w:b/>
                      <w:color w:val="4472C4"/>
                    </w:rPr>
                    <w:t>10</w:t>
                  </w:r>
                  <w:r w:rsidRPr="007C60AF">
                    <w:rPr>
                      <w:rFonts w:eastAsia="Arial"/>
                      <w:b/>
                      <w:color w:val="4472C4"/>
                    </w:rPr>
                    <w:t>,000,000)]</w:t>
                  </w:r>
                </w:p>
              </w:tc>
            </w:tr>
            <w:tr w:rsidR="00416D85" w:rsidRPr="007C60AF" w14:paraId="4F416DEB" w14:textId="77777777">
              <w:tc>
                <w:tcPr>
                  <w:tcW w:w="1164" w:type="dxa"/>
                  <w:shd w:val="clear" w:color="auto" w:fill="D0CECE"/>
                </w:tcPr>
                <w:p w14:paraId="00000A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3" w:type="dxa"/>
                </w:tcPr>
                <w:p w14:paraId="00000AA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45" w:type="dxa"/>
                </w:tcPr>
                <w:p w14:paraId="00000AA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(22)</w:t>
                  </w:r>
                </w:p>
              </w:tc>
              <w:tc>
                <w:tcPr>
                  <w:tcW w:w="1553" w:type="dxa"/>
                </w:tcPr>
                <w:p w14:paraId="00000AA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(67)</w:t>
                  </w:r>
                </w:p>
              </w:tc>
              <w:tc>
                <w:tcPr>
                  <w:tcW w:w="1553" w:type="dxa"/>
                </w:tcPr>
                <w:p w14:paraId="00000AA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(51)</w:t>
                  </w:r>
                </w:p>
              </w:tc>
              <w:tc>
                <w:tcPr>
                  <w:tcW w:w="1553" w:type="dxa"/>
                </w:tcPr>
                <w:p w14:paraId="00000A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(26)</w:t>
                  </w:r>
                </w:p>
              </w:tc>
            </w:tr>
          </w:tbl>
          <w:p w14:paraId="00000AAA" w14:textId="77777777" w:rsidR="00416D85" w:rsidRPr="007C60AF" w:rsidRDefault="00416D85">
            <w:pPr>
              <w:spacing w:after="0"/>
              <w:jc w:val="both"/>
              <w:rPr>
                <w:b/>
                <w:color w:val="4472C4"/>
              </w:rPr>
            </w:pPr>
          </w:p>
          <w:p w14:paraId="00000A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24: Profit (%) for the injury period and the POI</w:t>
            </w:r>
          </w:p>
          <w:p w14:paraId="00000AA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7"/>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1C22A2B8" w14:textId="77777777">
              <w:tc>
                <w:tcPr>
                  <w:tcW w:w="1784" w:type="dxa"/>
                  <w:shd w:val="clear" w:color="auto" w:fill="D0CECE"/>
                </w:tcPr>
                <w:p w14:paraId="00000AA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A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AA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AB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AB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77C93838" w14:textId="77777777">
              <w:tc>
                <w:tcPr>
                  <w:tcW w:w="8921" w:type="dxa"/>
                  <w:gridSpan w:val="5"/>
                  <w:shd w:val="clear" w:color="auto" w:fill="D9E2F3"/>
                </w:tcPr>
                <w:p w14:paraId="00000AB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PROFIT OF UK SALES TO UNRELATED CUSTOMERS (% of TO)</w:t>
                  </w:r>
                </w:p>
              </w:tc>
            </w:tr>
            <w:tr w:rsidR="00416D85" w:rsidRPr="007C60AF" w14:paraId="7D7EB234" w14:textId="77777777">
              <w:tc>
                <w:tcPr>
                  <w:tcW w:w="1784" w:type="dxa"/>
                  <w:shd w:val="clear" w:color="auto" w:fill="D0CECE"/>
                </w:tcPr>
                <w:p w14:paraId="00000AB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AB8" w14:textId="1AD6601F"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4" w:type="dxa"/>
                </w:tcPr>
                <w:p w14:paraId="00000AB9" w14:textId="2D323524"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4" w:type="dxa"/>
                </w:tcPr>
                <w:p w14:paraId="00000ABA" w14:textId="7A2D8289"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5" w:type="dxa"/>
                </w:tcPr>
                <w:p w14:paraId="00000ABB" w14:textId="3EF5C784"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[-25 –  0]</w:t>
                  </w:r>
                </w:p>
              </w:tc>
            </w:tr>
            <w:tr w:rsidR="00416D85" w:rsidRPr="007C60AF" w14:paraId="00876A75" w14:textId="77777777">
              <w:tc>
                <w:tcPr>
                  <w:tcW w:w="1784" w:type="dxa"/>
                  <w:shd w:val="clear" w:color="auto" w:fill="D0CECE"/>
                </w:tcPr>
                <w:p w14:paraId="00000A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lastRenderedPageBreak/>
                    <w:t>Index: Q2 2020 - Q1 2021 = 100</w:t>
                  </w:r>
                </w:p>
              </w:tc>
              <w:tc>
                <w:tcPr>
                  <w:tcW w:w="1784" w:type="dxa"/>
                </w:tcPr>
                <w:p w14:paraId="00000A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A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360" w:lineRule="auto"/>
                    <w:jc w:val="both"/>
                    <w:rPr>
                      <w:rFonts w:eastAsia="Arial"/>
                      <w:b/>
                      <w:color w:val="4472C4"/>
                      <w:sz w:val="26"/>
                      <w:szCs w:val="26"/>
                    </w:rPr>
                  </w:pPr>
                  <w:r w:rsidRPr="007C60AF">
                    <w:rPr>
                      <w:rFonts w:eastAsia="Arial"/>
                      <w:b/>
                      <w:color w:val="4472C4"/>
                    </w:rPr>
                    <w:t>(6,184)</w:t>
                  </w:r>
                </w:p>
              </w:tc>
              <w:tc>
                <w:tcPr>
                  <w:tcW w:w="1784" w:type="dxa"/>
                </w:tcPr>
                <w:p w14:paraId="00000A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(4,482)</w:t>
                  </w:r>
                </w:p>
              </w:tc>
              <w:tc>
                <w:tcPr>
                  <w:tcW w:w="1785" w:type="dxa"/>
                </w:tcPr>
                <w:p w14:paraId="00000A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(8,782)</w:t>
                  </w:r>
                </w:p>
              </w:tc>
            </w:tr>
            <w:tr w:rsidR="00416D85" w:rsidRPr="007C60AF" w14:paraId="660BBDD4" w14:textId="77777777">
              <w:tc>
                <w:tcPr>
                  <w:tcW w:w="8921" w:type="dxa"/>
                  <w:gridSpan w:val="5"/>
                  <w:shd w:val="clear" w:color="auto" w:fill="D9E2F3"/>
                </w:tcPr>
                <w:p w14:paraId="00000A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TOTAL PROFIT (%)</w:t>
                  </w:r>
                </w:p>
              </w:tc>
            </w:tr>
            <w:tr w:rsidR="00416D85" w:rsidRPr="007C60AF" w14:paraId="6B7E581D" w14:textId="77777777">
              <w:tc>
                <w:tcPr>
                  <w:tcW w:w="1784" w:type="dxa"/>
                  <w:shd w:val="clear" w:color="auto" w:fill="D0CECE"/>
                </w:tcPr>
                <w:p w14:paraId="00000A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AC7" w14:textId="75F3F5A1"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4" w:type="dxa"/>
                </w:tcPr>
                <w:p w14:paraId="00000AC8" w14:textId="56F6CA2C"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 – 15]</w:t>
                  </w:r>
                </w:p>
              </w:tc>
              <w:tc>
                <w:tcPr>
                  <w:tcW w:w="1784" w:type="dxa"/>
                </w:tcPr>
                <w:p w14:paraId="00000AC9" w14:textId="54B6CF07"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5" w:type="dxa"/>
                </w:tcPr>
                <w:p w14:paraId="00000ACA" w14:textId="04311F9B"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r>
            <w:tr w:rsidR="00416D85" w:rsidRPr="007C60AF" w14:paraId="69073DA1" w14:textId="77777777">
              <w:tc>
                <w:tcPr>
                  <w:tcW w:w="1784" w:type="dxa"/>
                  <w:shd w:val="clear" w:color="auto" w:fill="D0CECE"/>
                </w:tcPr>
                <w:p w14:paraId="00000A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A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A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69</w:t>
                  </w:r>
                </w:p>
              </w:tc>
              <w:tc>
                <w:tcPr>
                  <w:tcW w:w="1784" w:type="dxa"/>
                </w:tcPr>
                <w:p w14:paraId="00000A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(605)</w:t>
                  </w:r>
                </w:p>
              </w:tc>
              <w:tc>
                <w:tcPr>
                  <w:tcW w:w="1785" w:type="dxa"/>
                </w:tcPr>
                <w:p w14:paraId="00000A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(2,072)</w:t>
                  </w:r>
                </w:p>
              </w:tc>
            </w:tr>
          </w:tbl>
          <w:p w14:paraId="00000AD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AD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25: Profit (%) for Q2 2023 – Q2 2024</w:t>
            </w:r>
          </w:p>
          <w:p w14:paraId="00000AD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8"/>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55D4354F" w14:textId="77777777">
              <w:tc>
                <w:tcPr>
                  <w:tcW w:w="1163" w:type="dxa"/>
                  <w:shd w:val="clear" w:color="auto" w:fill="D0CECE"/>
                </w:tcPr>
                <w:p w14:paraId="00000AD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A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A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A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AD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AD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490E0026" w14:textId="77777777">
              <w:tc>
                <w:tcPr>
                  <w:tcW w:w="8921" w:type="dxa"/>
                  <w:gridSpan w:val="6"/>
                  <w:shd w:val="clear" w:color="auto" w:fill="D9E2F3"/>
                </w:tcPr>
                <w:p w14:paraId="00000AD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PROFIT OF UK SALES TO UNRELATED CUSTOMERS (% of TO)</w:t>
                  </w:r>
                </w:p>
              </w:tc>
            </w:tr>
            <w:tr w:rsidR="00416D85" w:rsidRPr="007C60AF" w14:paraId="39289396" w14:textId="77777777">
              <w:tc>
                <w:tcPr>
                  <w:tcW w:w="1163" w:type="dxa"/>
                  <w:shd w:val="clear" w:color="auto" w:fill="D0CECE"/>
                </w:tcPr>
                <w:p w14:paraId="00000AD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AE0" w14:textId="6B962B89"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 –  -25]</w:t>
                  </w:r>
                </w:p>
              </w:tc>
              <w:tc>
                <w:tcPr>
                  <w:tcW w:w="1551" w:type="dxa"/>
                </w:tcPr>
                <w:p w14:paraId="00000AE1" w14:textId="796544B7"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2" w:type="dxa"/>
                </w:tcPr>
                <w:p w14:paraId="00000AE2" w14:textId="3D0A263A"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right="-114"/>
                    <w:jc w:val="both"/>
                    <w:rPr>
                      <w:rFonts w:eastAsia="Arial"/>
                      <w:color w:val="4472C4"/>
                    </w:rPr>
                  </w:pPr>
                  <w:r w:rsidRPr="007C60AF">
                    <w:rPr>
                      <w:rFonts w:eastAsia="Arial"/>
                      <w:b/>
                      <w:color w:val="4472C4"/>
                    </w:rPr>
                    <w:t>[-15 –  0]</w:t>
                  </w:r>
                </w:p>
              </w:tc>
              <w:tc>
                <w:tcPr>
                  <w:tcW w:w="1552" w:type="dxa"/>
                </w:tcPr>
                <w:p w14:paraId="00000AE3" w14:textId="496961C0"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552" w:type="dxa"/>
                </w:tcPr>
                <w:p w14:paraId="00000AE4" w14:textId="6AD7E50E"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r>
            <w:tr w:rsidR="00416D85" w:rsidRPr="007C60AF" w14:paraId="64B2BCE7" w14:textId="77777777">
              <w:tc>
                <w:tcPr>
                  <w:tcW w:w="1163" w:type="dxa"/>
                  <w:shd w:val="clear" w:color="auto" w:fill="D0CECE"/>
                </w:tcPr>
                <w:p w14:paraId="00000AE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Index: Q2 2023 = 100</w:t>
                  </w:r>
                </w:p>
              </w:tc>
              <w:tc>
                <w:tcPr>
                  <w:tcW w:w="1551" w:type="dxa"/>
                </w:tcPr>
                <w:p w14:paraId="00000AE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A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w:t>
                  </w:r>
                </w:p>
              </w:tc>
              <w:tc>
                <w:tcPr>
                  <w:tcW w:w="1552" w:type="dxa"/>
                </w:tcPr>
                <w:p w14:paraId="00000AE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w:t>
                  </w:r>
                </w:p>
              </w:tc>
              <w:tc>
                <w:tcPr>
                  <w:tcW w:w="1552" w:type="dxa"/>
                </w:tcPr>
                <w:p w14:paraId="00000AE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c>
                <w:tcPr>
                  <w:tcW w:w="1552" w:type="dxa"/>
                </w:tcPr>
                <w:p w14:paraId="00000AE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(55)</w:t>
                  </w:r>
                </w:p>
              </w:tc>
            </w:tr>
            <w:tr w:rsidR="00416D85" w:rsidRPr="007C60AF" w14:paraId="3805DAD6" w14:textId="77777777">
              <w:tc>
                <w:tcPr>
                  <w:tcW w:w="8921" w:type="dxa"/>
                  <w:gridSpan w:val="6"/>
                  <w:shd w:val="clear" w:color="auto" w:fill="D9E2F3"/>
                </w:tcPr>
                <w:p w14:paraId="00000AE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TOTAL PROFIT (%)</w:t>
                  </w:r>
                </w:p>
              </w:tc>
            </w:tr>
            <w:tr w:rsidR="00416D85" w:rsidRPr="007C60AF" w14:paraId="53A91351" w14:textId="77777777">
              <w:tc>
                <w:tcPr>
                  <w:tcW w:w="1163" w:type="dxa"/>
                  <w:shd w:val="clear" w:color="auto" w:fill="D0CECE"/>
                </w:tcPr>
                <w:p w14:paraId="00000AF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AF2" w14:textId="777B2FE9"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 –  -25]</w:t>
                  </w:r>
                </w:p>
              </w:tc>
              <w:tc>
                <w:tcPr>
                  <w:tcW w:w="1551" w:type="dxa"/>
                </w:tcPr>
                <w:p w14:paraId="00000AF3" w14:textId="4CF2812D"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2" w:type="dxa"/>
                </w:tcPr>
                <w:p w14:paraId="00000AF4" w14:textId="0A8F501A"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552" w:type="dxa"/>
                </w:tcPr>
                <w:p w14:paraId="00000AF5" w14:textId="240B596B"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552" w:type="dxa"/>
                </w:tcPr>
                <w:p w14:paraId="00000AF6" w14:textId="5C905A05"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r>
            <w:tr w:rsidR="00416D85" w:rsidRPr="007C60AF" w14:paraId="1856E085" w14:textId="77777777">
              <w:trPr>
                <w:trHeight w:val="780"/>
              </w:trPr>
              <w:tc>
                <w:tcPr>
                  <w:tcW w:w="1163" w:type="dxa"/>
                  <w:shd w:val="clear" w:color="auto" w:fill="D0CECE"/>
                </w:tcPr>
                <w:p w14:paraId="00000AF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A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AF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w:t>
                  </w:r>
                </w:p>
              </w:tc>
              <w:tc>
                <w:tcPr>
                  <w:tcW w:w="1552" w:type="dxa"/>
                </w:tcPr>
                <w:p w14:paraId="00000AF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(67)</w:t>
                  </w:r>
                </w:p>
              </w:tc>
              <w:tc>
                <w:tcPr>
                  <w:tcW w:w="1552" w:type="dxa"/>
                </w:tcPr>
                <w:p w14:paraId="00000AF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(53)</w:t>
                  </w:r>
                </w:p>
              </w:tc>
              <w:tc>
                <w:tcPr>
                  <w:tcW w:w="1552" w:type="dxa"/>
                </w:tcPr>
                <w:p w14:paraId="00000A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(33)</w:t>
                  </w:r>
                </w:p>
              </w:tc>
            </w:tr>
          </w:tbl>
          <w:p w14:paraId="00000AFD" w14:textId="77777777" w:rsidR="00416D85" w:rsidRPr="007C60AF" w:rsidRDefault="00416D85">
            <w:pPr>
              <w:spacing w:after="0"/>
              <w:jc w:val="both"/>
              <w:rPr>
                <w:b/>
                <w:color w:val="4472C4"/>
              </w:rPr>
            </w:pPr>
          </w:p>
          <w:p w14:paraId="00000AFE" w14:textId="77777777" w:rsidR="00416D85" w:rsidRPr="007C60AF" w:rsidRDefault="00130320">
            <w:pPr>
              <w:numPr>
                <w:ilvl w:val="0"/>
                <w:numId w:val="64"/>
              </w:num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color w:val="4472C4"/>
                <w:u w:val="single"/>
              </w:rPr>
            </w:pPr>
            <w:r w:rsidRPr="007C60AF">
              <w:rPr>
                <w:rFonts w:eastAsia="Arial"/>
                <w:color w:val="4472C4"/>
                <w:u w:val="single"/>
              </w:rPr>
              <w:t xml:space="preserve">Actual and potential negative effects </w:t>
            </w:r>
            <w:proofErr w:type="gramStart"/>
            <w:r w:rsidRPr="007C60AF">
              <w:rPr>
                <w:rFonts w:eastAsia="Arial"/>
                <w:color w:val="4472C4"/>
                <w:u w:val="single"/>
              </w:rPr>
              <w:t>on:</w:t>
            </w:r>
            <w:proofErr w:type="gramEnd"/>
            <w:r w:rsidRPr="007C60AF">
              <w:rPr>
                <w:rFonts w:eastAsia="Arial"/>
                <w:color w:val="4472C4"/>
                <w:u w:val="single"/>
              </w:rPr>
              <w:t xml:space="preserve"> stocks, investments and ROI and employment and productivity</w:t>
            </w:r>
          </w:p>
          <w:p w14:paraId="00000AFF" w14:textId="77777777" w:rsidR="00416D85" w:rsidRPr="007C60AF" w:rsidRDefault="00130320">
            <w:pPr>
              <w:spacing w:after="0"/>
              <w:jc w:val="both"/>
              <w:rPr>
                <w:b/>
                <w:color w:val="4472C4"/>
              </w:rPr>
            </w:pPr>
            <w:r w:rsidRPr="007C60AF">
              <w:rPr>
                <w:b/>
                <w:color w:val="4472C4"/>
              </w:rPr>
              <w:t>Stocks</w:t>
            </w:r>
          </w:p>
          <w:p w14:paraId="00000B00" w14:textId="77777777" w:rsidR="00416D85" w:rsidRPr="007C60AF" w:rsidRDefault="00416D85">
            <w:pPr>
              <w:spacing w:after="0"/>
              <w:jc w:val="both"/>
              <w:rPr>
                <w:b/>
                <w:color w:val="4472C4"/>
              </w:rPr>
            </w:pPr>
          </w:p>
          <w:p w14:paraId="00000B01" w14:textId="1018F59F"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inventories of the UK industry have fluctuated, decreasing by </w:t>
            </w:r>
            <w:r w:rsidR="00A2087A" w:rsidRPr="007C60AF">
              <w:rPr>
                <w:rFonts w:eastAsia="Arial"/>
                <w:color w:val="4472C4"/>
              </w:rPr>
              <w:t>[</w:t>
            </w:r>
            <w:r w:rsidR="00EE45C5" w:rsidRPr="007C60AF">
              <w:rPr>
                <w:rFonts w:eastAsia="Arial"/>
                <w:b/>
                <w:color w:val="4472C4"/>
              </w:rPr>
              <w:t>50-75</w:t>
            </w:r>
            <w:r w:rsidRPr="007C60AF">
              <w:rPr>
                <w:rFonts w:eastAsia="Arial"/>
                <w:color w:val="4472C4"/>
              </w:rPr>
              <w:t>%</w:t>
            </w:r>
            <w:r w:rsidR="00A2087A" w:rsidRPr="007C60AF">
              <w:rPr>
                <w:rFonts w:eastAsia="Arial"/>
                <w:color w:val="4472C4"/>
              </w:rPr>
              <w:t>]</w:t>
            </w:r>
            <w:r w:rsidRPr="007C60AF">
              <w:rPr>
                <w:rFonts w:eastAsia="Arial"/>
                <w:color w:val="4472C4"/>
              </w:rPr>
              <w:t xml:space="preserve"> between the start of the injury period and the second year of the injury period, increasing in the third year of the injury period (to </w:t>
            </w:r>
            <w:r w:rsidR="00A2087A" w:rsidRPr="007C60AF">
              <w:rPr>
                <w:rFonts w:eastAsia="Arial"/>
                <w:color w:val="4472C4"/>
              </w:rPr>
              <w:t>[</w:t>
            </w:r>
            <w:r w:rsidR="00EE45C5" w:rsidRPr="007C60AF">
              <w:rPr>
                <w:rFonts w:eastAsia="Arial"/>
                <w:b/>
                <w:color w:val="4472C4"/>
              </w:rPr>
              <w:t>0-25</w:t>
            </w:r>
            <w:r w:rsidRPr="007C60AF">
              <w:rPr>
                <w:rFonts w:eastAsia="Arial"/>
                <w:color w:val="4472C4"/>
              </w:rPr>
              <w:t>%</w:t>
            </w:r>
            <w:r w:rsidR="00A2087A" w:rsidRPr="007C60AF">
              <w:rPr>
                <w:rFonts w:eastAsia="Arial"/>
                <w:color w:val="4472C4"/>
              </w:rPr>
              <w:t>]</w:t>
            </w:r>
            <w:r w:rsidRPr="007C60AF">
              <w:rPr>
                <w:rFonts w:eastAsia="Arial"/>
                <w:color w:val="4472C4"/>
              </w:rPr>
              <w:t xml:space="preserve"> above the first year), and </w:t>
            </w:r>
            <w:r w:rsidRPr="007C60AF">
              <w:rPr>
                <w:rFonts w:eastAsia="Arial"/>
                <w:color w:val="4472C4"/>
              </w:rPr>
              <w:lastRenderedPageBreak/>
              <w:t xml:space="preserve">then decreasing in the POI (to </w:t>
            </w:r>
            <w:r w:rsidR="00A2087A" w:rsidRPr="007C60AF">
              <w:rPr>
                <w:rFonts w:eastAsia="Arial"/>
                <w:color w:val="4472C4"/>
              </w:rPr>
              <w:t>[</w:t>
            </w:r>
            <w:r w:rsidR="00EE45C5" w:rsidRPr="007C60AF">
              <w:rPr>
                <w:rFonts w:eastAsia="Arial"/>
                <w:b/>
                <w:color w:val="4472C4"/>
              </w:rPr>
              <w:t>0-25</w:t>
            </w:r>
            <w:r w:rsidRPr="007C60AF">
              <w:rPr>
                <w:rFonts w:eastAsia="Arial"/>
                <w:color w:val="4472C4"/>
              </w:rPr>
              <w:t>%</w:t>
            </w:r>
            <w:r w:rsidR="00A2087A" w:rsidRPr="007C60AF">
              <w:rPr>
                <w:rFonts w:eastAsia="Arial"/>
                <w:color w:val="4472C4"/>
              </w:rPr>
              <w:t>]</w:t>
            </w:r>
            <w:r w:rsidRPr="007C60AF">
              <w:rPr>
                <w:rFonts w:eastAsia="Arial"/>
                <w:color w:val="4472C4"/>
              </w:rPr>
              <w:t xml:space="preserve"> below the first year) (see table 26 below). The stock fluctuation is consistent with the trends relating to production and sales. </w:t>
            </w:r>
          </w:p>
          <w:p w14:paraId="00000B0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B03"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fluctuations can also be explained by the timing of the movement of stocks out of the plants.</w:t>
            </w:r>
          </w:p>
          <w:p w14:paraId="00000B04"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B05" w14:textId="77777777" w:rsidR="00416D85" w:rsidRPr="007C60AF" w:rsidRDefault="00130320">
            <w:pPr>
              <w:numPr>
                <w:ilvl w:val="6"/>
                <w:numId w:val="61"/>
              </w:numPr>
              <w:pBdr>
                <w:top w:val="nil"/>
                <w:left w:val="nil"/>
                <w:bottom w:val="nil"/>
                <w:right w:val="nil"/>
                <w:between w:val="nil"/>
              </w:pBdr>
              <w:spacing w:after="0" w:line="276" w:lineRule="auto"/>
              <w:rPr>
                <w:rFonts w:eastAsia="Arial"/>
                <w:color w:val="4472C4"/>
              </w:rPr>
            </w:pPr>
            <w:r w:rsidRPr="007C60AF">
              <w:rPr>
                <w:rFonts w:eastAsia="Arial"/>
                <w:b/>
                <w:color w:val="4472C4"/>
              </w:rPr>
              <w:t>[SENSITIVE – INFORMATION ABOUT OPERATIONS OF ONE OR MORE UK PRODUCERS]</w:t>
            </w:r>
            <w:r w:rsidRPr="007C60AF">
              <w:rPr>
                <w:rFonts w:eastAsia="Arial"/>
                <w:color w:val="4472C4"/>
              </w:rPr>
              <w:t>.</w:t>
            </w:r>
          </w:p>
          <w:p w14:paraId="00000B0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B0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i/>
                <w:color w:val="4472C4"/>
              </w:rPr>
              <w:t>Table 26: Stocks end of period (MT) for the injury period and the POI</w:t>
            </w:r>
          </w:p>
          <w:p w14:paraId="00000B0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9"/>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57F01CD7" w14:textId="77777777">
              <w:tc>
                <w:tcPr>
                  <w:tcW w:w="1784" w:type="dxa"/>
                  <w:shd w:val="clear" w:color="auto" w:fill="D0CECE"/>
                </w:tcPr>
                <w:p w14:paraId="00000B0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0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0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318F4BBC" w14:textId="77777777">
              <w:tc>
                <w:tcPr>
                  <w:tcW w:w="1784" w:type="dxa"/>
                  <w:shd w:val="clear" w:color="auto" w:fill="D0CECE"/>
                </w:tcPr>
                <w:p w14:paraId="00000B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0F" w14:textId="289392CE"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30</w:t>
                  </w:r>
                  <w:r w:rsidR="00107603" w:rsidRPr="007C60AF">
                    <w:rPr>
                      <w:rFonts w:eastAsia="Arial"/>
                      <w:b/>
                      <w:color w:val="4472C4"/>
                    </w:rPr>
                    <w:t xml:space="preserve">,000 – </w:t>
                  </w:r>
                  <w:r w:rsidR="00BD743E" w:rsidRPr="007C60AF">
                    <w:rPr>
                      <w:rFonts w:eastAsia="Arial"/>
                      <w:b/>
                      <w:color w:val="4472C4"/>
                    </w:rPr>
                    <w:t>4</w:t>
                  </w:r>
                  <w:r w:rsidR="00107603" w:rsidRPr="007C60AF">
                    <w:rPr>
                      <w:rFonts w:eastAsia="Arial"/>
                      <w:b/>
                      <w:color w:val="4472C4"/>
                    </w:rPr>
                    <w:t>0,000</w:t>
                  </w:r>
                  <w:r w:rsidRPr="007C60AF">
                    <w:rPr>
                      <w:rFonts w:eastAsia="Arial"/>
                      <w:b/>
                      <w:color w:val="4472C4"/>
                    </w:rPr>
                    <w:t>]</w:t>
                  </w:r>
                </w:p>
              </w:tc>
              <w:tc>
                <w:tcPr>
                  <w:tcW w:w="1784" w:type="dxa"/>
                </w:tcPr>
                <w:p w14:paraId="00000B10" w14:textId="4073AB99"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10,00</w:t>
                  </w:r>
                  <w:r w:rsidR="00107603" w:rsidRPr="007C60AF">
                    <w:rPr>
                      <w:rFonts w:eastAsia="Arial"/>
                      <w:b/>
                      <w:color w:val="4472C4"/>
                    </w:rPr>
                    <w:t>0 – 2</w:t>
                  </w:r>
                  <w:r w:rsidR="00BD743E" w:rsidRPr="007C60AF">
                    <w:rPr>
                      <w:rFonts w:eastAsia="Arial"/>
                      <w:b/>
                      <w:color w:val="4472C4"/>
                    </w:rPr>
                    <w:t>0</w:t>
                  </w:r>
                  <w:r w:rsidR="00107603" w:rsidRPr="007C60AF">
                    <w:rPr>
                      <w:rFonts w:eastAsia="Arial"/>
                      <w:b/>
                      <w:color w:val="4472C4"/>
                    </w:rPr>
                    <w:t>,000</w:t>
                  </w:r>
                  <w:r w:rsidRPr="007C60AF">
                    <w:rPr>
                      <w:rFonts w:eastAsia="Arial"/>
                      <w:b/>
                      <w:color w:val="4472C4"/>
                    </w:rPr>
                    <w:t>]</w:t>
                  </w:r>
                </w:p>
              </w:tc>
              <w:tc>
                <w:tcPr>
                  <w:tcW w:w="1784" w:type="dxa"/>
                </w:tcPr>
                <w:p w14:paraId="00000B11" w14:textId="308AE05A"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30</w:t>
                  </w:r>
                  <w:r w:rsidR="00107603" w:rsidRPr="007C60AF">
                    <w:rPr>
                      <w:rFonts w:eastAsia="Arial"/>
                      <w:b/>
                      <w:color w:val="4472C4"/>
                    </w:rPr>
                    <w:t xml:space="preserve">,000 – </w:t>
                  </w:r>
                  <w:r w:rsidR="00BD743E" w:rsidRPr="007C60AF">
                    <w:rPr>
                      <w:rFonts w:eastAsia="Arial"/>
                      <w:b/>
                      <w:color w:val="4472C4"/>
                    </w:rPr>
                    <w:t>4</w:t>
                  </w:r>
                  <w:r w:rsidR="00107603" w:rsidRPr="007C60AF">
                    <w:rPr>
                      <w:rFonts w:eastAsia="Arial"/>
                      <w:b/>
                      <w:color w:val="4472C4"/>
                    </w:rPr>
                    <w:t>0,000</w:t>
                  </w:r>
                  <w:r w:rsidRPr="007C60AF">
                    <w:rPr>
                      <w:rFonts w:eastAsia="Arial"/>
                      <w:b/>
                      <w:color w:val="4472C4"/>
                    </w:rPr>
                    <w:t>]</w:t>
                  </w:r>
                </w:p>
              </w:tc>
              <w:tc>
                <w:tcPr>
                  <w:tcW w:w="1785" w:type="dxa"/>
                </w:tcPr>
                <w:p w14:paraId="00000B12" w14:textId="5ACDB961"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0" w:line="276" w:lineRule="auto"/>
                    <w:jc w:val="both"/>
                    <w:rPr>
                      <w:rFonts w:eastAsia="Arial"/>
                      <w:b/>
                      <w:color w:val="4472C4"/>
                    </w:rPr>
                  </w:pPr>
                  <w:r w:rsidRPr="007C60AF">
                    <w:rPr>
                      <w:rFonts w:eastAsia="Arial"/>
                      <w:b/>
                      <w:color w:val="4472C4"/>
                    </w:rPr>
                    <w:t>[</w:t>
                  </w:r>
                  <w:r w:rsidR="00BD743E" w:rsidRPr="007C60AF">
                    <w:rPr>
                      <w:rFonts w:eastAsia="Arial"/>
                      <w:b/>
                      <w:color w:val="4472C4"/>
                    </w:rPr>
                    <w:t>20,000</w:t>
                  </w:r>
                  <w:r w:rsidR="00107603" w:rsidRPr="007C60AF">
                    <w:rPr>
                      <w:rFonts w:eastAsia="Arial"/>
                      <w:b/>
                      <w:color w:val="4472C4"/>
                    </w:rPr>
                    <w:t xml:space="preserve"> – </w:t>
                  </w:r>
                  <w:r w:rsidR="00BD743E" w:rsidRPr="007C60AF">
                    <w:rPr>
                      <w:rFonts w:eastAsia="Arial"/>
                      <w:b/>
                      <w:color w:val="4472C4"/>
                    </w:rPr>
                    <w:t>30</w:t>
                  </w:r>
                  <w:r w:rsidR="00107603" w:rsidRPr="007C60AF">
                    <w:rPr>
                      <w:rFonts w:eastAsia="Arial"/>
                      <w:b/>
                      <w:color w:val="4472C4"/>
                    </w:rPr>
                    <w:t>,000</w:t>
                  </w:r>
                  <w:r w:rsidRPr="007C60AF">
                    <w:rPr>
                      <w:rFonts w:eastAsia="Arial"/>
                      <w:b/>
                      <w:color w:val="4472C4"/>
                    </w:rPr>
                    <w:t>]</w:t>
                  </w:r>
                </w:p>
                <w:p w14:paraId="00000B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color w:val="4472C4"/>
                    </w:rPr>
                  </w:pPr>
                </w:p>
              </w:tc>
            </w:tr>
            <w:tr w:rsidR="00416D85" w:rsidRPr="007C60AF" w14:paraId="615926CA" w14:textId="77777777">
              <w:tc>
                <w:tcPr>
                  <w:tcW w:w="1784" w:type="dxa"/>
                  <w:shd w:val="clear" w:color="auto" w:fill="D0CECE"/>
                </w:tcPr>
                <w:p w14:paraId="00000B1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1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1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48</w:t>
                  </w:r>
                </w:p>
              </w:tc>
              <w:tc>
                <w:tcPr>
                  <w:tcW w:w="1784" w:type="dxa"/>
                </w:tcPr>
                <w:p w14:paraId="00000B1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111</w:t>
                  </w:r>
                </w:p>
              </w:tc>
              <w:tc>
                <w:tcPr>
                  <w:tcW w:w="1785" w:type="dxa"/>
                </w:tcPr>
                <w:p w14:paraId="00000B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78</w:t>
                  </w:r>
                </w:p>
              </w:tc>
            </w:tr>
          </w:tbl>
          <w:p w14:paraId="00000B1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27: Stocks end of period (MT) for Q2 2023 – Q2 2024</w:t>
            </w:r>
          </w:p>
          <w:p w14:paraId="00000B1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a"/>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3431F5C4" w14:textId="77777777">
              <w:tc>
                <w:tcPr>
                  <w:tcW w:w="1163" w:type="dxa"/>
                  <w:shd w:val="clear" w:color="auto" w:fill="D0CECE"/>
                </w:tcPr>
                <w:p w14:paraId="00000B1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B1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B1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B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B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B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BAE26A2" w14:textId="77777777">
              <w:tc>
                <w:tcPr>
                  <w:tcW w:w="1163" w:type="dxa"/>
                  <w:shd w:val="clear" w:color="auto" w:fill="D0CECE"/>
                </w:tcPr>
                <w:p w14:paraId="00000B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B23" w14:textId="4EFBC104"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07603" w:rsidRPr="007C60AF">
                    <w:rPr>
                      <w:rFonts w:eastAsia="Arial"/>
                      <w:b/>
                      <w:color w:val="4472C4"/>
                    </w:rPr>
                    <w:t>2</w:t>
                  </w:r>
                  <w:r w:rsidR="00BD743E" w:rsidRPr="007C60AF">
                    <w:rPr>
                      <w:rFonts w:eastAsia="Arial"/>
                      <w:b/>
                      <w:color w:val="4472C4"/>
                    </w:rPr>
                    <w:t>0</w:t>
                  </w:r>
                  <w:r w:rsidR="00107603" w:rsidRPr="007C60AF">
                    <w:rPr>
                      <w:rFonts w:eastAsia="Arial"/>
                      <w:b/>
                      <w:color w:val="4472C4"/>
                    </w:rPr>
                    <w:t xml:space="preserve">,000 – </w:t>
                  </w:r>
                  <w:r w:rsidR="00BD743E" w:rsidRPr="007C60AF">
                    <w:rPr>
                      <w:rFonts w:eastAsia="Arial"/>
                      <w:b/>
                      <w:color w:val="4472C4"/>
                    </w:rPr>
                    <w:t>3</w:t>
                  </w:r>
                  <w:r w:rsidR="00107603" w:rsidRPr="007C60AF">
                    <w:rPr>
                      <w:rFonts w:eastAsia="Arial"/>
                      <w:b/>
                      <w:color w:val="4472C4"/>
                    </w:rPr>
                    <w:t>0,000</w:t>
                  </w:r>
                  <w:r w:rsidRPr="007C60AF">
                    <w:rPr>
                      <w:rFonts w:eastAsia="Arial"/>
                      <w:b/>
                      <w:color w:val="4472C4"/>
                    </w:rPr>
                    <w:t>]</w:t>
                  </w:r>
                </w:p>
              </w:tc>
              <w:tc>
                <w:tcPr>
                  <w:tcW w:w="1551" w:type="dxa"/>
                </w:tcPr>
                <w:p w14:paraId="00000B24" w14:textId="2B28A0C7"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20,00</w:t>
                  </w:r>
                  <w:r w:rsidR="00107603" w:rsidRPr="007C60AF">
                    <w:rPr>
                      <w:rFonts w:eastAsia="Arial"/>
                      <w:b/>
                      <w:color w:val="4472C4"/>
                    </w:rPr>
                    <w:t xml:space="preserve">0 – </w:t>
                  </w:r>
                  <w:r w:rsidR="00BD743E" w:rsidRPr="007C60AF">
                    <w:rPr>
                      <w:rFonts w:eastAsia="Arial"/>
                      <w:b/>
                      <w:color w:val="4472C4"/>
                    </w:rPr>
                    <w:t>30</w:t>
                  </w:r>
                  <w:r w:rsidR="00107603" w:rsidRPr="007C60AF">
                    <w:rPr>
                      <w:rFonts w:eastAsia="Arial"/>
                      <w:b/>
                      <w:color w:val="4472C4"/>
                    </w:rPr>
                    <w:t>,000</w:t>
                  </w:r>
                  <w:r w:rsidRPr="007C60AF">
                    <w:rPr>
                      <w:rFonts w:eastAsia="Arial"/>
                      <w:b/>
                      <w:color w:val="4472C4"/>
                    </w:rPr>
                    <w:t>]</w:t>
                  </w:r>
                </w:p>
              </w:tc>
              <w:tc>
                <w:tcPr>
                  <w:tcW w:w="1552" w:type="dxa"/>
                </w:tcPr>
                <w:p w14:paraId="00000B25" w14:textId="429E3E1A"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20,00</w:t>
                  </w:r>
                  <w:r w:rsidR="00107603" w:rsidRPr="007C60AF">
                    <w:rPr>
                      <w:rFonts w:eastAsia="Arial"/>
                      <w:b/>
                      <w:color w:val="4472C4"/>
                    </w:rPr>
                    <w:t xml:space="preserve">0 – </w:t>
                  </w:r>
                  <w:r w:rsidR="00BD743E" w:rsidRPr="007C60AF">
                    <w:rPr>
                      <w:rFonts w:eastAsia="Arial"/>
                      <w:b/>
                      <w:color w:val="4472C4"/>
                    </w:rPr>
                    <w:t>30</w:t>
                  </w:r>
                  <w:r w:rsidR="00107603" w:rsidRPr="007C60AF">
                    <w:rPr>
                      <w:rFonts w:eastAsia="Arial"/>
                      <w:b/>
                      <w:color w:val="4472C4"/>
                    </w:rPr>
                    <w:t>,000</w:t>
                  </w:r>
                  <w:r w:rsidRPr="007C60AF">
                    <w:rPr>
                      <w:rFonts w:eastAsia="Arial"/>
                      <w:b/>
                      <w:color w:val="4472C4"/>
                    </w:rPr>
                    <w:t>]</w:t>
                  </w:r>
                </w:p>
              </w:tc>
              <w:tc>
                <w:tcPr>
                  <w:tcW w:w="1552" w:type="dxa"/>
                </w:tcPr>
                <w:p w14:paraId="00000B26" w14:textId="4BC13865" w:rsidR="00416D85" w:rsidRPr="007C60AF" w:rsidRDefault="00BD743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[20,000 – 30,000]</w:t>
                  </w:r>
                </w:p>
              </w:tc>
              <w:tc>
                <w:tcPr>
                  <w:tcW w:w="1552" w:type="dxa"/>
                </w:tcPr>
                <w:p w14:paraId="00000B27" w14:textId="1C29F45D" w:rsidR="00416D85" w:rsidRPr="007C60AF" w:rsidRDefault="00BD743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[20,000 – 30,000]</w:t>
                  </w:r>
                </w:p>
              </w:tc>
            </w:tr>
            <w:tr w:rsidR="00416D85" w:rsidRPr="007C60AF" w14:paraId="630D0B29" w14:textId="77777777">
              <w:tc>
                <w:tcPr>
                  <w:tcW w:w="1163" w:type="dxa"/>
                  <w:shd w:val="clear" w:color="auto" w:fill="D0CECE"/>
                </w:tcPr>
                <w:p w14:paraId="00000B2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B2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B2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73</w:t>
                  </w:r>
                </w:p>
              </w:tc>
              <w:tc>
                <w:tcPr>
                  <w:tcW w:w="1552" w:type="dxa"/>
                </w:tcPr>
                <w:p w14:paraId="00000B2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c>
                <w:tcPr>
                  <w:tcW w:w="1552" w:type="dxa"/>
                </w:tcPr>
                <w:p w14:paraId="00000B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85</w:t>
                  </w:r>
                </w:p>
              </w:tc>
              <w:tc>
                <w:tcPr>
                  <w:tcW w:w="1552" w:type="dxa"/>
                </w:tcPr>
                <w:p w14:paraId="00000B2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89</w:t>
                  </w:r>
                </w:p>
              </w:tc>
            </w:tr>
          </w:tbl>
          <w:p w14:paraId="00000B2E" w14:textId="77777777" w:rsidR="00416D85" w:rsidRPr="007C60AF" w:rsidRDefault="00416D85">
            <w:pPr>
              <w:spacing w:after="0"/>
              <w:jc w:val="both"/>
              <w:rPr>
                <w:b/>
                <w:color w:val="4472C4"/>
              </w:rPr>
            </w:pPr>
          </w:p>
          <w:p w14:paraId="00000B2F" w14:textId="77777777" w:rsidR="00416D85" w:rsidRPr="007C60AF" w:rsidRDefault="00130320">
            <w:pPr>
              <w:spacing w:after="0"/>
              <w:jc w:val="both"/>
              <w:rPr>
                <w:b/>
                <w:color w:val="4472C4"/>
              </w:rPr>
            </w:pPr>
            <w:r w:rsidRPr="007C60AF">
              <w:rPr>
                <w:b/>
                <w:color w:val="4472C4"/>
              </w:rPr>
              <w:t>Investments and ROI</w:t>
            </w:r>
          </w:p>
          <w:p w14:paraId="00000B30" w14:textId="77777777" w:rsidR="00416D85" w:rsidRPr="007C60AF" w:rsidRDefault="00416D85">
            <w:pPr>
              <w:spacing w:after="0"/>
              <w:jc w:val="both"/>
              <w:rPr>
                <w:b/>
                <w:color w:val="4472C4"/>
              </w:rPr>
            </w:pPr>
          </w:p>
          <w:p w14:paraId="00000B31" w14:textId="3E19EFED"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r w:rsidRPr="007C60AF">
              <w:rPr>
                <w:rFonts w:eastAsia="Arial"/>
                <w:color w:val="4472C4"/>
              </w:rPr>
              <w:t xml:space="preserve">The UK industry is unable to generate ROI despite continuous investment. Investments of the UK industry therefore decreased between the start of the injury period and the POI by </w:t>
            </w:r>
            <w:r w:rsidR="00A12944" w:rsidRPr="007C60AF">
              <w:rPr>
                <w:rFonts w:eastAsia="Arial"/>
                <w:color w:val="4472C4"/>
              </w:rPr>
              <w:t>[</w:t>
            </w:r>
            <w:r w:rsidR="00EE45C5" w:rsidRPr="007C60AF">
              <w:rPr>
                <w:rFonts w:eastAsia="Arial"/>
                <w:b/>
                <w:color w:val="4472C4"/>
              </w:rPr>
              <w:t>25-50</w:t>
            </w:r>
            <w:r w:rsidRPr="007C60AF">
              <w:rPr>
                <w:rFonts w:eastAsia="Arial"/>
                <w:b/>
                <w:color w:val="4472C4"/>
              </w:rPr>
              <w:t>%</w:t>
            </w:r>
            <w:r w:rsidR="00A12944" w:rsidRPr="007C60AF">
              <w:rPr>
                <w:rFonts w:eastAsia="Arial"/>
                <w:b/>
                <w:color w:val="4472C4"/>
              </w:rPr>
              <w:t>]</w:t>
            </w:r>
            <w:r w:rsidRPr="007C60AF">
              <w:rPr>
                <w:rFonts w:eastAsia="Arial"/>
                <w:color w:val="4472C4"/>
              </w:rPr>
              <w:t xml:space="preserve"> from </w:t>
            </w:r>
            <w:r w:rsidR="00774CB9" w:rsidRPr="007C60AF">
              <w:rPr>
                <w:rFonts w:eastAsia="Arial"/>
                <w:b/>
                <w:color w:val="4472C4"/>
              </w:rPr>
              <w:t>[10</w:t>
            </w:r>
            <w:r w:rsidR="00BD743E" w:rsidRPr="007C60AF">
              <w:rPr>
                <w:rFonts w:eastAsia="Arial"/>
                <w:b/>
                <w:color w:val="4472C4"/>
              </w:rPr>
              <w:t>m</w:t>
            </w:r>
            <w:r w:rsidR="00774CB9" w:rsidRPr="007C60AF">
              <w:rPr>
                <w:rFonts w:eastAsia="Arial"/>
                <w:b/>
                <w:color w:val="4472C4"/>
              </w:rPr>
              <w:t>-</w:t>
            </w:r>
            <w:r w:rsidR="00BD743E" w:rsidRPr="007C60AF">
              <w:rPr>
                <w:rFonts w:eastAsia="Arial"/>
                <w:b/>
                <w:color w:val="4472C4"/>
              </w:rPr>
              <w:t>15</w:t>
            </w:r>
            <w:r w:rsidR="00774CB9" w:rsidRPr="007C60AF">
              <w:rPr>
                <w:rFonts w:eastAsia="Arial"/>
                <w:b/>
                <w:color w:val="4472C4"/>
              </w:rPr>
              <w:t xml:space="preserve">m] </w:t>
            </w:r>
            <w:r w:rsidRPr="007C60AF">
              <w:rPr>
                <w:rFonts w:eastAsia="Arial"/>
                <w:color w:val="4472C4"/>
              </w:rPr>
              <w:t xml:space="preserve">GBP to </w:t>
            </w:r>
            <w:r w:rsidR="00774CB9" w:rsidRPr="007C60AF">
              <w:rPr>
                <w:rFonts w:eastAsia="Arial"/>
                <w:b/>
                <w:color w:val="4472C4"/>
              </w:rPr>
              <w:t>[5m-</w:t>
            </w:r>
            <w:r w:rsidR="00BD743E" w:rsidRPr="007C60AF">
              <w:rPr>
                <w:rFonts w:eastAsia="Arial"/>
                <w:b/>
                <w:color w:val="4472C4"/>
              </w:rPr>
              <w:t>6</w:t>
            </w:r>
            <w:r w:rsidR="00774CB9" w:rsidRPr="007C60AF">
              <w:rPr>
                <w:rFonts w:eastAsia="Arial"/>
                <w:b/>
                <w:color w:val="4472C4"/>
              </w:rPr>
              <w:t xml:space="preserve">m] </w:t>
            </w:r>
            <w:r w:rsidRPr="007C60AF">
              <w:rPr>
                <w:rFonts w:eastAsia="Arial"/>
                <w:color w:val="4472C4"/>
              </w:rPr>
              <w:t xml:space="preserve">GBP (see table 28 below). This decreasing trend also continued after the POI in Q2 2024, as investment decreased by </w:t>
            </w:r>
            <w:r w:rsidR="00A12944" w:rsidRPr="007C60AF">
              <w:rPr>
                <w:rFonts w:eastAsia="Arial"/>
                <w:color w:val="4472C4"/>
              </w:rPr>
              <w:t>[</w:t>
            </w:r>
            <w:r w:rsidR="00EE45C5" w:rsidRPr="007C60AF">
              <w:rPr>
                <w:rFonts w:eastAsia="Arial"/>
                <w:b/>
                <w:color w:val="4472C4"/>
              </w:rPr>
              <w:t>50-75</w:t>
            </w:r>
            <w:r w:rsidRPr="007C60AF">
              <w:rPr>
                <w:rFonts w:eastAsia="Arial"/>
                <w:color w:val="4472C4"/>
              </w:rPr>
              <w:t>%</w:t>
            </w:r>
            <w:r w:rsidR="00A12944" w:rsidRPr="007C60AF">
              <w:rPr>
                <w:rFonts w:eastAsia="Arial"/>
                <w:color w:val="4472C4"/>
              </w:rPr>
              <w:t>]</w:t>
            </w:r>
            <w:r w:rsidRPr="007C60AF">
              <w:rPr>
                <w:rFonts w:eastAsia="Arial"/>
                <w:color w:val="4472C4"/>
              </w:rPr>
              <w:t xml:space="preserve"> as compared to Q2 2023 (see table 29 below). </w:t>
            </w:r>
          </w:p>
          <w:p w14:paraId="00000B3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B33"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color w:val="4472C4"/>
              </w:rPr>
              <w:t>ROI has been calculated using a ratio of total investments to total company profit/loss.</w:t>
            </w:r>
            <w:r w:rsidRPr="007C60AF">
              <w:rPr>
                <w:rFonts w:eastAsia="Arial"/>
                <w:i/>
                <w:color w:val="4472C4"/>
              </w:rPr>
              <w:t xml:space="preserve"> </w:t>
            </w:r>
          </w:p>
          <w:p w14:paraId="00000B3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B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28: Investments (GBP) for the injury period and the POI</w:t>
            </w:r>
          </w:p>
          <w:p w14:paraId="00000B3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b"/>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06721CE8" w14:textId="77777777">
              <w:tc>
                <w:tcPr>
                  <w:tcW w:w="1784" w:type="dxa"/>
                  <w:shd w:val="clear" w:color="auto" w:fill="D0CECE"/>
                </w:tcPr>
                <w:p w14:paraId="00000B3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3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62CBB12B" w14:textId="77777777">
              <w:tc>
                <w:tcPr>
                  <w:tcW w:w="1784" w:type="dxa"/>
                  <w:shd w:val="clear" w:color="auto" w:fill="D0CECE"/>
                </w:tcPr>
                <w:p w14:paraId="00000B3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3D" w14:textId="0416239A" w:rsidR="00416D85" w:rsidRPr="007C60AF" w:rsidRDefault="00F178A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w:t>
                  </w:r>
                  <w:r w:rsidR="00BD743E" w:rsidRPr="007C60AF">
                    <w:rPr>
                      <w:rFonts w:eastAsia="Arial"/>
                      <w:b/>
                      <w:color w:val="4472C4"/>
                    </w:rPr>
                    <w:t>15</w:t>
                  </w:r>
                  <w:r w:rsidRPr="007C60AF">
                    <w:rPr>
                      <w:rFonts w:eastAsia="Arial"/>
                      <w:b/>
                      <w:color w:val="4472C4"/>
                    </w:rPr>
                    <w:t>,000,000]</w:t>
                  </w:r>
                </w:p>
              </w:tc>
              <w:tc>
                <w:tcPr>
                  <w:tcW w:w="1784" w:type="dxa"/>
                </w:tcPr>
                <w:p w14:paraId="00000B3E" w14:textId="60608FE1"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6</w:t>
                  </w:r>
                  <w:r w:rsidRPr="007C60AF">
                    <w:rPr>
                      <w:rFonts w:eastAsia="Arial"/>
                      <w:b/>
                      <w:color w:val="4472C4"/>
                    </w:rPr>
                    <w:t>,000,000-</w:t>
                  </w:r>
                  <w:r w:rsidR="00BD743E" w:rsidRPr="007C60AF">
                    <w:rPr>
                      <w:rFonts w:eastAsia="Arial"/>
                      <w:b/>
                      <w:color w:val="4472C4"/>
                    </w:rPr>
                    <w:t>7</w:t>
                  </w:r>
                  <w:r w:rsidRPr="007C60AF">
                    <w:rPr>
                      <w:rFonts w:eastAsia="Arial"/>
                      <w:b/>
                      <w:color w:val="4472C4"/>
                    </w:rPr>
                    <w:t>,000,000]</w:t>
                  </w:r>
                </w:p>
              </w:tc>
              <w:tc>
                <w:tcPr>
                  <w:tcW w:w="1784" w:type="dxa"/>
                </w:tcPr>
                <w:p w14:paraId="00000B3F" w14:textId="737C88C5"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7</w:t>
                  </w:r>
                  <w:r w:rsidRPr="007C60AF">
                    <w:rPr>
                      <w:rFonts w:eastAsia="Arial"/>
                      <w:b/>
                      <w:color w:val="4472C4"/>
                    </w:rPr>
                    <w:t>,000,000-</w:t>
                  </w:r>
                  <w:r w:rsidR="00BD743E" w:rsidRPr="007C60AF">
                    <w:rPr>
                      <w:rFonts w:eastAsia="Arial"/>
                      <w:b/>
                      <w:color w:val="4472C4"/>
                    </w:rPr>
                    <w:t>8</w:t>
                  </w:r>
                  <w:r w:rsidRPr="007C60AF">
                    <w:rPr>
                      <w:rFonts w:eastAsia="Arial"/>
                      <w:b/>
                      <w:color w:val="4472C4"/>
                    </w:rPr>
                    <w:t>,000,000]</w:t>
                  </w:r>
                </w:p>
              </w:tc>
              <w:tc>
                <w:tcPr>
                  <w:tcW w:w="1785" w:type="dxa"/>
                </w:tcPr>
                <w:p w14:paraId="00000B40" w14:textId="0B97EC33"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[5,000,000-</w:t>
                  </w:r>
                  <w:r w:rsidR="00BD743E" w:rsidRPr="007C60AF">
                    <w:rPr>
                      <w:rFonts w:eastAsia="Arial"/>
                      <w:b/>
                      <w:color w:val="4472C4"/>
                    </w:rPr>
                    <w:t>6</w:t>
                  </w:r>
                  <w:r w:rsidRPr="007C60AF">
                    <w:rPr>
                      <w:rFonts w:eastAsia="Arial"/>
                      <w:b/>
                      <w:color w:val="4472C4"/>
                    </w:rPr>
                    <w:t>,000,000]</w:t>
                  </w:r>
                </w:p>
              </w:tc>
            </w:tr>
            <w:tr w:rsidR="00416D85" w:rsidRPr="007C60AF" w14:paraId="3B58A400" w14:textId="77777777">
              <w:tc>
                <w:tcPr>
                  <w:tcW w:w="1784" w:type="dxa"/>
                  <w:shd w:val="clear" w:color="auto" w:fill="D0CECE"/>
                </w:tcPr>
                <w:p w14:paraId="00000B4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4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w:t>
                  </w:r>
                </w:p>
              </w:tc>
              <w:tc>
                <w:tcPr>
                  <w:tcW w:w="1784" w:type="dxa"/>
                </w:tcPr>
                <w:p w14:paraId="00000B4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c>
                <w:tcPr>
                  <w:tcW w:w="1785" w:type="dxa"/>
                </w:tcPr>
                <w:p w14:paraId="00000B4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54</w:t>
                  </w:r>
                </w:p>
              </w:tc>
            </w:tr>
          </w:tbl>
          <w:p w14:paraId="00000B4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29: Investments (GBP) for Q2 2023 – Q2 2024</w:t>
            </w:r>
          </w:p>
          <w:p w14:paraId="00000B4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c"/>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4"/>
              <w:gridCol w:w="1552"/>
              <w:gridCol w:w="1552"/>
              <w:gridCol w:w="1552"/>
              <w:gridCol w:w="1552"/>
              <w:gridCol w:w="1549"/>
            </w:tblGrid>
            <w:tr w:rsidR="00416D85" w:rsidRPr="007C60AF" w14:paraId="5298649F" w14:textId="77777777">
              <w:tc>
                <w:tcPr>
                  <w:tcW w:w="1164" w:type="dxa"/>
                  <w:shd w:val="clear" w:color="auto" w:fill="D0CECE"/>
                </w:tcPr>
                <w:p w14:paraId="00000B4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2" w:type="dxa"/>
                  <w:shd w:val="clear" w:color="auto" w:fill="D0CECE"/>
                </w:tcPr>
                <w:p w14:paraId="00000B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2" w:type="dxa"/>
                  <w:shd w:val="clear" w:color="auto" w:fill="D0CECE"/>
                </w:tcPr>
                <w:p w14:paraId="00000B4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B4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B4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49" w:type="dxa"/>
                  <w:shd w:val="clear" w:color="auto" w:fill="D0CECE"/>
                </w:tcPr>
                <w:p w14:paraId="00000B4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3B5912AF" w14:textId="77777777">
              <w:tc>
                <w:tcPr>
                  <w:tcW w:w="1164" w:type="dxa"/>
                  <w:shd w:val="clear" w:color="auto" w:fill="D0CECE"/>
                </w:tcPr>
                <w:p w14:paraId="00000B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2" w:type="dxa"/>
                </w:tcPr>
                <w:p w14:paraId="00000B50" w14:textId="5E4D131A"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w:t>
                  </w:r>
                  <w:r w:rsidR="00205F99" w:rsidRPr="007C60AF">
                    <w:rPr>
                      <w:rFonts w:eastAsia="Arial"/>
                      <w:b/>
                      <w:color w:val="4472C4"/>
                    </w:rPr>
                    <w:t>5</w:t>
                  </w:r>
                  <w:r w:rsidRPr="007C60AF">
                    <w:rPr>
                      <w:rFonts w:eastAsia="Arial"/>
                      <w:b/>
                      <w:color w:val="4472C4"/>
                    </w:rPr>
                    <w:t>00,000-</w:t>
                  </w:r>
                  <w:r w:rsidR="00205F99" w:rsidRPr="007C60AF">
                    <w:rPr>
                      <w:rFonts w:eastAsia="Arial"/>
                      <w:b/>
                      <w:color w:val="4472C4"/>
                    </w:rPr>
                    <w:t>2</w:t>
                  </w:r>
                  <w:r w:rsidRPr="007C60AF">
                    <w:rPr>
                      <w:rFonts w:eastAsia="Arial"/>
                      <w:b/>
                      <w:color w:val="4472C4"/>
                    </w:rPr>
                    <w:t>,000,000]</w:t>
                  </w:r>
                </w:p>
              </w:tc>
              <w:tc>
                <w:tcPr>
                  <w:tcW w:w="1552" w:type="dxa"/>
                </w:tcPr>
                <w:p w14:paraId="00000B51" w14:textId="5205D642"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w:t>
                  </w:r>
                  <w:r w:rsidR="00205F99" w:rsidRPr="007C60AF">
                    <w:rPr>
                      <w:rFonts w:eastAsia="Arial"/>
                      <w:b/>
                      <w:color w:val="4472C4"/>
                    </w:rPr>
                    <w:t>1</w:t>
                  </w:r>
                  <w:r w:rsidRPr="007C60AF">
                    <w:rPr>
                      <w:rFonts w:eastAsia="Arial"/>
                      <w:b/>
                      <w:color w:val="4472C4"/>
                    </w:rPr>
                    <w:t>,</w:t>
                  </w:r>
                  <w:r w:rsidR="00205F99" w:rsidRPr="007C60AF">
                    <w:rPr>
                      <w:rFonts w:eastAsia="Arial"/>
                      <w:b/>
                      <w:color w:val="4472C4"/>
                    </w:rPr>
                    <w:t>5</w:t>
                  </w:r>
                  <w:r w:rsidRPr="007C60AF">
                    <w:rPr>
                      <w:rFonts w:eastAsia="Arial"/>
                      <w:b/>
                      <w:color w:val="4472C4"/>
                    </w:rPr>
                    <w:t>00,000]</w:t>
                  </w:r>
                </w:p>
              </w:tc>
              <w:tc>
                <w:tcPr>
                  <w:tcW w:w="1552" w:type="dxa"/>
                </w:tcPr>
                <w:p w14:paraId="00000B52" w14:textId="6D786E93"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w:t>
                  </w:r>
                  <w:r w:rsidR="00205F99" w:rsidRPr="007C60AF">
                    <w:rPr>
                      <w:rFonts w:eastAsia="Arial"/>
                      <w:b/>
                      <w:color w:val="4472C4"/>
                    </w:rPr>
                    <w:t>5</w:t>
                  </w:r>
                  <w:r w:rsidRPr="007C60AF">
                    <w:rPr>
                      <w:rFonts w:eastAsia="Arial"/>
                      <w:b/>
                      <w:color w:val="4472C4"/>
                    </w:rPr>
                    <w:t>00,000-</w:t>
                  </w:r>
                  <w:r w:rsidR="00205F99" w:rsidRPr="007C60AF">
                    <w:rPr>
                      <w:rFonts w:eastAsia="Arial"/>
                      <w:b/>
                      <w:color w:val="4472C4"/>
                    </w:rPr>
                    <w:t>2</w:t>
                  </w:r>
                  <w:r w:rsidRPr="007C60AF">
                    <w:rPr>
                      <w:rFonts w:eastAsia="Arial"/>
                      <w:b/>
                      <w:color w:val="4472C4"/>
                    </w:rPr>
                    <w:t>,000,000]</w:t>
                  </w:r>
                </w:p>
              </w:tc>
              <w:tc>
                <w:tcPr>
                  <w:tcW w:w="1552" w:type="dxa"/>
                </w:tcPr>
                <w:p w14:paraId="00000B53" w14:textId="4036E0E8"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[800,000-1,000,000]</w:t>
                  </w:r>
                </w:p>
              </w:tc>
              <w:tc>
                <w:tcPr>
                  <w:tcW w:w="1549" w:type="dxa"/>
                </w:tcPr>
                <w:p w14:paraId="00000B54" w14:textId="2E8CFCD3"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30320" w:rsidRPr="007C60AF">
                    <w:rPr>
                      <w:rFonts w:eastAsia="Arial"/>
                      <w:b/>
                      <w:color w:val="4472C4"/>
                    </w:rPr>
                    <w:t>500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600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r>
            <w:tr w:rsidR="00416D85" w:rsidRPr="007C60AF" w14:paraId="632EA521" w14:textId="77777777">
              <w:tc>
                <w:tcPr>
                  <w:tcW w:w="1164" w:type="dxa"/>
                  <w:shd w:val="clear" w:color="auto" w:fill="D0CECE"/>
                </w:tcPr>
                <w:p w14:paraId="00000B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2" w:type="dxa"/>
                </w:tcPr>
                <w:p w14:paraId="00000B5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2" w:type="dxa"/>
                </w:tcPr>
                <w:p w14:paraId="00000B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w:t>
                  </w:r>
                </w:p>
              </w:tc>
              <w:tc>
                <w:tcPr>
                  <w:tcW w:w="1552" w:type="dxa"/>
                </w:tcPr>
                <w:p w14:paraId="00000B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109</w:t>
                  </w:r>
                </w:p>
              </w:tc>
              <w:tc>
                <w:tcPr>
                  <w:tcW w:w="1552" w:type="dxa"/>
                </w:tcPr>
                <w:p w14:paraId="00000B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w:t>
                  </w:r>
                </w:p>
              </w:tc>
              <w:tc>
                <w:tcPr>
                  <w:tcW w:w="1549" w:type="dxa"/>
                </w:tcPr>
                <w:p w14:paraId="00000B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35</w:t>
                  </w:r>
                </w:p>
              </w:tc>
            </w:tr>
          </w:tbl>
          <w:p w14:paraId="00000B5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p>
          <w:p w14:paraId="00000B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30: Return on investment (%) for the injury period and the POI</w:t>
            </w:r>
          </w:p>
          <w:p w14:paraId="00000B5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d"/>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0F81CFDD" w14:textId="77777777">
              <w:tc>
                <w:tcPr>
                  <w:tcW w:w="1784" w:type="dxa"/>
                  <w:shd w:val="clear" w:color="auto" w:fill="D0CECE"/>
                </w:tcPr>
                <w:p w14:paraId="00000B5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6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21001D8" w14:textId="77777777">
              <w:tc>
                <w:tcPr>
                  <w:tcW w:w="1784" w:type="dxa"/>
                  <w:shd w:val="clear" w:color="auto" w:fill="D0CECE"/>
                </w:tcPr>
                <w:p w14:paraId="00000B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64" w14:textId="0291C6F6"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w:t>
                  </w:r>
                  <w:r w:rsidR="00130320" w:rsidRPr="007C60AF">
                    <w:rPr>
                      <w:rFonts w:eastAsia="Arial"/>
                      <w:b/>
                      <w:color w:val="4472C4"/>
                    </w:rPr>
                    <w:t xml:space="preserve"> – </w:t>
                  </w:r>
                  <w:r w:rsidRPr="007C60AF">
                    <w:rPr>
                      <w:rFonts w:eastAsia="Arial"/>
                      <w:b/>
                      <w:color w:val="4472C4"/>
                    </w:rPr>
                    <w:t>0]</w:t>
                  </w:r>
                </w:p>
              </w:tc>
              <w:tc>
                <w:tcPr>
                  <w:tcW w:w="1784" w:type="dxa"/>
                </w:tcPr>
                <w:p w14:paraId="00000B65" w14:textId="7C05A2EC"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0]</w:t>
                  </w:r>
                </w:p>
              </w:tc>
              <w:tc>
                <w:tcPr>
                  <w:tcW w:w="1784" w:type="dxa"/>
                </w:tcPr>
                <w:p w14:paraId="00000B66" w14:textId="6DF612AC"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785" w:type="dxa"/>
                </w:tcPr>
                <w:p w14:paraId="00000B67" w14:textId="2F3849A7"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r>
            <w:tr w:rsidR="00416D85" w:rsidRPr="007C60AF" w14:paraId="3B23638E" w14:textId="77777777">
              <w:tc>
                <w:tcPr>
                  <w:tcW w:w="1784" w:type="dxa"/>
                  <w:shd w:val="clear" w:color="auto" w:fill="D0CECE"/>
                </w:tcPr>
                <w:p w14:paraId="00000B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w:t>
                  </w:r>
                </w:p>
              </w:tc>
              <w:tc>
                <w:tcPr>
                  <w:tcW w:w="1784" w:type="dxa"/>
                </w:tcPr>
                <w:p w14:paraId="00000B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w:t>
                  </w:r>
                </w:p>
              </w:tc>
              <w:tc>
                <w:tcPr>
                  <w:tcW w:w="1785" w:type="dxa"/>
                </w:tcPr>
                <w:p w14:paraId="00000B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w:t>
                  </w:r>
                </w:p>
              </w:tc>
            </w:tr>
          </w:tbl>
          <w:p w14:paraId="00000B6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6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31: Return on investment (%) for Q2 2023 – Q2 2024</w:t>
            </w:r>
          </w:p>
          <w:p w14:paraId="00000B6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e"/>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4"/>
              <w:gridCol w:w="1552"/>
              <w:gridCol w:w="1552"/>
              <w:gridCol w:w="1551"/>
              <w:gridCol w:w="1551"/>
              <w:gridCol w:w="1551"/>
            </w:tblGrid>
            <w:tr w:rsidR="00416D85" w:rsidRPr="007C60AF" w14:paraId="57AF1F3F" w14:textId="77777777">
              <w:tc>
                <w:tcPr>
                  <w:tcW w:w="1164" w:type="dxa"/>
                  <w:shd w:val="clear" w:color="auto" w:fill="D0CECE"/>
                </w:tcPr>
                <w:p w14:paraId="00000B7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2" w:type="dxa"/>
                  <w:shd w:val="clear" w:color="auto" w:fill="D0CECE"/>
                </w:tcPr>
                <w:p w14:paraId="00000B7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2" w:type="dxa"/>
                  <w:shd w:val="clear" w:color="auto" w:fill="D0CECE"/>
                </w:tcPr>
                <w:p w14:paraId="00000B7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1" w:type="dxa"/>
                  <w:shd w:val="clear" w:color="auto" w:fill="D0CECE"/>
                </w:tcPr>
                <w:p w14:paraId="00000B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1" w:type="dxa"/>
                  <w:shd w:val="clear" w:color="auto" w:fill="D0CECE"/>
                </w:tcPr>
                <w:p w14:paraId="00000B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1" w:type="dxa"/>
                  <w:shd w:val="clear" w:color="auto" w:fill="D0CECE"/>
                </w:tcPr>
                <w:p w14:paraId="00000B7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44E8A80" w14:textId="77777777">
              <w:tc>
                <w:tcPr>
                  <w:tcW w:w="1164" w:type="dxa"/>
                  <w:shd w:val="clear" w:color="auto" w:fill="D0CECE"/>
                </w:tcPr>
                <w:p w14:paraId="00000B7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2" w:type="dxa"/>
                </w:tcPr>
                <w:p w14:paraId="00000B77" w14:textId="1D6E6296"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2" w:type="dxa"/>
                </w:tcPr>
                <w:p w14:paraId="00000B78" w14:textId="2EC8E2F2"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551" w:type="dxa"/>
                </w:tcPr>
                <w:p w14:paraId="00000B79" w14:textId="6BB71835"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1" w:type="dxa"/>
                </w:tcPr>
                <w:p w14:paraId="00000B7A" w14:textId="6A288F3B"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1" w:type="dxa"/>
                </w:tcPr>
                <w:p w14:paraId="00000B7B" w14:textId="27E614E1"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r>
            <w:tr w:rsidR="00416D85" w:rsidRPr="007C60AF" w14:paraId="04244FCF" w14:textId="77777777">
              <w:tc>
                <w:tcPr>
                  <w:tcW w:w="1164" w:type="dxa"/>
                  <w:shd w:val="clear" w:color="auto" w:fill="D0CECE"/>
                </w:tcPr>
                <w:p w14:paraId="00000B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2" w:type="dxa"/>
                </w:tcPr>
                <w:p w14:paraId="00000B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2" w:type="dxa"/>
                </w:tcPr>
                <w:p w14:paraId="00000B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(398)</w:t>
                  </w:r>
                </w:p>
              </w:tc>
              <w:tc>
                <w:tcPr>
                  <w:tcW w:w="1551" w:type="dxa"/>
                </w:tcPr>
                <w:p w14:paraId="00000B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(164)</w:t>
                  </w:r>
                </w:p>
              </w:tc>
              <w:tc>
                <w:tcPr>
                  <w:tcW w:w="1551" w:type="dxa"/>
                </w:tcPr>
                <w:p w14:paraId="00000B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(118)</w:t>
                  </w:r>
                </w:p>
              </w:tc>
              <w:tc>
                <w:tcPr>
                  <w:tcW w:w="1551" w:type="dxa"/>
                </w:tcPr>
                <w:p w14:paraId="00000B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r>
          </w:tbl>
          <w:p w14:paraId="00000B82" w14:textId="77777777" w:rsidR="00416D85" w:rsidRPr="007C60AF" w:rsidRDefault="00416D85">
            <w:pPr>
              <w:spacing w:after="0"/>
              <w:jc w:val="both"/>
              <w:rPr>
                <w:b/>
                <w:color w:val="4472C4"/>
              </w:rPr>
            </w:pPr>
          </w:p>
          <w:p w14:paraId="00000B83" w14:textId="77777777" w:rsidR="00416D85" w:rsidRPr="007C60AF" w:rsidRDefault="00130320">
            <w:pPr>
              <w:spacing w:after="0"/>
              <w:jc w:val="both"/>
              <w:rPr>
                <w:b/>
                <w:color w:val="4472C4"/>
              </w:rPr>
            </w:pPr>
            <w:r w:rsidRPr="007C60AF">
              <w:rPr>
                <w:b/>
                <w:color w:val="4472C4"/>
              </w:rPr>
              <w:t>Employment and productivity</w:t>
            </w:r>
          </w:p>
          <w:p w14:paraId="00000B84" w14:textId="77777777" w:rsidR="00416D85" w:rsidRPr="007C60AF" w:rsidRDefault="00416D85">
            <w:pPr>
              <w:spacing w:after="0"/>
              <w:jc w:val="both"/>
              <w:rPr>
                <w:b/>
                <w:color w:val="4472C4"/>
              </w:rPr>
            </w:pPr>
          </w:p>
          <w:p w14:paraId="00000B85" w14:textId="7F9BD872"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r w:rsidRPr="007C60AF">
              <w:rPr>
                <w:rFonts w:eastAsia="Arial"/>
                <w:color w:val="4472C4"/>
              </w:rPr>
              <w:t xml:space="preserve">Despite the negative trends in performance, the UK industry did not reduce employment over the injury period. The number of employees employed by the UK industry has remained relatively stable between the start of the injury period and the POI, increasing by only a marginal amount (see table 32 below). However, the number of employees employed by the UK industry had to be reduced in Q1 2024 and Q2 2024. Table 33 below shows that the number of employees decreased by </w:t>
            </w:r>
            <w:r w:rsidR="004B3E2E" w:rsidRPr="007C60AF">
              <w:rPr>
                <w:rFonts w:eastAsia="Arial"/>
                <w:color w:val="4472C4"/>
              </w:rPr>
              <w:t>[</w:t>
            </w:r>
            <w:r w:rsidR="005A2BAD" w:rsidRPr="007C60AF">
              <w:rPr>
                <w:rFonts w:eastAsia="Arial"/>
                <w:b/>
                <w:color w:val="4472C4"/>
              </w:rPr>
              <w:t>0-25</w:t>
            </w:r>
            <w:r w:rsidRPr="007C60AF">
              <w:rPr>
                <w:rFonts w:eastAsia="Arial"/>
                <w:color w:val="4472C4"/>
              </w:rPr>
              <w:t>%</w:t>
            </w:r>
            <w:r w:rsidR="004B3E2E" w:rsidRPr="007C60AF">
              <w:rPr>
                <w:rFonts w:eastAsia="Arial"/>
                <w:color w:val="4472C4"/>
              </w:rPr>
              <w:t>]</w:t>
            </w:r>
            <w:r w:rsidRPr="007C60AF">
              <w:rPr>
                <w:rFonts w:eastAsia="Arial"/>
                <w:color w:val="4472C4"/>
              </w:rPr>
              <w:t xml:space="preserve"> from </w:t>
            </w:r>
            <w:r w:rsidR="004B3E2E" w:rsidRPr="007C60AF">
              <w:rPr>
                <w:rFonts w:eastAsia="Arial"/>
                <w:color w:val="4472C4"/>
              </w:rPr>
              <w:t>[</w:t>
            </w:r>
            <w:r w:rsidR="004B3E2E" w:rsidRPr="007C60AF">
              <w:rPr>
                <w:rFonts w:eastAsia="Arial"/>
                <w:b/>
                <w:color w:val="4472C4"/>
              </w:rPr>
              <w:t xml:space="preserve">250 </w:t>
            </w:r>
            <w:r w:rsidRPr="007C60AF">
              <w:rPr>
                <w:rFonts w:eastAsia="Arial"/>
                <w:b/>
                <w:color w:val="4472C4"/>
              </w:rPr>
              <w:t xml:space="preserve">– </w:t>
            </w:r>
            <w:r w:rsidR="004B3E2E" w:rsidRPr="007C60AF">
              <w:rPr>
                <w:rFonts w:eastAsia="Arial"/>
                <w:b/>
                <w:color w:val="4472C4"/>
              </w:rPr>
              <w:t xml:space="preserve">500] </w:t>
            </w:r>
            <w:r w:rsidRPr="007C60AF">
              <w:rPr>
                <w:rFonts w:eastAsia="Arial"/>
                <w:color w:val="4472C4"/>
              </w:rPr>
              <w:t xml:space="preserve">employees in Q2 2023 to </w:t>
            </w:r>
            <w:r w:rsidR="004B3E2E" w:rsidRPr="007C60AF">
              <w:rPr>
                <w:rFonts w:eastAsia="Arial"/>
                <w:color w:val="4472C4"/>
              </w:rPr>
              <w:t>[</w:t>
            </w:r>
            <w:r w:rsidR="004B3E2E" w:rsidRPr="007C60AF">
              <w:rPr>
                <w:rFonts w:eastAsia="Arial"/>
                <w:b/>
                <w:color w:val="4472C4"/>
              </w:rPr>
              <w:t>250 – 500</w:t>
            </w:r>
            <w:r w:rsidR="004B3E2E" w:rsidRPr="007C60AF">
              <w:rPr>
                <w:rFonts w:eastAsia="Arial"/>
                <w:color w:val="4472C4"/>
              </w:rPr>
              <w:t xml:space="preserve">] </w:t>
            </w:r>
            <w:r w:rsidRPr="007C60AF">
              <w:rPr>
                <w:rFonts w:eastAsia="Arial"/>
                <w:color w:val="4472C4"/>
              </w:rPr>
              <w:t>employees in Q2 2024.</w:t>
            </w:r>
          </w:p>
          <w:p w14:paraId="00000B8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B87" w14:textId="14DAC1DD"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color w:val="4472C4"/>
              </w:rPr>
              <w:t xml:space="preserve">The productivity per employee of the UK industry remained stable during the injury period and only dropped in the POI by </w:t>
            </w:r>
            <w:r w:rsidR="004B3E2E" w:rsidRPr="007C60AF">
              <w:rPr>
                <w:rFonts w:eastAsia="Arial"/>
                <w:b/>
                <w:color w:val="4472C4"/>
              </w:rPr>
              <w:t>[</w:t>
            </w:r>
            <w:r w:rsidR="005A2BAD" w:rsidRPr="007C60AF">
              <w:rPr>
                <w:rFonts w:eastAsia="Arial"/>
                <w:b/>
                <w:color w:val="4472C4"/>
              </w:rPr>
              <w:t>0-25</w:t>
            </w:r>
            <w:r w:rsidRPr="007C60AF">
              <w:rPr>
                <w:rFonts w:eastAsia="Arial"/>
                <w:color w:val="4472C4"/>
              </w:rPr>
              <w:t>%</w:t>
            </w:r>
            <w:r w:rsidR="004B3E2E" w:rsidRPr="007C60AF">
              <w:rPr>
                <w:rFonts w:eastAsia="Arial"/>
                <w:color w:val="4472C4"/>
              </w:rPr>
              <w:t>]</w:t>
            </w:r>
            <w:r w:rsidRPr="007C60AF">
              <w:rPr>
                <w:rFonts w:eastAsia="Arial"/>
                <w:color w:val="4472C4"/>
              </w:rPr>
              <w:t xml:space="preserve"> due to the drop in production (see table 34 below). Productivity was up in Q4 2023 due to a temporary increase in production and in Q1 2024 due to a decrease in employees (see table 35 below). Post injury period, both production and employment went down, causing productivity levels to drop again. </w:t>
            </w:r>
          </w:p>
          <w:p w14:paraId="00000B8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B8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32: Employment for the injury period and the POI (FTEs)</w:t>
            </w:r>
          </w:p>
          <w:p w14:paraId="00000B8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00165CB2" w14:textId="77777777">
              <w:tc>
                <w:tcPr>
                  <w:tcW w:w="1784" w:type="dxa"/>
                  <w:shd w:val="clear" w:color="auto" w:fill="D0CECE"/>
                </w:tcPr>
                <w:p w14:paraId="00000B8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8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8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8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8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74EEB762" w14:textId="77777777">
              <w:tc>
                <w:tcPr>
                  <w:tcW w:w="1784" w:type="dxa"/>
                  <w:shd w:val="clear" w:color="auto" w:fill="D0CECE"/>
                </w:tcPr>
                <w:p w14:paraId="00000B9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91" w14:textId="37015B40"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07603" w:rsidRPr="007C60AF">
                    <w:rPr>
                      <w:rFonts w:eastAsia="Arial"/>
                      <w:b/>
                      <w:color w:val="4472C4"/>
                    </w:rPr>
                    <w:t>250 – 500</w:t>
                  </w:r>
                  <w:r w:rsidRPr="007C60AF">
                    <w:rPr>
                      <w:rFonts w:eastAsia="Arial"/>
                      <w:b/>
                      <w:color w:val="4472C4"/>
                    </w:rPr>
                    <w:t>]</w:t>
                  </w:r>
                </w:p>
              </w:tc>
              <w:tc>
                <w:tcPr>
                  <w:tcW w:w="1784" w:type="dxa"/>
                </w:tcPr>
                <w:p w14:paraId="00000B92" w14:textId="595A0543"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784" w:type="dxa"/>
                </w:tcPr>
                <w:p w14:paraId="00000B93" w14:textId="3923ECB8"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785" w:type="dxa"/>
                </w:tcPr>
                <w:p w14:paraId="00000B94" w14:textId="5825DAF2"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[250 – 500]</w:t>
                  </w:r>
                </w:p>
              </w:tc>
            </w:tr>
            <w:tr w:rsidR="00416D85" w:rsidRPr="007C60AF" w14:paraId="04FE1694" w14:textId="77777777">
              <w:tc>
                <w:tcPr>
                  <w:tcW w:w="1784" w:type="dxa"/>
                  <w:shd w:val="clear" w:color="auto" w:fill="D0CECE"/>
                </w:tcPr>
                <w:p w14:paraId="00000B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101</w:t>
                  </w:r>
                </w:p>
              </w:tc>
              <w:tc>
                <w:tcPr>
                  <w:tcW w:w="1784" w:type="dxa"/>
                </w:tcPr>
                <w:p w14:paraId="00000B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102</w:t>
                  </w:r>
                </w:p>
              </w:tc>
              <w:tc>
                <w:tcPr>
                  <w:tcW w:w="1785" w:type="dxa"/>
                </w:tcPr>
                <w:p w14:paraId="00000B9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103</w:t>
                  </w:r>
                </w:p>
              </w:tc>
            </w:tr>
          </w:tbl>
          <w:p w14:paraId="00000B9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9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 xml:space="preserve">Table 33: Employment for Q2 2023 – Q2 2024 (FTEs) </w:t>
            </w:r>
          </w:p>
          <w:p w14:paraId="00000B9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f0"/>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22B4E324" w14:textId="77777777">
              <w:tc>
                <w:tcPr>
                  <w:tcW w:w="1163" w:type="dxa"/>
                  <w:shd w:val="clear" w:color="auto" w:fill="D0CECE"/>
                </w:tcPr>
                <w:p w14:paraId="00000B9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B9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B9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BA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BA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BA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107603" w:rsidRPr="007C60AF" w14:paraId="107A9879" w14:textId="77777777">
              <w:tc>
                <w:tcPr>
                  <w:tcW w:w="1163" w:type="dxa"/>
                  <w:shd w:val="clear" w:color="auto" w:fill="D0CECE"/>
                </w:tcPr>
                <w:p w14:paraId="00000BA3" w14:textId="77777777" w:rsidR="00107603" w:rsidRPr="007C60AF" w:rsidRDefault="00107603"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BA4" w14:textId="3A6C3E08"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1" w:type="dxa"/>
                </w:tcPr>
                <w:p w14:paraId="00000BA5" w14:textId="1F6880CC"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A6" w14:textId="1849E464"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A7" w14:textId="05D3074E"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A9" w14:textId="27CE0DF2"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color w:val="4472C4"/>
                    </w:rPr>
                  </w:pPr>
                  <w:r w:rsidRPr="007C60AF">
                    <w:rPr>
                      <w:rFonts w:eastAsia="Arial"/>
                      <w:b/>
                      <w:color w:val="4472C4"/>
                    </w:rPr>
                    <w:t>[250 – 500]</w:t>
                  </w:r>
                </w:p>
              </w:tc>
            </w:tr>
            <w:tr w:rsidR="00416D85" w:rsidRPr="007C60AF" w14:paraId="4A381CDE" w14:textId="77777777">
              <w:tc>
                <w:tcPr>
                  <w:tcW w:w="1163" w:type="dxa"/>
                  <w:shd w:val="clear" w:color="auto" w:fill="D0CECE"/>
                </w:tcPr>
                <w:p w14:paraId="00000B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B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BAC" w14:textId="33BA2A54"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103</w:t>
                  </w:r>
                </w:p>
              </w:tc>
              <w:tc>
                <w:tcPr>
                  <w:tcW w:w="1552" w:type="dxa"/>
                </w:tcPr>
                <w:p w14:paraId="00000BAD" w14:textId="07F6AE2A"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103</w:t>
                  </w:r>
                </w:p>
              </w:tc>
              <w:tc>
                <w:tcPr>
                  <w:tcW w:w="1552" w:type="dxa"/>
                </w:tcPr>
                <w:p w14:paraId="00000BAE" w14:textId="1D8425FA"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552" w:type="dxa"/>
                </w:tcPr>
                <w:p w14:paraId="00000BAF" w14:textId="71B19B71"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r>
          </w:tbl>
          <w:p w14:paraId="00000BB0" w14:textId="77777777" w:rsidR="00416D85" w:rsidRPr="007C60AF" w:rsidRDefault="00416D85">
            <w:pPr>
              <w:spacing w:after="0"/>
              <w:jc w:val="both"/>
              <w:rPr>
                <w:color w:val="4472C4"/>
              </w:rPr>
            </w:pPr>
          </w:p>
          <w:p w14:paraId="00000BB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34: Productivity for the injury period and the POI (MT/employee)</w:t>
            </w:r>
          </w:p>
          <w:p w14:paraId="00000BB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1"/>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65B8525A" w14:textId="77777777">
              <w:tc>
                <w:tcPr>
                  <w:tcW w:w="1784" w:type="dxa"/>
                  <w:shd w:val="clear" w:color="auto" w:fill="D0CECE"/>
                </w:tcPr>
                <w:p w14:paraId="00000BB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B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B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B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B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6B3C4180" w14:textId="77777777">
              <w:tc>
                <w:tcPr>
                  <w:tcW w:w="1784" w:type="dxa"/>
                  <w:shd w:val="clear" w:color="auto" w:fill="D0CECE"/>
                </w:tcPr>
                <w:p w14:paraId="00000BB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B9" w14:textId="46A931EE"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B4ABA" w:rsidRPr="007C60AF">
                    <w:rPr>
                      <w:rFonts w:eastAsia="Arial"/>
                      <w:b/>
                      <w:color w:val="4472C4"/>
                    </w:rPr>
                    <w:t xml:space="preserve">1,000 – </w:t>
                  </w:r>
                  <w:r w:rsidR="00205F99" w:rsidRPr="007C60AF">
                    <w:rPr>
                      <w:rFonts w:eastAsia="Arial"/>
                      <w:b/>
                      <w:color w:val="4472C4"/>
                    </w:rPr>
                    <w:t>1</w:t>
                  </w:r>
                  <w:r w:rsidR="00DB4ABA" w:rsidRPr="007C60AF">
                    <w:rPr>
                      <w:rFonts w:eastAsia="Arial"/>
                      <w:b/>
                      <w:color w:val="4472C4"/>
                    </w:rPr>
                    <w:t>,</w:t>
                  </w:r>
                  <w:r w:rsidR="00205F99" w:rsidRPr="007C60AF">
                    <w:rPr>
                      <w:rFonts w:eastAsia="Arial"/>
                      <w:b/>
                      <w:color w:val="4472C4"/>
                    </w:rPr>
                    <w:t>5</w:t>
                  </w:r>
                  <w:r w:rsidR="00DB4ABA" w:rsidRPr="007C60AF">
                    <w:rPr>
                      <w:rFonts w:eastAsia="Arial"/>
                      <w:b/>
                      <w:color w:val="4472C4"/>
                    </w:rPr>
                    <w:t>00</w:t>
                  </w:r>
                  <w:r w:rsidRPr="007C60AF">
                    <w:rPr>
                      <w:rFonts w:eastAsia="Arial"/>
                      <w:b/>
                      <w:color w:val="4472C4"/>
                    </w:rPr>
                    <w:t>]</w:t>
                  </w:r>
                </w:p>
              </w:tc>
              <w:tc>
                <w:tcPr>
                  <w:tcW w:w="1784" w:type="dxa"/>
                </w:tcPr>
                <w:p w14:paraId="00000BBA" w14:textId="3E333ADC"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[1,000 – </w:t>
                  </w:r>
                  <w:r w:rsidR="00205F99" w:rsidRPr="007C60AF">
                    <w:rPr>
                      <w:rFonts w:eastAsia="Arial"/>
                      <w:b/>
                      <w:color w:val="4472C4"/>
                    </w:rPr>
                    <w:t>1</w:t>
                  </w:r>
                  <w:r w:rsidRPr="007C60AF">
                    <w:rPr>
                      <w:rFonts w:eastAsia="Arial"/>
                      <w:b/>
                      <w:color w:val="4472C4"/>
                    </w:rPr>
                    <w:t>,</w:t>
                  </w:r>
                  <w:r w:rsidR="00205F99" w:rsidRPr="007C60AF">
                    <w:rPr>
                      <w:rFonts w:eastAsia="Arial"/>
                      <w:b/>
                      <w:color w:val="4472C4"/>
                    </w:rPr>
                    <w:t>5</w:t>
                  </w:r>
                  <w:r w:rsidRPr="007C60AF">
                    <w:rPr>
                      <w:rFonts w:eastAsia="Arial"/>
                      <w:b/>
                      <w:color w:val="4472C4"/>
                    </w:rPr>
                    <w:t>00]</w:t>
                  </w:r>
                </w:p>
              </w:tc>
              <w:tc>
                <w:tcPr>
                  <w:tcW w:w="1784" w:type="dxa"/>
                </w:tcPr>
                <w:p w14:paraId="00000BBB" w14:textId="372732C5"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[1,000 – </w:t>
                  </w:r>
                  <w:r w:rsidR="00205F99" w:rsidRPr="007C60AF">
                    <w:rPr>
                      <w:rFonts w:eastAsia="Arial"/>
                      <w:b/>
                      <w:color w:val="4472C4"/>
                    </w:rPr>
                    <w:t>1</w:t>
                  </w:r>
                  <w:r w:rsidRPr="007C60AF">
                    <w:rPr>
                      <w:rFonts w:eastAsia="Arial"/>
                      <w:b/>
                      <w:color w:val="4472C4"/>
                    </w:rPr>
                    <w:t>,</w:t>
                  </w:r>
                  <w:r w:rsidR="00205F99" w:rsidRPr="007C60AF">
                    <w:rPr>
                      <w:rFonts w:eastAsia="Arial"/>
                      <w:b/>
                      <w:color w:val="4472C4"/>
                    </w:rPr>
                    <w:t>5</w:t>
                  </w:r>
                  <w:r w:rsidRPr="007C60AF">
                    <w:rPr>
                      <w:rFonts w:eastAsia="Arial"/>
                      <w:b/>
                      <w:color w:val="4472C4"/>
                    </w:rPr>
                    <w:t>00]</w:t>
                  </w:r>
                </w:p>
              </w:tc>
              <w:tc>
                <w:tcPr>
                  <w:tcW w:w="1785" w:type="dxa"/>
                </w:tcPr>
                <w:p w14:paraId="00000BBC" w14:textId="579349E9"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[1,000 – </w:t>
                  </w:r>
                  <w:r w:rsidR="00205F99" w:rsidRPr="007C60AF">
                    <w:rPr>
                      <w:rFonts w:eastAsia="Arial"/>
                      <w:b/>
                      <w:color w:val="4472C4"/>
                    </w:rPr>
                    <w:t>1</w:t>
                  </w:r>
                  <w:r w:rsidRPr="007C60AF">
                    <w:rPr>
                      <w:rFonts w:eastAsia="Arial"/>
                      <w:b/>
                      <w:color w:val="4472C4"/>
                    </w:rPr>
                    <w:t>,</w:t>
                  </w:r>
                  <w:r w:rsidR="00205F99" w:rsidRPr="007C60AF">
                    <w:rPr>
                      <w:rFonts w:eastAsia="Arial"/>
                      <w:b/>
                      <w:color w:val="4472C4"/>
                    </w:rPr>
                    <w:t>5</w:t>
                  </w:r>
                  <w:r w:rsidRPr="007C60AF">
                    <w:rPr>
                      <w:rFonts w:eastAsia="Arial"/>
                      <w:b/>
                      <w:color w:val="4472C4"/>
                    </w:rPr>
                    <w:t>00]</w:t>
                  </w:r>
                </w:p>
              </w:tc>
            </w:tr>
            <w:tr w:rsidR="00416D85" w:rsidRPr="007C60AF" w14:paraId="01A9C08B" w14:textId="77777777">
              <w:tc>
                <w:tcPr>
                  <w:tcW w:w="1784" w:type="dxa"/>
                  <w:shd w:val="clear" w:color="auto" w:fill="D0CECE"/>
                </w:tcPr>
                <w:p w14:paraId="00000B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784" w:type="dxa"/>
                </w:tcPr>
                <w:p w14:paraId="00000B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97</w:t>
                  </w:r>
                </w:p>
              </w:tc>
              <w:tc>
                <w:tcPr>
                  <w:tcW w:w="1785" w:type="dxa"/>
                </w:tcPr>
                <w:p w14:paraId="00000B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88</w:t>
                  </w:r>
                </w:p>
              </w:tc>
            </w:tr>
          </w:tbl>
          <w:p w14:paraId="00000BC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C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35: Productivity for Q2 2023 – Q2 2024 (MT/employee)</w:t>
            </w:r>
          </w:p>
          <w:p w14:paraId="00000BC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f2"/>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684C3D7B" w14:textId="77777777">
              <w:tc>
                <w:tcPr>
                  <w:tcW w:w="1163" w:type="dxa"/>
                  <w:shd w:val="clear" w:color="auto" w:fill="D0CECE"/>
                </w:tcPr>
                <w:p w14:paraId="00000BC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B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BC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B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BC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BC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4FDF7F3C" w14:textId="77777777">
              <w:tc>
                <w:tcPr>
                  <w:tcW w:w="1163" w:type="dxa"/>
                  <w:shd w:val="clear" w:color="auto" w:fill="D0CECE"/>
                </w:tcPr>
                <w:p w14:paraId="00000B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BCC" w14:textId="5D967E76"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B4ABA" w:rsidRPr="007C60AF">
                    <w:rPr>
                      <w:rFonts w:eastAsia="Arial"/>
                      <w:b/>
                      <w:color w:val="4472C4"/>
                    </w:rPr>
                    <w:t xml:space="preserve">250 </w:t>
                  </w:r>
                  <w:r w:rsidRPr="007C60AF">
                    <w:rPr>
                      <w:rFonts w:eastAsia="Arial"/>
                      <w:b/>
                      <w:color w:val="4472C4"/>
                    </w:rPr>
                    <w:t>–</w:t>
                  </w:r>
                  <w:r w:rsidR="00DB4ABA" w:rsidRPr="007C60AF">
                    <w:rPr>
                      <w:rFonts w:eastAsia="Arial"/>
                      <w:b/>
                      <w:color w:val="4472C4"/>
                    </w:rPr>
                    <w:t xml:space="preserve"> 500</w:t>
                  </w:r>
                  <w:r w:rsidRPr="007C60AF">
                    <w:rPr>
                      <w:rFonts w:eastAsia="Arial"/>
                      <w:b/>
                      <w:color w:val="4472C4"/>
                    </w:rPr>
                    <w:t>]</w:t>
                  </w:r>
                </w:p>
              </w:tc>
              <w:tc>
                <w:tcPr>
                  <w:tcW w:w="1551" w:type="dxa"/>
                </w:tcPr>
                <w:p w14:paraId="00000BCD" w14:textId="17CCAD67"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CE" w14:textId="76F4DE4D"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CF" w14:textId="602E5610"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D1" w14:textId="0132DC42"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color w:val="4472C4"/>
                    </w:rPr>
                  </w:pPr>
                  <w:r w:rsidRPr="007C60AF">
                    <w:rPr>
                      <w:rFonts w:eastAsia="Arial"/>
                      <w:b/>
                      <w:color w:val="4472C4"/>
                    </w:rPr>
                    <w:t>[250 – 500]</w:t>
                  </w:r>
                </w:p>
              </w:tc>
            </w:tr>
            <w:tr w:rsidR="00416D85" w:rsidRPr="007C60AF" w14:paraId="4C210726" w14:textId="77777777">
              <w:tc>
                <w:tcPr>
                  <w:tcW w:w="1163" w:type="dxa"/>
                  <w:shd w:val="clear" w:color="auto" w:fill="D0CECE"/>
                </w:tcPr>
                <w:p w14:paraId="00000BD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BD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B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98</w:t>
                  </w:r>
                </w:p>
              </w:tc>
              <w:tc>
                <w:tcPr>
                  <w:tcW w:w="1552" w:type="dxa"/>
                </w:tcPr>
                <w:p w14:paraId="00000B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c>
                <w:tcPr>
                  <w:tcW w:w="1552" w:type="dxa"/>
                </w:tcPr>
                <w:p w14:paraId="00000B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106</w:t>
                  </w:r>
                </w:p>
              </w:tc>
              <w:tc>
                <w:tcPr>
                  <w:tcW w:w="1552" w:type="dxa"/>
                </w:tcPr>
                <w:p w14:paraId="00000BD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r>
          </w:tbl>
          <w:p w14:paraId="00000BD8" w14:textId="77777777" w:rsidR="00416D85" w:rsidRPr="007C60AF" w:rsidRDefault="00416D85">
            <w:pPr>
              <w:spacing w:after="0"/>
              <w:jc w:val="both"/>
              <w:rPr>
                <w:color w:val="4472C4"/>
              </w:rPr>
            </w:pPr>
          </w:p>
          <w:p w14:paraId="00000BD9" w14:textId="77777777" w:rsidR="00416D85" w:rsidRPr="007C60AF" w:rsidRDefault="00130320">
            <w:pPr>
              <w:numPr>
                <w:ilvl w:val="0"/>
                <w:numId w:val="64"/>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Factors affecting domestic prices of the goods</w:t>
            </w:r>
          </w:p>
          <w:p w14:paraId="00000BD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b/>
                <w:color w:val="4472C4"/>
              </w:rPr>
            </w:pPr>
          </w:p>
          <w:p w14:paraId="00000BDB" w14:textId="0C06DA02"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main factor affecting the domestic prices of the like goods is the surge of imports of US HVO into the UK and the subsequent radical change to the price spread between HVO and FAME. Please refer to Appendix E.2, which shows that when comparing the price of US HVO to the price of UCOME, the price difference continues </w:t>
            </w:r>
            <w:r w:rsidRPr="007C60AF">
              <w:rPr>
                <w:rFonts w:eastAsia="Arial"/>
                <w:color w:val="4472C4"/>
              </w:rPr>
              <w:lastRenderedPageBreak/>
              <w:t xml:space="preserve">to lower </w:t>
            </w:r>
            <w:r w:rsidR="00BB6C1A" w:rsidRPr="007C60AF">
              <w:rPr>
                <w:color w:val="4472C4"/>
              </w:rPr>
              <w:t>and in Q2 2024, the price of US HVO sold in the UK even fell below the price of UCOME</w:t>
            </w:r>
            <w:r w:rsidRPr="007C60AF">
              <w:rPr>
                <w:color w:val="4472C4"/>
              </w:rPr>
              <w:t>.</w:t>
            </w:r>
            <w:r w:rsidRPr="007C60AF">
              <w:rPr>
                <w:rFonts w:eastAsia="Arial"/>
                <w:color w:val="4472C4"/>
              </w:rPr>
              <w:t xml:space="preserve"> The only way that US producers have been able to decrease their prices so significantly in the UK is due to the BTC and other incentives that they receive; </w:t>
            </w:r>
            <w:proofErr w:type="gramStart"/>
            <w:r w:rsidRPr="007C60AF">
              <w:rPr>
                <w:rFonts w:eastAsia="Arial"/>
                <w:color w:val="4472C4"/>
              </w:rPr>
              <w:t>otherwise</w:t>
            </w:r>
            <w:proofErr w:type="gramEnd"/>
            <w:r w:rsidRPr="007C60AF">
              <w:rPr>
                <w:rFonts w:eastAsia="Arial"/>
                <w:color w:val="4472C4"/>
              </w:rPr>
              <w:t xml:space="preserve"> they would be receiving negative margins. This subsequently placed downward pressure on the value and volume of domestic sales to unrelated companies in the POI (see tables 9 and 11 above), and an inability for UK producers to pass on the increase in their costs of production to their customers. </w:t>
            </w:r>
          </w:p>
          <w:p w14:paraId="00000BD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BDD" w14:textId="77777777" w:rsidR="00416D85" w:rsidRPr="007C60AF" w:rsidRDefault="00130320">
            <w:pPr>
              <w:numPr>
                <w:ilvl w:val="0"/>
                <w:numId w:val="6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u w:val="single"/>
              </w:rPr>
            </w:pPr>
            <w:r w:rsidRPr="007C60AF">
              <w:rPr>
                <w:rFonts w:eastAsia="Arial"/>
                <w:color w:val="4472C4"/>
                <w:u w:val="single"/>
              </w:rPr>
              <w:t>The magnitude of the margin of dumping and the amount of subsidy</w:t>
            </w:r>
          </w:p>
          <w:p w14:paraId="00000BDE" w14:textId="77777777" w:rsidR="00416D85" w:rsidRPr="007C60AF" w:rsidRDefault="00130320">
            <w:pPr>
              <w:jc w:val="both"/>
              <w:rPr>
                <w:color w:val="4472C4"/>
              </w:rPr>
            </w:pPr>
            <w:r w:rsidRPr="007C60AF">
              <w:rPr>
                <w:color w:val="4472C4"/>
              </w:rPr>
              <w:t xml:space="preserve">As evidenced in sections above, for the POI the level of dumping is </w:t>
            </w:r>
            <w:r w:rsidRPr="007C60AF">
              <w:rPr>
                <w:b/>
                <w:color w:val="4472C4"/>
              </w:rPr>
              <w:t>[15-25]</w:t>
            </w:r>
            <w:r w:rsidRPr="007C60AF">
              <w:rPr>
                <w:color w:val="4472C4"/>
              </w:rPr>
              <w:t xml:space="preserve">% and the level of subsidisation is at least </w:t>
            </w:r>
            <w:r w:rsidRPr="007C60AF">
              <w:rPr>
                <w:b/>
                <w:color w:val="4472C4"/>
              </w:rPr>
              <w:t>[15-40]</w:t>
            </w:r>
            <w:r w:rsidRPr="007C60AF">
              <w:rPr>
                <w:color w:val="4472C4"/>
              </w:rPr>
              <w:t xml:space="preserve">% (according to the more liberal methodology) and </w:t>
            </w:r>
            <w:r w:rsidRPr="007C60AF">
              <w:rPr>
                <w:b/>
                <w:color w:val="4472C4"/>
              </w:rPr>
              <w:t>[15-35]</w:t>
            </w:r>
            <w:r w:rsidRPr="007C60AF">
              <w:rPr>
                <w:color w:val="4472C4"/>
              </w:rPr>
              <w:t xml:space="preserve">% (according to the more conservative methodology), which amounts to the combined level of approx. </w:t>
            </w:r>
            <w:r w:rsidRPr="007C60AF">
              <w:rPr>
                <w:b/>
                <w:color w:val="4472C4"/>
              </w:rPr>
              <w:t>[30-55]</w:t>
            </w:r>
            <w:r w:rsidRPr="007C60AF">
              <w:rPr>
                <w:color w:val="4472C4"/>
              </w:rPr>
              <w:t xml:space="preserve">% (following the more liberal methodology) and approx. </w:t>
            </w:r>
            <w:r w:rsidRPr="007C60AF">
              <w:rPr>
                <w:b/>
                <w:color w:val="4472C4"/>
              </w:rPr>
              <w:t>[30-50]</w:t>
            </w:r>
            <w:r w:rsidRPr="007C60AF">
              <w:rPr>
                <w:color w:val="4472C4"/>
              </w:rPr>
              <w:t>% (following the more conservative methodology). It is therefore evident that imports of US HVO to the UK have caused significant injury to the domestic UK industry.</w:t>
            </w:r>
          </w:p>
        </w:tc>
      </w:tr>
    </w:tbl>
    <w:p w14:paraId="00000BDF"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BE0"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t>Is your company suffering injury which you believe to have been caused by the imported goods? If so, please describe the injury. You may want to include the prices, volumes or profits associated with your production and sale of the goods you manufacture or describe other aspects of your business. Please specify and substantiate your claims with evidence. Please estimate the date when the injury began to affect your business. Explain how it has developed since this date.</w:t>
      </w:r>
    </w:p>
    <w:tbl>
      <w:tblPr>
        <w:tblStyle w:val="affffffff3"/>
        <w:tblW w:w="9016" w:type="dxa"/>
        <w:tblLayout w:type="fixed"/>
        <w:tblLook w:val="0400" w:firstRow="0" w:lastRow="0" w:firstColumn="0" w:lastColumn="0" w:noHBand="0" w:noVBand="1"/>
      </w:tblPr>
      <w:tblGrid>
        <w:gridCol w:w="9016"/>
      </w:tblGrid>
      <w:tr w:rsidR="00416D85" w:rsidRPr="007C60AF" w14:paraId="134FC199"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BE1" w14:textId="77777777" w:rsidR="00416D85" w:rsidRPr="007C60AF" w:rsidRDefault="00130320">
            <w:pPr>
              <w:spacing w:after="0"/>
              <w:jc w:val="both"/>
              <w:rPr>
                <w:color w:val="4472C4"/>
              </w:rPr>
            </w:pPr>
            <w:bookmarkStart w:id="51" w:name="_heading=h.48dyjr4b614o" w:colFirst="0" w:colLast="0"/>
            <w:bookmarkEnd w:id="51"/>
            <w:r w:rsidRPr="007C60AF">
              <w:rPr>
                <w:color w:val="4472C4"/>
              </w:rPr>
              <w:t>Please refer to the response to question G.1.1. above.</w:t>
            </w:r>
          </w:p>
        </w:tc>
      </w:tr>
    </w:tbl>
    <w:p w14:paraId="00000BE2"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BE3"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t>Report your total cost to make and sell like goods in the UK. Please clearly separate your costs of production (direct manufacturing costs and indirect costs), from your administrative, selling and general expenses (AS&amp;G). Provide costs for each model that you produce. When giving your labour costs, please ensure you include all labour costs, directly or indirectly incurred by any activity related to the goods.</w:t>
      </w:r>
    </w:p>
    <w:tbl>
      <w:tblPr>
        <w:tblStyle w:val="affffffff4"/>
        <w:tblW w:w="9016" w:type="dxa"/>
        <w:tblLayout w:type="fixed"/>
        <w:tblLook w:val="0400" w:firstRow="0" w:lastRow="0" w:firstColumn="0" w:lastColumn="0" w:noHBand="0" w:noVBand="1"/>
      </w:tblPr>
      <w:tblGrid>
        <w:gridCol w:w="9016"/>
      </w:tblGrid>
      <w:tr w:rsidR="00416D85" w:rsidRPr="007C60AF" w14:paraId="01E8BA4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BE4" w14:textId="77777777" w:rsidR="00416D85" w:rsidRPr="007C60AF" w:rsidRDefault="00130320">
            <w:pPr>
              <w:numPr>
                <w:ilvl w:val="6"/>
                <w:numId w:val="42"/>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 xml:space="preserve">Please refer to the tables below for the total costs and unit costs of goods sold in the UK for the UK industry. For detailed information regarding the costs of goods sold for each producer that forms part of the UK industry, please refer to Appendix G.1. </w:t>
            </w:r>
          </w:p>
          <w:p w14:paraId="00000BE5"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BE6" w14:textId="36E32B37" w:rsidR="00416D85" w:rsidRPr="007C60AF" w:rsidRDefault="00130320">
            <w:pPr>
              <w:numPr>
                <w:ilvl w:val="6"/>
                <w:numId w:val="42"/>
              </w:numPr>
              <w:pBdr>
                <w:top w:val="nil"/>
                <w:left w:val="nil"/>
                <w:bottom w:val="nil"/>
                <w:right w:val="nil"/>
                <w:between w:val="nil"/>
              </w:pBdr>
              <w:spacing w:line="276" w:lineRule="auto"/>
              <w:jc w:val="both"/>
              <w:rPr>
                <w:rFonts w:eastAsia="Arial"/>
                <w:color w:val="4472C4"/>
              </w:rPr>
            </w:pPr>
            <w:r w:rsidRPr="007C60AF">
              <w:rPr>
                <w:rFonts w:eastAsia="Arial"/>
                <w:color w:val="4472C4"/>
              </w:rPr>
              <w:lastRenderedPageBreak/>
              <w:t>The cost of production of the UK industry increased by</w:t>
            </w:r>
            <w:sdt>
              <w:sdtPr>
                <w:tag w:val="goog_rdk_137"/>
                <w:id w:val="-343631415"/>
              </w:sdtPr>
              <w:sdtContent/>
            </w:sdt>
            <w:r w:rsidRPr="007C60AF">
              <w:rPr>
                <w:rFonts w:eastAsia="Arial"/>
                <w:color w:val="4472C4"/>
              </w:rPr>
              <w:t xml:space="preserve"> </w:t>
            </w:r>
            <w:r w:rsidR="006B179E" w:rsidRPr="007C60AF">
              <w:rPr>
                <w:rFonts w:eastAsia="Arial"/>
                <w:color w:val="4472C4"/>
              </w:rPr>
              <w:t>[</w:t>
            </w:r>
            <w:r w:rsidR="006B179E" w:rsidRPr="007C60AF">
              <w:rPr>
                <w:rFonts w:eastAsia="Arial"/>
                <w:b/>
                <w:bCs/>
                <w:color w:val="4472C4"/>
              </w:rPr>
              <w:t>0-25</w:t>
            </w:r>
            <w:r w:rsidRPr="007C60AF">
              <w:rPr>
                <w:rFonts w:eastAsia="Arial"/>
                <w:b/>
                <w:bCs/>
                <w:color w:val="4472C4"/>
              </w:rPr>
              <w:t>%</w:t>
            </w:r>
            <w:r w:rsidR="006B179E" w:rsidRPr="007C60AF">
              <w:rPr>
                <w:rFonts w:eastAsia="Arial"/>
                <w:b/>
                <w:bCs/>
                <w:color w:val="4472C4"/>
              </w:rPr>
              <w:t>]</w:t>
            </w:r>
            <w:r w:rsidRPr="007C60AF">
              <w:rPr>
                <w:rFonts w:eastAsia="Arial"/>
                <w:color w:val="4472C4"/>
              </w:rPr>
              <w:t xml:space="preserve"> between the start of the injury period and the POI, from </w:t>
            </w:r>
            <w:r w:rsidRPr="007C60AF">
              <w:rPr>
                <w:rFonts w:eastAsia="Arial"/>
                <w:b/>
                <w:color w:val="4472C4"/>
              </w:rPr>
              <w:t xml:space="preserve">[SENSITIVE – regards UK industry costs] </w:t>
            </w:r>
            <w:r w:rsidRPr="007C60AF">
              <w:rPr>
                <w:rFonts w:eastAsia="Arial"/>
                <w:color w:val="4472C4"/>
              </w:rPr>
              <w:t xml:space="preserve">GBP to </w:t>
            </w:r>
            <w:r w:rsidRPr="007C60AF">
              <w:rPr>
                <w:rFonts w:eastAsia="Arial"/>
                <w:b/>
                <w:color w:val="4472C4"/>
              </w:rPr>
              <w:t>[SENSITIVE – regards UK industry costs]</w:t>
            </w:r>
            <w:r w:rsidRPr="007C60AF">
              <w:rPr>
                <w:rFonts w:eastAsia="Arial"/>
                <w:color w:val="4472C4"/>
              </w:rPr>
              <w:t xml:space="preserve"> GBP (see table 36 below). Similarly, the unit cost of production increased by </w:t>
            </w:r>
            <w:sdt>
              <w:sdtPr>
                <w:tag w:val="goog_rdk_138"/>
                <w:id w:val="-1747252089"/>
              </w:sdtPr>
              <w:sdtContent/>
            </w:sdt>
            <w:r w:rsidRPr="007C60AF">
              <w:rPr>
                <w:rFonts w:eastAsia="Arial"/>
                <w:color w:val="4472C4"/>
              </w:rPr>
              <w:t xml:space="preserve"> </w:t>
            </w:r>
            <w:r w:rsidR="0082742A" w:rsidRPr="007C60AF">
              <w:rPr>
                <w:rFonts w:eastAsia="Arial"/>
                <w:b/>
                <w:bCs/>
                <w:color w:val="4472C4"/>
              </w:rPr>
              <w:t xml:space="preserve">[25-50%] </w:t>
            </w:r>
            <w:r w:rsidRPr="007C60AF">
              <w:rPr>
                <w:rFonts w:eastAsia="Arial"/>
                <w:color w:val="4472C4"/>
              </w:rPr>
              <w:t xml:space="preserve">between the start of the injury period and the POI, from </w:t>
            </w:r>
            <w:r w:rsidRPr="007C60AF">
              <w:rPr>
                <w:rFonts w:eastAsia="Arial"/>
                <w:b/>
                <w:color w:val="4472C4"/>
              </w:rPr>
              <w:t>[SENSITIVE – regards UK industry costs</w:t>
            </w:r>
            <w:r w:rsidRPr="007C60AF">
              <w:rPr>
                <w:rFonts w:eastAsia="Arial"/>
                <w:color w:val="4472C4"/>
              </w:rPr>
              <w:t xml:space="preserve"> GBP/MT to </w:t>
            </w:r>
            <w:r w:rsidRPr="007C60AF">
              <w:rPr>
                <w:rFonts w:eastAsia="Arial"/>
                <w:b/>
                <w:color w:val="4472C4"/>
              </w:rPr>
              <w:t>[SENSITIVE – regards UK industry costs]</w:t>
            </w:r>
            <w:r w:rsidRPr="007C60AF">
              <w:rPr>
                <w:rFonts w:eastAsia="Arial"/>
                <w:color w:val="4472C4"/>
              </w:rPr>
              <w:t xml:space="preserve"> GBP/MT (see table 38 below). This is largely due to:</w:t>
            </w:r>
          </w:p>
          <w:p w14:paraId="00000BE7" w14:textId="4844E8D9" w:rsidR="00416D85" w:rsidRPr="007C60AF" w:rsidRDefault="00130320">
            <w:pPr>
              <w:numPr>
                <w:ilvl w:val="0"/>
                <w:numId w:val="4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Raw material (i.e. feedstock) costs, which increased by </w:t>
            </w:r>
            <w:r w:rsidR="006B179E" w:rsidRPr="007C60AF">
              <w:rPr>
                <w:rFonts w:eastAsia="Arial"/>
                <w:b/>
                <w:color w:val="4472C4"/>
              </w:rPr>
              <w:t>[0-25%]</w:t>
            </w:r>
            <w:r w:rsidRPr="007C60AF">
              <w:rPr>
                <w:rFonts w:eastAsia="Arial"/>
                <w:color w:val="4472C4"/>
              </w:rPr>
              <w:t xml:space="preserve"> between the start of the injury period and the POI, from </w:t>
            </w:r>
            <w:r w:rsidRPr="007C60AF">
              <w:rPr>
                <w:rFonts w:eastAsia="Arial"/>
                <w:b/>
                <w:color w:val="4472C4"/>
              </w:rPr>
              <w:t>[SENSITIVE – regards UK industry costs</w:t>
            </w:r>
            <w:r w:rsidRPr="007C60AF">
              <w:rPr>
                <w:rFonts w:eastAsia="Arial"/>
                <w:color w:val="4472C4"/>
              </w:rPr>
              <w:t xml:space="preserve"> GBP to </w:t>
            </w:r>
            <w:r w:rsidRPr="007C60AF">
              <w:rPr>
                <w:rFonts w:eastAsia="Arial"/>
                <w:b/>
                <w:color w:val="4472C4"/>
              </w:rPr>
              <w:t>[SENSITIVE – regards UK industry costs]</w:t>
            </w:r>
            <w:r w:rsidRPr="007C60AF">
              <w:rPr>
                <w:rFonts w:eastAsia="Arial"/>
                <w:color w:val="4472C4"/>
              </w:rPr>
              <w:t xml:space="preserve"> GBP.</w:t>
            </w:r>
          </w:p>
          <w:p w14:paraId="00000BE8" w14:textId="6A24D008" w:rsidR="00416D85" w:rsidRPr="007C60AF" w:rsidRDefault="00130320">
            <w:pPr>
              <w:numPr>
                <w:ilvl w:val="0"/>
                <w:numId w:val="4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Energy costs, which increased by </w:t>
            </w:r>
            <w:r w:rsidR="006B179E" w:rsidRPr="007C60AF">
              <w:rPr>
                <w:rFonts w:eastAsia="Arial"/>
                <w:b/>
                <w:color w:val="4472C4"/>
              </w:rPr>
              <w:t>[50-75</w:t>
            </w:r>
            <w:r w:rsidRPr="007C60AF">
              <w:rPr>
                <w:rFonts w:eastAsia="Arial"/>
                <w:b/>
                <w:color w:val="4472C4"/>
              </w:rPr>
              <w:t>%</w:t>
            </w:r>
            <w:r w:rsidR="006B179E" w:rsidRPr="007C60AF">
              <w:rPr>
                <w:rFonts w:eastAsia="Arial"/>
                <w:b/>
                <w:color w:val="4472C4"/>
              </w:rPr>
              <w:t>]</w:t>
            </w:r>
            <w:r w:rsidRPr="007C60AF">
              <w:rPr>
                <w:rFonts w:eastAsia="Arial"/>
                <w:color w:val="4472C4"/>
              </w:rPr>
              <w:t xml:space="preserve"> between the start of the injury period and the POI, from </w:t>
            </w:r>
            <w:r w:rsidRPr="007C60AF">
              <w:rPr>
                <w:rFonts w:eastAsia="Arial"/>
                <w:b/>
                <w:color w:val="4472C4"/>
              </w:rPr>
              <w:t>[SENSITIVE – regards UK industry costs]</w:t>
            </w:r>
            <w:r w:rsidRPr="007C60AF">
              <w:rPr>
                <w:rFonts w:eastAsia="Arial"/>
                <w:color w:val="4472C4"/>
              </w:rPr>
              <w:t xml:space="preserve"> GBP to </w:t>
            </w:r>
            <w:r w:rsidRPr="007C60AF">
              <w:rPr>
                <w:rFonts w:eastAsia="Arial"/>
                <w:b/>
                <w:color w:val="4472C4"/>
              </w:rPr>
              <w:t>[SENSITIVE – regards UK industry costs]</w:t>
            </w:r>
            <w:r w:rsidRPr="007C60AF">
              <w:rPr>
                <w:rFonts w:eastAsia="Arial"/>
                <w:color w:val="4472C4"/>
              </w:rPr>
              <w:t xml:space="preserve"> GBP.</w:t>
            </w:r>
          </w:p>
          <w:p w14:paraId="00000B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EA" w14:textId="21970230" w:rsidR="00416D85" w:rsidRPr="007C60AF" w:rsidRDefault="00130320">
            <w:pPr>
              <w:numPr>
                <w:ilvl w:val="6"/>
                <w:numId w:val="4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Feedstock represents approximately </w:t>
            </w:r>
            <w:r w:rsidRPr="007C60AF">
              <w:rPr>
                <w:rFonts w:eastAsia="Arial"/>
                <w:b/>
                <w:color w:val="4472C4"/>
              </w:rPr>
              <w:t>[</w:t>
            </w:r>
            <w:r w:rsidR="00BB6C1A" w:rsidRPr="007C60AF">
              <w:rPr>
                <w:rFonts w:eastAsia="Arial"/>
                <w:b/>
                <w:color w:val="4472C4"/>
              </w:rPr>
              <w:t>75-100</w:t>
            </w:r>
            <w:r w:rsidRPr="007C60AF">
              <w:rPr>
                <w:rFonts w:eastAsia="Arial"/>
                <w:b/>
                <w:color w:val="4472C4"/>
              </w:rPr>
              <w:t>]</w:t>
            </w:r>
            <w:r w:rsidRPr="007C60AF">
              <w:rPr>
                <w:rFonts w:eastAsia="Arial"/>
                <w:color w:val="4472C4"/>
              </w:rPr>
              <w:t xml:space="preserve">% of FAME raw material costs. </w:t>
            </w:r>
          </w:p>
          <w:p w14:paraId="00000BE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BEC" w14:textId="77777777" w:rsidR="00416D85" w:rsidRPr="007C60AF" w:rsidRDefault="00130320">
            <w:pPr>
              <w:numPr>
                <w:ilvl w:val="6"/>
                <w:numId w:val="4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Raw material/feedstock prices decreased in the POI and in Q2 2024 (see tables 36 and 37 below) because of the high price of waste based raw material. As a result, in some cases producers switched from waste based raw material to crop based raw material (which is cheaper).</w:t>
            </w:r>
          </w:p>
          <w:p w14:paraId="00000BED" w14:textId="77777777" w:rsidR="00416D85" w:rsidRPr="007C60AF" w:rsidRDefault="00416D85">
            <w:pPr>
              <w:pBdr>
                <w:top w:val="nil"/>
                <w:left w:val="nil"/>
                <w:bottom w:val="nil"/>
                <w:right w:val="nil"/>
                <w:between w:val="nil"/>
              </w:pBdr>
              <w:spacing w:after="0" w:line="276" w:lineRule="auto"/>
              <w:ind w:left="567" w:hanging="567"/>
              <w:jc w:val="both"/>
              <w:rPr>
                <w:rFonts w:eastAsia="Arial"/>
                <w:color w:val="4472C4"/>
              </w:rPr>
            </w:pPr>
          </w:p>
          <w:p w14:paraId="00000BEE" w14:textId="77777777" w:rsidR="00416D85" w:rsidRPr="007C60AF" w:rsidRDefault="00130320">
            <w:pPr>
              <w:numPr>
                <w:ilvl w:val="6"/>
                <w:numId w:val="42"/>
              </w:numPr>
              <w:pBdr>
                <w:top w:val="nil"/>
                <w:left w:val="nil"/>
                <w:bottom w:val="nil"/>
                <w:right w:val="nil"/>
                <w:between w:val="nil"/>
              </w:pBdr>
              <w:spacing w:after="0" w:line="276" w:lineRule="auto"/>
              <w:jc w:val="both"/>
              <w:rPr>
                <w:rFonts w:eastAsia="Arial"/>
                <w:color w:val="4472C4"/>
              </w:rPr>
            </w:pPr>
            <w:r w:rsidRPr="007C60AF">
              <w:rPr>
                <w:rFonts w:eastAsia="Arial"/>
                <w:b/>
                <w:color w:val="4472C4"/>
              </w:rPr>
              <w:t>[SENSITIVE – INFORMATION ABOUT OPERATIONS OF ONE OR MORE UK PRODUCERS]</w:t>
            </w:r>
            <w:r w:rsidRPr="007C60AF">
              <w:rPr>
                <w:rFonts w:eastAsia="Arial"/>
                <w:color w:val="4472C4"/>
              </w:rPr>
              <w:t>.</w:t>
            </w:r>
          </w:p>
          <w:p w14:paraId="00000BE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66B9784D" w14:textId="1775BB3B" w:rsidR="00B85FC0" w:rsidRDefault="00130320" w:rsidP="000F28D4">
            <w:pPr>
              <w:numPr>
                <w:ilvl w:val="6"/>
                <w:numId w:val="42"/>
              </w:numPr>
              <w:pBdr>
                <w:top w:val="nil"/>
                <w:left w:val="nil"/>
                <w:bottom w:val="nil"/>
                <w:right w:val="nil"/>
                <w:between w:val="nil"/>
              </w:pBdr>
              <w:spacing w:after="0" w:line="276" w:lineRule="auto"/>
              <w:jc w:val="both"/>
              <w:rPr>
                <w:rFonts w:eastAsia="Arial"/>
                <w:color w:val="4472C4"/>
              </w:rPr>
            </w:pPr>
            <w:r w:rsidRPr="007C60AF">
              <w:rPr>
                <w:rFonts w:eastAsia="Arial"/>
                <w:b/>
                <w:color w:val="4472C4"/>
              </w:rPr>
              <w:t>[SENSITIVE – INFORMATION ABOUT OPERATIONS OF ONE OR MORE UK PRODUCERS]</w:t>
            </w:r>
            <w:r w:rsidRPr="007C60AF">
              <w:rPr>
                <w:rFonts w:eastAsia="Arial"/>
                <w:color w:val="4472C4"/>
              </w:rPr>
              <w:t xml:space="preserve">. </w:t>
            </w:r>
          </w:p>
          <w:p w14:paraId="0233F7D8" w14:textId="77777777" w:rsidR="000F28D4" w:rsidRPr="000F28D4" w:rsidRDefault="000F28D4" w:rsidP="000F28D4">
            <w:pPr>
              <w:pBdr>
                <w:top w:val="nil"/>
                <w:left w:val="nil"/>
                <w:bottom w:val="nil"/>
                <w:right w:val="nil"/>
                <w:between w:val="nil"/>
              </w:pBdr>
              <w:spacing w:after="0" w:line="276" w:lineRule="auto"/>
              <w:jc w:val="both"/>
              <w:rPr>
                <w:rFonts w:eastAsia="Arial"/>
                <w:color w:val="4472C4"/>
              </w:rPr>
            </w:pPr>
          </w:p>
          <w:p w14:paraId="00000BF2" w14:textId="77777777" w:rsidR="00416D85" w:rsidRPr="007C60AF" w:rsidRDefault="00130320">
            <w:pPr>
              <w:spacing w:after="0"/>
              <w:jc w:val="both"/>
              <w:rPr>
                <w:i/>
                <w:color w:val="4472C4"/>
              </w:rPr>
            </w:pPr>
            <w:r w:rsidRPr="007C60AF">
              <w:rPr>
                <w:i/>
                <w:color w:val="4472C4"/>
              </w:rPr>
              <w:t xml:space="preserve">Table 36: </w:t>
            </w:r>
            <w:sdt>
              <w:sdtPr>
                <w:tag w:val="goog_rdk_139"/>
                <w:id w:val="-706954676"/>
              </w:sdtPr>
              <w:sdtContent/>
            </w:sdt>
            <w:r w:rsidRPr="007C60AF">
              <w:rPr>
                <w:i/>
                <w:color w:val="4472C4"/>
              </w:rPr>
              <w:t>Costs of production (GBP) for the injury period and the POI</w:t>
            </w:r>
          </w:p>
          <w:p w14:paraId="00000BF3" w14:textId="77777777" w:rsidR="00416D85" w:rsidRPr="007C60AF" w:rsidRDefault="00416D85">
            <w:pPr>
              <w:spacing w:after="0"/>
              <w:jc w:val="both"/>
              <w:rPr>
                <w:i/>
                <w:color w:val="4472C4"/>
              </w:rPr>
            </w:pPr>
          </w:p>
          <w:tbl>
            <w:tblPr>
              <w:tblStyle w:val="affffffff5"/>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1719"/>
              <w:gridCol w:w="1719"/>
              <w:gridCol w:w="1719"/>
              <w:gridCol w:w="1720"/>
            </w:tblGrid>
            <w:tr w:rsidR="00416D85" w:rsidRPr="007C60AF" w14:paraId="6899DD79" w14:textId="77777777">
              <w:tc>
                <w:tcPr>
                  <w:tcW w:w="2044" w:type="dxa"/>
                  <w:shd w:val="clear" w:color="auto" w:fill="D0CECE"/>
                </w:tcPr>
                <w:p w14:paraId="00000BF4" w14:textId="77777777" w:rsidR="00416D85" w:rsidRPr="007C60AF" w:rsidRDefault="00416D85">
                  <w:pPr>
                    <w:spacing w:before="60" w:after="60"/>
                    <w:jc w:val="both"/>
                    <w:rPr>
                      <w:b/>
                      <w:color w:val="4472C4"/>
                    </w:rPr>
                  </w:pPr>
                </w:p>
              </w:tc>
              <w:tc>
                <w:tcPr>
                  <w:tcW w:w="1719" w:type="dxa"/>
                  <w:shd w:val="clear" w:color="auto" w:fill="D0CECE"/>
                </w:tcPr>
                <w:p w14:paraId="00000BF5" w14:textId="77777777" w:rsidR="00416D85" w:rsidRPr="007C60AF" w:rsidRDefault="00130320">
                  <w:pPr>
                    <w:spacing w:before="60" w:after="60"/>
                    <w:jc w:val="both"/>
                    <w:rPr>
                      <w:b/>
                      <w:color w:val="4472C4"/>
                    </w:rPr>
                  </w:pPr>
                  <w:r w:rsidRPr="007C60AF">
                    <w:rPr>
                      <w:b/>
                      <w:color w:val="4472C4"/>
                    </w:rPr>
                    <w:t>Q2 2020 - Q1 2021</w:t>
                  </w:r>
                </w:p>
              </w:tc>
              <w:tc>
                <w:tcPr>
                  <w:tcW w:w="1719" w:type="dxa"/>
                  <w:shd w:val="clear" w:color="auto" w:fill="D0CECE"/>
                </w:tcPr>
                <w:p w14:paraId="00000BF6" w14:textId="77777777" w:rsidR="00416D85" w:rsidRPr="007C60AF" w:rsidRDefault="00130320">
                  <w:pPr>
                    <w:spacing w:before="60" w:after="60"/>
                    <w:jc w:val="both"/>
                    <w:rPr>
                      <w:b/>
                      <w:color w:val="4472C4"/>
                    </w:rPr>
                  </w:pPr>
                  <w:r w:rsidRPr="007C60AF">
                    <w:rPr>
                      <w:b/>
                      <w:color w:val="4472C4"/>
                    </w:rPr>
                    <w:t>Q2 2021 - Q1 2022</w:t>
                  </w:r>
                </w:p>
              </w:tc>
              <w:tc>
                <w:tcPr>
                  <w:tcW w:w="1719" w:type="dxa"/>
                  <w:shd w:val="clear" w:color="auto" w:fill="D0CECE"/>
                </w:tcPr>
                <w:p w14:paraId="00000BF7" w14:textId="77777777" w:rsidR="00416D85" w:rsidRPr="007C60AF" w:rsidRDefault="00130320">
                  <w:pPr>
                    <w:spacing w:before="60" w:after="60"/>
                    <w:jc w:val="both"/>
                    <w:rPr>
                      <w:b/>
                      <w:color w:val="4472C4"/>
                    </w:rPr>
                  </w:pPr>
                  <w:r w:rsidRPr="007C60AF">
                    <w:rPr>
                      <w:b/>
                      <w:color w:val="4472C4"/>
                    </w:rPr>
                    <w:t>Q2 2022 - Q1 2023</w:t>
                  </w:r>
                </w:p>
              </w:tc>
              <w:tc>
                <w:tcPr>
                  <w:tcW w:w="1720" w:type="dxa"/>
                  <w:shd w:val="clear" w:color="auto" w:fill="D0CECE"/>
                </w:tcPr>
                <w:p w14:paraId="00000BF8" w14:textId="77777777" w:rsidR="00416D85" w:rsidRPr="007C60AF" w:rsidRDefault="00130320">
                  <w:pPr>
                    <w:spacing w:before="60" w:after="60"/>
                    <w:jc w:val="both"/>
                    <w:rPr>
                      <w:b/>
                      <w:color w:val="4472C4"/>
                    </w:rPr>
                  </w:pPr>
                  <w:r w:rsidRPr="007C60AF">
                    <w:rPr>
                      <w:b/>
                      <w:color w:val="4472C4"/>
                    </w:rPr>
                    <w:t>POI (Q2 2023 - Q1 2024)</w:t>
                  </w:r>
                </w:p>
              </w:tc>
            </w:tr>
            <w:tr w:rsidR="00416D85" w:rsidRPr="007C60AF" w14:paraId="71D26AB5" w14:textId="77777777">
              <w:tc>
                <w:tcPr>
                  <w:tcW w:w="2044" w:type="dxa"/>
                  <w:shd w:val="clear" w:color="auto" w:fill="D0CECE"/>
                </w:tcPr>
                <w:p w14:paraId="00000BF9" w14:textId="77777777" w:rsidR="00416D85" w:rsidRPr="007C60AF" w:rsidRDefault="00130320">
                  <w:pPr>
                    <w:spacing w:before="60" w:after="60"/>
                    <w:jc w:val="both"/>
                    <w:rPr>
                      <w:b/>
                      <w:color w:val="4472C4"/>
                    </w:rPr>
                  </w:pPr>
                  <w:r w:rsidRPr="007C60AF">
                    <w:rPr>
                      <w:b/>
                      <w:color w:val="4472C4"/>
                    </w:rPr>
                    <w:t>Full manufacturing costs</w:t>
                  </w:r>
                </w:p>
              </w:tc>
              <w:tc>
                <w:tcPr>
                  <w:tcW w:w="1719" w:type="dxa"/>
                </w:tcPr>
                <w:p w14:paraId="00000BFA" w14:textId="27CEF5F0" w:rsidR="00416D85" w:rsidRPr="007C60AF" w:rsidRDefault="0082742A">
                  <w:pPr>
                    <w:spacing w:before="60" w:after="60"/>
                    <w:jc w:val="both"/>
                    <w:rPr>
                      <w:b/>
                      <w:color w:val="4472C4"/>
                    </w:rPr>
                  </w:pPr>
                  <w:r w:rsidRPr="007C60AF">
                    <w:rPr>
                      <w:b/>
                      <w:color w:val="4472C4"/>
                    </w:rPr>
                    <w:t>[400m-</w:t>
                  </w:r>
                  <w:r w:rsidR="00C004AD" w:rsidRPr="007C60AF">
                    <w:rPr>
                      <w:b/>
                      <w:color w:val="4472C4"/>
                    </w:rPr>
                    <w:t>45</w:t>
                  </w:r>
                  <w:r w:rsidRPr="007C60AF">
                    <w:rPr>
                      <w:b/>
                      <w:color w:val="4472C4"/>
                    </w:rPr>
                    <w:t>0m]</w:t>
                  </w:r>
                </w:p>
              </w:tc>
              <w:tc>
                <w:tcPr>
                  <w:tcW w:w="1719" w:type="dxa"/>
                </w:tcPr>
                <w:p w14:paraId="00000BFB" w14:textId="2A23BB39" w:rsidR="00416D85" w:rsidRPr="007C60AF" w:rsidRDefault="0082742A">
                  <w:pPr>
                    <w:spacing w:before="60" w:after="60"/>
                    <w:jc w:val="both"/>
                    <w:rPr>
                      <w:b/>
                      <w:color w:val="4472C4"/>
                    </w:rPr>
                  </w:pPr>
                  <w:r w:rsidRPr="007C60AF">
                    <w:rPr>
                      <w:b/>
                      <w:color w:val="4472C4"/>
                    </w:rPr>
                    <w:t>[5</w:t>
                  </w:r>
                  <w:r w:rsidR="00C004AD" w:rsidRPr="007C60AF">
                    <w:rPr>
                      <w:b/>
                      <w:color w:val="4472C4"/>
                    </w:rPr>
                    <w:t>5</w:t>
                  </w:r>
                  <w:r w:rsidRPr="007C60AF">
                    <w:rPr>
                      <w:b/>
                      <w:color w:val="4472C4"/>
                    </w:rPr>
                    <w:t>0m-600m]</w:t>
                  </w:r>
                </w:p>
              </w:tc>
              <w:tc>
                <w:tcPr>
                  <w:tcW w:w="1719" w:type="dxa"/>
                </w:tcPr>
                <w:p w14:paraId="00000BFC" w14:textId="6204FFFA" w:rsidR="00416D85" w:rsidRPr="007C60AF" w:rsidRDefault="0082742A">
                  <w:pPr>
                    <w:spacing w:before="60" w:after="60"/>
                    <w:jc w:val="both"/>
                    <w:rPr>
                      <w:b/>
                      <w:color w:val="4472C4"/>
                    </w:rPr>
                  </w:pPr>
                  <w:r w:rsidRPr="007C60AF">
                    <w:rPr>
                      <w:b/>
                      <w:color w:val="4472C4"/>
                    </w:rPr>
                    <w:t>[7</w:t>
                  </w:r>
                  <w:r w:rsidR="00C004AD" w:rsidRPr="007C60AF">
                    <w:rPr>
                      <w:b/>
                      <w:color w:val="4472C4"/>
                    </w:rPr>
                    <w:t>5</w:t>
                  </w:r>
                  <w:r w:rsidRPr="007C60AF">
                    <w:rPr>
                      <w:b/>
                      <w:color w:val="4472C4"/>
                    </w:rPr>
                    <w:t>0m-800m]</w:t>
                  </w:r>
                </w:p>
              </w:tc>
              <w:tc>
                <w:tcPr>
                  <w:tcW w:w="1720" w:type="dxa"/>
                </w:tcPr>
                <w:p w14:paraId="00000BFD" w14:textId="08C58673" w:rsidR="00416D85" w:rsidRPr="007C60AF" w:rsidRDefault="00C004AD">
                  <w:pPr>
                    <w:spacing w:before="60" w:after="60"/>
                    <w:jc w:val="both"/>
                    <w:rPr>
                      <w:b/>
                      <w:color w:val="4472C4"/>
                    </w:rPr>
                  </w:pPr>
                  <w:r w:rsidRPr="007C60AF">
                    <w:rPr>
                      <w:b/>
                      <w:color w:val="4472C4"/>
                    </w:rPr>
                    <w:t>[450m-500m]</w:t>
                  </w:r>
                </w:p>
              </w:tc>
            </w:tr>
            <w:tr w:rsidR="00416D85" w:rsidRPr="007C60AF" w14:paraId="30549658" w14:textId="77777777">
              <w:tc>
                <w:tcPr>
                  <w:tcW w:w="2044" w:type="dxa"/>
                  <w:shd w:val="clear" w:color="auto" w:fill="D0CECE"/>
                </w:tcPr>
                <w:p w14:paraId="00000BFE" w14:textId="77777777" w:rsidR="00416D85" w:rsidRPr="007C60AF" w:rsidRDefault="00130320">
                  <w:pPr>
                    <w:spacing w:before="60" w:after="60"/>
                    <w:rPr>
                      <w:b/>
                      <w:color w:val="4472C4"/>
                    </w:rPr>
                  </w:pPr>
                  <w:r w:rsidRPr="007C60AF">
                    <w:rPr>
                      <w:b/>
                      <w:color w:val="4472C4"/>
                    </w:rPr>
                    <w:t>Raw materials</w:t>
                  </w:r>
                </w:p>
              </w:tc>
              <w:tc>
                <w:tcPr>
                  <w:tcW w:w="1719" w:type="dxa"/>
                </w:tcPr>
                <w:p w14:paraId="00000BFF" w14:textId="6EDA977F" w:rsidR="00416D85" w:rsidRPr="007C60AF" w:rsidRDefault="00C004AD">
                  <w:pPr>
                    <w:spacing w:before="60" w:after="60"/>
                    <w:jc w:val="both"/>
                    <w:rPr>
                      <w:b/>
                      <w:color w:val="4472C4"/>
                    </w:rPr>
                  </w:pPr>
                  <w:r w:rsidRPr="007C60AF">
                    <w:rPr>
                      <w:b/>
                      <w:color w:val="4472C4"/>
                    </w:rPr>
                    <w:t>[350m-400m]</w:t>
                  </w:r>
                </w:p>
              </w:tc>
              <w:tc>
                <w:tcPr>
                  <w:tcW w:w="1719" w:type="dxa"/>
                </w:tcPr>
                <w:p w14:paraId="00000C00" w14:textId="6028EC4D" w:rsidR="00416D85" w:rsidRPr="007C60AF" w:rsidRDefault="00C004AD">
                  <w:pPr>
                    <w:spacing w:before="60" w:after="60"/>
                    <w:jc w:val="both"/>
                    <w:rPr>
                      <w:b/>
                      <w:color w:val="4472C4"/>
                    </w:rPr>
                  </w:pPr>
                  <w:r w:rsidRPr="007C60AF">
                    <w:rPr>
                      <w:b/>
                      <w:color w:val="4472C4"/>
                    </w:rPr>
                    <w:t>[450m-500m]</w:t>
                  </w:r>
                </w:p>
              </w:tc>
              <w:tc>
                <w:tcPr>
                  <w:tcW w:w="1719" w:type="dxa"/>
                </w:tcPr>
                <w:p w14:paraId="00000C01" w14:textId="3A60158B" w:rsidR="00416D85" w:rsidRPr="007C60AF" w:rsidRDefault="00C004AD">
                  <w:pPr>
                    <w:spacing w:before="60" w:after="60"/>
                    <w:jc w:val="both"/>
                    <w:rPr>
                      <w:b/>
                      <w:color w:val="4472C4"/>
                    </w:rPr>
                  </w:pPr>
                  <w:r w:rsidRPr="007C60AF">
                    <w:rPr>
                      <w:b/>
                      <w:color w:val="4472C4"/>
                    </w:rPr>
                    <w:t>[650m-700m]</w:t>
                  </w:r>
                </w:p>
              </w:tc>
              <w:tc>
                <w:tcPr>
                  <w:tcW w:w="1720" w:type="dxa"/>
                </w:tcPr>
                <w:p w14:paraId="00000C02" w14:textId="5BB0FC02" w:rsidR="00416D85" w:rsidRPr="007C60AF" w:rsidRDefault="00C004AD">
                  <w:pPr>
                    <w:spacing w:before="60" w:after="60"/>
                    <w:jc w:val="both"/>
                    <w:rPr>
                      <w:b/>
                      <w:color w:val="4472C4"/>
                    </w:rPr>
                  </w:pPr>
                  <w:r w:rsidRPr="007C60AF">
                    <w:rPr>
                      <w:b/>
                      <w:color w:val="4472C4"/>
                    </w:rPr>
                    <w:t>[400m-450m]</w:t>
                  </w:r>
                </w:p>
              </w:tc>
            </w:tr>
            <w:tr w:rsidR="00C004AD" w:rsidRPr="007C60AF" w14:paraId="381879B9" w14:textId="77777777">
              <w:tc>
                <w:tcPr>
                  <w:tcW w:w="2044" w:type="dxa"/>
                  <w:shd w:val="clear" w:color="auto" w:fill="D0CECE"/>
                </w:tcPr>
                <w:p w14:paraId="00000C03" w14:textId="77777777" w:rsidR="00C004AD" w:rsidRPr="007C60AF" w:rsidRDefault="00C004AD" w:rsidP="00C004AD">
                  <w:pPr>
                    <w:spacing w:before="60" w:after="60"/>
                    <w:rPr>
                      <w:b/>
                      <w:color w:val="4472C4"/>
                    </w:rPr>
                  </w:pPr>
                  <w:r w:rsidRPr="007C60AF">
                    <w:rPr>
                      <w:b/>
                      <w:color w:val="4472C4"/>
                    </w:rPr>
                    <w:t>Labour costs</w:t>
                  </w:r>
                </w:p>
              </w:tc>
              <w:tc>
                <w:tcPr>
                  <w:tcW w:w="1719" w:type="dxa"/>
                </w:tcPr>
                <w:p w14:paraId="00000C04" w14:textId="205DC5A4" w:rsidR="00C004AD" w:rsidRPr="007C60AF" w:rsidRDefault="00C004AD" w:rsidP="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c>
                <w:tcPr>
                  <w:tcW w:w="1719" w:type="dxa"/>
                </w:tcPr>
                <w:p w14:paraId="00000C05" w14:textId="68DE45DA" w:rsidR="00C004AD" w:rsidRPr="007C60AF" w:rsidRDefault="00C004AD" w:rsidP="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c>
                <w:tcPr>
                  <w:tcW w:w="1719" w:type="dxa"/>
                </w:tcPr>
                <w:p w14:paraId="00000C06" w14:textId="78C1A1D1" w:rsidR="00C004AD" w:rsidRPr="007C60AF" w:rsidRDefault="00C004AD" w:rsidP="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c>
                <w:tcPr>
                  <w:tcW w:w="1720" w:type="dxa"/>
                </w:tcPr>
                <w:p w14:paraId="00000C07" w14:textId="4804D41C" w:rsidR="00C004AD" w:rsidRPr="007C60AF" w:rsidRDefault="00C004AD" w:rsidP="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r>
            <w:tr w:rsidR="00416D85" w:rsidRPr="007C60AF" w14:paraId="1E027A30" w14:textId="77777777">
              <w:tc>
                <w:tcPr>
                  <w:tcW w:w="2044" w:type="dxa"/>
                  <w:shd w:val="clear" w:color="auto" w:fill="D0CECE"/>
                </w:tcPr>
                <w:p w14:paraId="00000C08" w14:textId="77777777" w:rsidR="00416D85" w:rsidRPr="007C60AF" w:rsidRDefault="00130320">
                  <w:pPr>
                    <w:spacing w:before="60" w:after="60"/>
                    <w:rPr>
                      <w:b/>
                      <w:color w:val="4472C4"/>
                    </w:rPr>
                  </w:pPr>
                  <w:r w:rsidRPr="007C60AF">
                    <w:rPr>
                      <w:b/>
                      <w:color w:val="4472C4"/>
                    </w:rPr>
                    <w:t>Energy costs</w:t>
                  </w:r>
                </w:p>
              </w:tc>
              <w:tc>
                <w:tcPr>
                  <w:tcW w:w="1719" w:type="dxa"/>
                </w:tcPr>
                <w:p w14:paraId="00000C09" w14:textId="71A443C1" w:rsidR="00416D85" w:rsidRPr="007C60AF" w:rsidRDefault="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c>
                <w:tcPr>
                  <w:tcW w:w="1719" w:type="dxa"/>
                </w:tcPr>
                <w:p w14:paraId="00000C0A" w14:textId="46EDA1AF" w:rsidR="00416D85" w:rsidRPr="007C60AF" w:rsidRDefault="00C004AD">
                  <w:pPr>
                    <w:spacing w:before="60" w:after="60"/>
                    <w:jc w:val="both"/>
                    <w:rPr>
                      <w:b/>
                      <w:color w:val="4472C4"/>
                    </w:rPr>
                  </w:pPr>
                  <w:r w:rsidRPr="007C60AF">
                    <w:rPr>
                      <w:b/>
                      <w:color w:val="4472C4"/>
                    </w:rPr>
                    <w:t>[30m-</w:t>
                  </w:r>
                  <w:r w:rsidR="003E3134" w:rsidRPr="007C60AF">
                    <w:rPr>
                      <w:b/>
                      <w:color w:val="4472C4"/>
                    </w:rPr>
                    <w:t>35</w:t>
                  </w:r>
                  <w:r w:rsidRPr="007C60AF">
                    <w:rPr>
                      <w:b/>
                      <w:color w:val="4472C4"/>
                    </w:rPr>
                    <w:t>m]</w:t>
                  </w:r>
                </w:p>
              </w:tc>
              <w:tc>
                <w:tcPr>
                  <w:tcW w:w="1719" w:type="dxa"/>
                </w:tcPr>
                <w:p w14:paraId="00000C0B" w14:textId="0451C707" w:rsidR="00416D85" w:rsidRPr="007C60AF" w:rsidRDefault="00C004AD">
                  <w:pPr>
                    <w:spacing w:before="60" w:after="60"/>
                    <w:jc w:val="both"/>
                    <w:rPr>
                      <w:b/>
                      <w:color w:val="4472C4"/>
                    </w:rPr>
                  </w:pPr>
                  <w:r w:rsidRPr="007C60AF">
                    <w:rPr>
                      <w:b/>
                      <w:color w:val="4472C4"/>
                    </w:rPr>
                    <w:t>[3</w:t>
                  </w:r>
                  <w:r w:rsidR="003E3134" w:rsidRPr="007C60AF">
                    <w:rPr>
                      <w:b/>
                      <w:color w:val="4472C4"/>
                    </w:rPr>
                    <w:t>5</w:t>
                  </w:r>
                  <w:r w:rsidRPr="007C60AF">
                    <w:rPr>
                      <w:b/>
                      <w:color w:val="4472C4"/>
                    </w:rPr>
                    <w:t>m-40m]</w:t>
                  </w:r>
                </w:p>
              </w:tc>
              <w:tc>
                <w:tcPr>
                  <w:tcW w:w="1720" w:type="dxa"/>
                </w:tcPr>
                <w:p w14:paraId="00000C0C" w14:textId="1EB2591F" w:rsidR="00416D85" w:rsidRPr="007C60AF" w:rsidRDefault="00C004AD">
                  <w:pPr>
                    <w:spacing w:before="60" w:after="60"/>
                    <w:jc w:val="both"/>
                    <w:rPr>
                      <w:b/>
                      <w:color w:val="4472C4"/>
                    </w:rPr>
                  </w:pPr>
                  <w:r w:rsidRPr="007C60AF">
                    <w:rPr>
                      <w:b/>
                      <w:color w:val="4472C4"/>
                    </w:rPr>
                    <w:t>[20m-</w:t>
                  </w:r>
                  <w:r w:rsidR="003E3134" w:rsidRPr="007C60AF">
                    <w:rPr>
                      <w:b/>
                      <w:color w:val="4472C4"/>
                    </w:rPr>
                    <w:t>25</w:t>
                  </w:r>
                  <w:r w:rsidRPr="007C60AF">
                    <w:rPr>
                      <w:b/>
                      <w:color w:val="4472C4"/>
                    </w:rPr>
                    <w:t>m]</w:t>
                  </w:r>
                </w:p>
              </w:tc>
            </w:tr>
            <w:tr w:rsidR="00C004AD" w:rsidRPr="007C60AF" w14:paraId="60163DF4" w14:textId="77777777">
              <w:tc>
                <w:tcPr>
                  <w:tcW w:w="2044" w:type="dxa"/>
                  <w:shd w:val="clear" w:color="auto" w:fill="D0CECE"/>
                </w:tcPr>
                <w:p w14:paraId="00000C0D" w14:textId="77777777" w:rsidR="00C004AD" w:rsidRPr="007C60AF" w:rsidRDefault="00C004AD" w:rsidP="00C004AD">
                  <w:pPr>
                    <w:spacing w:before="60" w:after="60"/>
                    <w:rPr>
                      <w:b/>
                      <w:color w:val="4472C4"/>
                    </w:rPr>
                  </w:pPr>
                  <w:r w:rsidRPr="007C60AF">
                    <w:rPr>
                      <w:b/>
                      <w:color w:val="4472C4"/>
                    </w:rPr>
                    <w:lastRenderedPageBreak/>
                    <w:t>Other direct costs</w:t>
                  </w:r>
                </w:p>
              </w:tc>
              <w:tc>
                <w:tcPr>
                  <w:tcW w:w="1719" w:type="dxa"/>
                </w:tcPr>
                <w:p w14:paraId="00000C0E" w14:textId="32E0BF33" w:rsidR="00C004AD" w:rsidRPr="007C60AF" w:rsidRDefault="00C004AD" w:rsidP="00C004AD">
                  <w:pPr>
                    <w:spacing w:before="60" w:after="60"/>
                    <w:jc w:val="both"/>
                    <w:rPr>
                      <w:b/>
                      <w:color w:val="4472C4"/>
                    </w:rPr>
                  </w:pPr>
                  <w:r w:rsidRPr="007C60AF">
                    <w:rPr>
                      <w:b/>
                      <w:color w:val="4472C4"/>
                    </w:rPr>
                    <w:t>[1</w:t>
                  </w:r>
                  <w:r w:rsidR="003E3134" w:rsidRPr="007C60AF">
                    <w:rPr>
                      <w:b/>
                      <w:color w:val="4472C4"/>
                    </w:rPr>
                    <w:t>5</w:t>
                  </w:r>
                  <w:r w:rsidRPr="007C60AF">
                    <w:rPr>
                      <w:b/>
                      <w:color w:val="4472C4"/>
                    </w:rPr>
                    <w:t>m-20m]</w:t>
                  </w:r>
                </w:p>
              </w:tc>
              <w:tc>
                <w:tcPr>
                  <w:tcW w:w="1719" w:type="dxa"/>
                </w:tcPr>
                <w:p w14:paraId="00000C0F" w14:textId="5C7D4789" w:rsidR="00C004AD" w:rsidRPr="007C60AF" w:rsidRDefault="00C004AD" w:rsidP="00C004AD">
                  <w:pPr>
                    <w:spacing w:before="60" w:after="60"/>
                    <w:jc w:val="both"/>
                    <w:rPr>
                      <w:b/>
                      <w:color w:val="4472C4"/>
                    </w:rPr>
                  </w:pPr>
                  <w:r w:rsidRPr="007C60AF">
                    <w:rPr>
                      <w:b/>
                      <w:color w:val="4472C4"/>
                    </w:rPr>
                    <w:t>[1</w:t>
                  </w:r>
                  <w:r w:rsidR="003E3134" w:rsidRPr="007C60AF">
                    <w:rPr>
                      <w:b/>
                      <w:color w:val="4472C4"/>
                    </w:rPr>
                    <w:t>5</w:t>
                  </w:r>
                  <w:r w:rsidRPr="007C60AF">
                    <w:rPr>
                      <w:b/>
                      <w:color w:val="4472C4"/>
                    </w:rPr>
                    <w:t>m-20m]</w:t>
                  </w:r>
                </w:p>
              </w:tc>
              <w:tc>
                <w:tcPr>
                  <w:tcW w:w="1719" w:type="dxa"/>
                </w:tcPr>
                <w:p w14:paraId="00000C10" w14:textId="2110DD95" w:rsidR="00C004AD" w:rsidRPr="007C60AF" w:rsidRDefault="00C004AD" w:rsidP="00C004AD">
                  <w:pPr>
                    <w:spacing w:before="60" w:after="60"/>
                    <w:jc w:val="both"/>
                    <w:rPr>
                      <w:b/>
                      <w:color w:val="4472C4"/>
                    </w:rPr>
                  </w:pPr>
                  <w:r w:rsidRPr="007C60AF">
                    <w:rPr>
                      <w:b/>
                      <w:color w:val="4472C4"/>
                    </w:rPr>
                    <w:t>[20m-</w:t>
                  </w:r>
                  <w:r w:rsidR="003E3134" w:rsidRPr="007C60AF">
                    <w:rPr>
                      <w:b/>
                      <w:color w:val="4472C4"/>
                    </w:rPr>
                    <w:t>25</w:t>
                  </w:r>
                  <w:r w:rsidRPr="007C60AF">
                    <w:rPr>
                      <w:b/>
                      <w:color w:val="4472C4"/>
                    </w:rPr>
                    <w:t>m]</w:t>
                  </w:r>
                </w:p>
              </w:tc>
              <w:tc>
                <w:tcPr>
                  <w:tcW w:w="1720" w:type="dxa"/>
                </w:tcPr>
                <w:p w14:paraId="00000C11" w14:textId="4BF3FBC9" w:rsidR="00C004AD" w:rsidRPr="007C60AF" w:rsidRDefault="00C004AD" w:rsidP="00C004AD">
                  <w:pPr>
                    <w:spacing w:before="60" w:after="60"/>
                    <w:jc w:val="both"/>
                    <w:rPr>
                      <w:b/>
                      <w:color w:val="4472C4"/>
                    </w:rPr>
                  </w:pPr>
                  <w:r w:rsidRPr="007C60AF">
                    <w:rPr>
                      <w:b/>
                      <w:color w:val="4472C4"/>
                    </w:rPr>
                    <w:t>[20m-</w:t>
                  </w:r>
                  <w:r w:rsidR="003E3134" w:rsidRPr="007C60AF">
                    <w:rPr>
                      <w:b/>
                      <w:color w:val="4472C4"/>
                    </w:rPr>
                    <w:t>25</w:t>
                  </w:r>
                  <w:r w:rsidRPr="007C60AF">
                    <w:rPr>
                      <w:b/>
                      <w:color w:val="4472C4"/>
                    </w:rPr>
                    <w:t>m]</w:t>
                  </w:r>
                </w:p>
              </w:tc>
            </w:tr>
            <w:tr w:rsidR="00416D85" w:rsidRPr="007C60AF" w14:paraId="5053B486" w14:textId="77777777">
              <w:tc>
                <w:tcPr>
                  <w:tcW w:w="2044" w:type="dxa"/>
                  <w:shd w:val="clear" w:color="auto" w:fill="D0CECE"/>
                </w:tcPr>
                <w:p w14:paraId="00000C12" w14:textId="77777777" w:rsidR="00416D85" w:rsidRPr="007C60AF" w:rsidRDefault="00130320">
                  <w:pPr>
                    <w:spacing w:before="60" w:after="60"/>
                    <w:rPr>
                      <w:b/>
                      <w:color w:val="4472C4"/>
                    </w:rPr>
                  </w:pPr>
                  <w:r w:rsidRPr="007C60AF">
                    <w:rPr>
                      <w:b/>
                      <w:color w:val="4472C4"/>
                    </w:rPr>
                    <w:t>Overhead expenses</w:t>
                  </w:r>
                </w:p>
              </w:tc>
              <w:tc>
                <w:tcPr>
                  <w:tcW w:w="1719" w:type="dxa"/>
                </w:tcPr>
                <w:p w14:paraId="00000C13" w14:textId="0241E526" w:rsidR="00416D85" w:rsidRPr="007C60AF" w:rsidRDefault="00C004AD">
                  <w:pPr>
                    <w:spacing w:before="60" w:after="60"/>
                    <w:jc w:val="both"/>
                    <w:rPr>
                      <w:b/>
                      <w:color w:val="4472C4"/>
                    </w:rPr>
                  </w:pPr>
                  <w:r w:rsidRPr="007C60AF">
                    <w:rPr>
                      <w:b/>
                      <w:color w:val="4472C4"/>
                    </w:rPr>
                    <w:t>[30m-</w:t>
                  </w:r>
                  <w:r w:rsidR="003E3134" w:rsidRPr="007C60AF">
                    <w:rPr>
                      <w:b/>
                      <w:color w:val="4472C4"/>
                    </w:rPr>
                    <w:t>35</w:t>
                  </w:r>
                  <w:r w:rsidRPr="007C60AF">
                    <w:rPr>
                      <w:b/>
                      <w:color w:val="4472C4"/>
                    </w:rPr>
                    <w:t>m]</w:t>
                  </w:r>
                </w:p>
              </w:tc>
              <w:tc>
                <w:tcPr>
                  <w:tcW w:w="1719" w:type="dxa"/>
                </w:tcPr>
                <w:p w14:paraId="00000C14" w14:textId="75131CFD" w:rsidR="00416D85" w:rsidRPr="007C60AF" w:rsidRDefault="00C004AD">
                  <w:pPr>
                    <w:spacing w:before="60" w:after="60"/>
                    <w:jc w:val="both"/>
                    <w:rPr>
                      <w:b/>
                      <w:color w:val="4472C4"/>
                    </w:rPr>
                  </w:pPr>
                  <w:r w:rsidRPr="007C60AF">
                    <w:rPr>
                      <w:b/>
                      <w:color w:val="4472C4"/>
                    </w:rPr>
                    <w:t>[2</w:t>
                  </w:r>
                  <w:r w:rsidR="003E3134" w:rsidRPr="007C60AF">
                    <w:rPr>
                      <w:b/>
                      <w:color w:val="4472C4"/>
                    </w:rPr>
                    <w:t>5</w:t>
                  </w:r>
                  <w:r w:rsidRPr="007C60AF">
                    <w:rPr>
                      <w:b/>
                      <w:color w:val="4472C4"/>
                    </w:rPr>
                    <w:t>m-30m]</w:t>
                  </w:r>
                </w:p>
              </w:tc>
              <w:tc>
                <w:tcPr>
                  <w:tcW w:w="1719" w:type="dxa"/>
                </w:tcPr>
                <w:p w14:paraId="00000C15" w14:textId="74DCC098" w:rsidR="00416D85" w:rsidRPr="007C60AF" w:rsidRDefault="00C004AD">
                  <w:pPr>
                    <w:spacing w:before="60" w:after="60"/>
                    <w:jc w:val="both"/>
                    <w:rPr>
                      <w:b/>
                      <w:color w:val="4472C4"/>
                    </w:rPr>
                  </w:pPr>
                  <w:r w:rsidRPr="007C60AF">
                    <w:rPr>
                      <w:b/>
                      <w:color w:val="4472C4"/>
                    </w:rPr>
                    <w:t>[2</w:t>
                  </w:r>
                  <w:r w:rsidR="003E3134" w:rsidRPr="007C60AF">
                    <w:rPr>
                      <w:b/>
                      <w:color w:val="4472C4"/>
                    </w:rPr>
                    <w:t>5</w:t>
                  </w:r>
                  <w:r w:rsidRPr="007C60AF">
                    <w:rPr>
                      <w:b/>
                      <w:color w:val="4472C4"/>
                    </w:rPr>
                    <w:t>m-30m]</w:t>
                  </w:r>
                </w:p>
              </w:tc>
              <w:tc>
                <w:tcPr>
                  <w:tcW w:w="1720" w:type="dxa"/>
                </w:tcPr>
                <w:p w14:paraId="00000C16" w14:textId="11C280B2" w:rsidR="00416D85" w:rsidRPr="007C60AF" w:rsidRDefault="00C004AD">
                  <w:pPr>
                    <w:spacing w:before="60" w:after="60"/>
                    <w:jc w:val="both"/>
                    <w:rPr>
                      <w:b/>
                      <w:color w:val="4472C4"/>
                    </w:rPr>
                  </w:pPr>
                  <w:r w:rsidRPr="007C60AF">
                    <w:rPr>
                      <w:b/>
                      <w:color w:val="4472C4"/>
                    </w:rPr>
                    <w:t>[20m-</w:t>
                  </w:r>
                  <w:r w:rsidR="003E3134" w:rsidRPr="007C60AF">
                    <w:rPr>
                      <w:b/>
                      <w:color w:val="4472C4"/>
                    </w:rPr>
                    <w:t>25</w:t>
                  </w:r>
                  <w:r w:rsidRPr="007C60AF">
                    <w:rPr>
                      <w:b/>
                      <w:color w:val="4472C4"/>
                    </w:rPr>
                    <w:t>m]</w:t>
                  </w:r>
                </w:p>
              </w:tc>
            </w:tr>
            <w:tr w:rsidR="00416D85" w:rsidRPr="007C60AF" w14:paraId="36414E53" w14:textId="77777777">
              <w:tc>
                <w:tcPr>
                  <w:tcW w:w="2044" w:type="dxa"/>
                  <w:shd w:val="clear" w:color="auto" w:fill="D0CECE"/>
                </w:tcPr>
                <w:p w14:paraId="00000C17" w14:textId="77777777" w:rsidR="00416D85" w:rsidRPr="007C60AF" w:rsidRDefault="00130320">
                  <w:pPr>
                    <w:spacing w:before="60" w:after="60"/>
                    <w:jc w:val="both"/>
                    <w:rPr>
                      <w:b/>
                      <w:color w:val="4472C4"/>
                    </w:rPr>
                  </w:pPr>
                  <w:r w:rsidRPr="007C60AF">
                    <w:rPr>
                      <w:b/>
                      <w:color w:val="4472C4"/>
                    </w:rPr>
                    <w:t>SG&amp;A costs</w:t>
                  </w:r>
                </w:p>
              </w:tc>
              <w:tc>
                <w:tcPr>
                  <w:tcW w:w="1719" w:type="dxa"/>
                </w:tcPr>
                <w:p w14:paraId="00000C18" w14:textId="6C1F8CDB" w:rsidR="00416D85" w:rsidRPr="007C60AF" w:rsidRDefault="00C004AD">
                  <w:pPr>
                    <w:spacing w:before="60" w:after="60"/>
                    <w:jc w:val="both"/>
                    <w:rPr>
                      <w:b/>
                      <w:color w:val="4472C4"/>
                    </w:rPr>
                  </w:pPr>
                  <w:r w:rsidRPr="007C60AF">
                    <w:rPr>
                      <w:b/>
                      <w:color w:val="4472C4"/>
                    </w:rPr>
                    <w:t>[</w:t>
                  </w:r>
                  <w:r w:rsidR="003E3134" w:rsidRPr="007C60AF">
                    <w:rPr>
                      <w:b/>
                      <w:color w:val="4472C4"/>
                    </w:rPr>
                    <w:t>8</w:t>
                  </w:r>
                  <w:r w:rsidRPr="007C60AF">
                    <w:rPr>
                      <w:b/>
                      <w:color w:val="4472C4"/>
                    </w:rPr>
                    <w:t>m-</w:t>
                  </w:r>
                  <w:r w:rsidR="003E3134" w:rsidRPr="007C60AF">
                    <w:rPr>
                      <w:b/>
                      <w:color w:val="4472C4"/>
                    </w:rPr>
                    <w:t>9</w:t>
                  </w:r>
                  <w:r w:rsidRPr="007C60AF">
                    <w:rPr>
                      <w:b/>
                      <w:color w:val="4472C4"/>
                    </w:rPr>
                    <w:t>m]</w:t>
                  </w:r>
                </w:p>
              </w:tc>
              <w:tc>
                <w:tcPr>
                  <w:tcW w:w="1719" w:type="dxa"/>
                </w:tcPr>
                <w:p w14:paraId="00000C19" w14:textId="53705446" w:rsidR="00416D85" w:rsidRPr="007C60AF" w:rsidRDefault="00C004AD">
                  <w:pPr>
                    <w:spacing w:before="60" w:after="60"/>
                    <w:jc w:val="both"/>
                    <w:rPr>
                      <w:b/>
                      <w:color w:val="4472C4"/>
                    </w:rPr>
                  </w:pPr>
                  <w:r w:rsidRPr="007C60AF">
                    <w:rPr>
                      <w:b/>
                      <w:color w:val="4472C4"/>
                    </w:rPr>
                    <w:t>[30m-</w:t>
                  </w:r>
                  <w:r w:rsidR="003E3134" w:rsidRPr="007C60AF">
                    <w:rPr>
                      <w:b/>
                      <w:color w:val="4472C4"/>
                    </w:rPr>
                    <w:t>35</w:t>
                  </w:r>
                  <w:r w:rsidRPr="007C60AF">
                    <w:rPr>
                      <w:b/>
                      <w:color w:val="4472C4"/>
                    </w:rPr>
                    <w:t>m]</w:t>
                  </w:r>
                </w:p>
              </w:tc>
              <w:tc>
                <w:tcPr>
                  <w:tcW w:w="1719" w:type="dxa"/>
                </w:tcPr>
                <w:p w14:paraId="00000C1A" w14:textId="50D4EF6B" w:rsidR="00416D85" w:rsidRPr="007C60AF" w:rsidRDefault="00C004AD">
                  <w:pPr>
                    <w:spacing w:before="60" w:after="60"/>
                    <w:jc w:val="both"/>
                    <w:rPr>
                      <w:b/>
                      <w:color w:val="4472C4"/>
                    </w:rPr>
                  </w:pPr>
                  <w:r w:rsidRPr="007C60AF">
                    <w:rPr>
                      <w:b/>
                      <w:color w:val="4472C4"/>
                    </w:rPr>
                    <w:t>[40m-50m]</w:t>
                  </w:r>
                </w:p>
              </w:tc>
              <w:tc>
                <w:tcPr>
                  <w:tcW w:w="1720" w:type="dxa"/>
                </w:tcPr>
                <w:p w14:paraId="00000C1B" w14:textId="7AD47633" w:rsidR="00416D85" w:rsidRPr="007C60AF" w:rsidRDefault="00C004AD">
                  <w:pPr>
                    <w:spacing w:before="60" w:after="60"/>
                    <w:jc w:val="both"/>
                    <w:rPr>
                      <w:b/>
                      <w:color w:val="4472C4"/>
                    </w:rPr>
                  </w:pPr>
                  <w:r w:rsidRPr="007C60AF">
                    <w:rPr>
                      <w:b/>
                      <w:color w:val="4472C4"/>
                    </w:rPr>
                    <w:t>[30m-</w:t>
                  </w:r>
                  <w:r w:rsidR="003E3134" w:rsidRPr="007C60AF">
                    <w:rPr>
                      <w:b/>
                      <w:color w:val="4472C4"/>
                    </w:rPr>
                    <w:t>35</w:t>
                  </w:r>
                  <w:r w:rsidRPr="007C60AF">
                    <w:rPr>
                      <w:b/>
                      <w:color w:val="4472C4"/>
                    </w:rPr>
                    <w:t>m]</w:t>
                  </w:r>
                </w:p>
              </w:tc>
            </w:tr>
            <w:tr w:rsidR="00416D85" w:rsidRPr="007C60AF" w14:paraId="0266913C" w14:textId="77777777">
              <w:tc>
                <w:tcPr>
                  <w:tcW w:w="2044" w:type="dxa"/>
                  <w:shd w:val="clear" w:color="auto" w:fill="D0CECE"/>
                </w:tcPr>
                <w:p w14:paraId="00000C1C" w14:textId="77777777" w:rsidR="00416D85" w:rsidRPr="007C60AF" w:rsidRDefault="00130320">
                  <w:pPr>
                    <w:spacing w:before="60" w:after="60"/>
                    <w:jc w:val="both"/>
                    <w:rPr>
                      <w:b/>
                      <w:color w:val="4472C4"/>
                    </w:rPr>
                  </w:pPr>
                  <w:r w:rsidRPr="007C60AF">
                    <w:rPr>
                      <w:b/>
                      <w:color w:val="4472C4"/>
                    </w:rPr>
                    <w:t>Finance costs</w:t>
                  </w:r>
                </w:p>
              </w:tc>
              <w:tc>
                <w:tcPr>
                  <w:tcW w:w="1719" w:type="dxa"/>
                </w:tcPr>
                <w:p w14:paraId="00000C1D" w14:textId="292911AA" w:rsidR="00416D85" w:rsidRPr="007C60AF" w:rsidRDefault="00C004AD">
                  <w:pPr>
                    <w:spacing w:before="60" w:after="60"/>
                    <w:jc w:val="both"/>
                    <w:rPr>
                      <w:b/>
                      <w:color w:val="4472C4"/>
                    </w:rPr>
                  </w:pPr>
                  <w:r w:rsidRPr="007C60AF">
                    <w:rPr>
                      <w:b/>
                      <w:color w:val="4472C4"/>
                    </w:rPr>
                    <w:t>[600,000-800,000]</w:t>
                  </w:r>
                </w:p>
              </w:tc>
              <w:tc>
                <w:tcPr>
                  <w:tcW w:w="1719" w:type="dxa"/>
                </w:tcPr>
                <w:p w14:paraId="00000C1E" w14:textId="6F46C602" w:rsidR="00416D85" w:rsidRPr="007C60AF" w:rsidRDefault="00C004AD">
                  <w:pPr>
                    <w:spacing w:before="60" w:after="60"/>
                    <w:jc w:val="both"/>
                    <w:rPr>
                      <w:b/>
                      <w:color w:val="4472C4"/>
                    </w:rPr>
                  </w:pPr>
                  <w:r w:rsidRPr="007C60AF">
                    <w:rPr>
                      <w:b/>
                      <w:color w:val="4472C4"/>
                    </w:rPr>
                    <w:t>[1m-</w:t>
                  </w:r>
                  <w:r w:rsidR="003E3134" w:rsidRPr="007C60AF">
                    <w:rPr>
                      <w:b/>
                      <w:color w:val="4472C4"/>
                    </w:rPr>
                    <w:t>1.5</w:t>
                  </w:r>
                  <w:r w:rsidRPr="007C60AF">
                    <w:rPr>
                      <w:b/>
                      <w:color w:val="4472C4"/>
                    </w:rPr>
                    <w:t>m]</w:t>
                  </w:r>
                </w:p>
              </w:tc>
              <w:tc>
                <w:tcPr>
                  <w:tcW w:w="1719" w:type="dxa"/>
                </w:tcPr>
                <w:p w14:paraId="00000C1F" w14:textId="57EE8170" w:rsidR="00416D85" w:rsidRPr="007C60AF" w:rsidRDefault="00C004AD">
                  <w:pPr>
                    <w:spacing w:before="60" w:after="60"/>
                    <w:jc w:val="both"/>
                    <w:rPr>
                      <w:b/>
                      <w:color w:val="4472C4"/>
                    </w:rPr>
                  </w:pPr>
                  <w:r w:rsidRPr="007C60AF">
                    <w:rPr>
                      <w:b/>
                      <w:color w:val="4472C4"/>
                    </w:rPr>
                    <w:t>[1m-</w:t>
                  </w:r>
                  <w:r w:rsidR="00CD309E" w:rsidRPr="007C60AF">
                    <w:rPr>
                      <w:b/>
                      <w:color w:val="4472C4"/>
                    </w:rPr>
                    <w:t>1.</w:t>
                  </w:r>
                  <w:r w:rsidRPr="007C60AF">
                    <w:rPr>
                      <w:b/>
                      <w:color w:val="4472C4"/>
                    </w:rPr>
                    <w:t>5m]</w:t>
                  </w:r>
                </w:p>
              </w:tc>
              <w:tc>
                <w:tcPr>
                  <w:tcW w:w="1720" w:type="dxa"/>
                </w:tcPr>
                <w:p w14:paraId="00000C20" w14:textId="62CB4857" w:rsidR="00416D85" w:rsidRPr="007C60AF" w:rsidRDefault="00C004AD">
                  <w:pPr>
                    <w:spacing w:before="60" w:after="60"/>
                    <w:jc w:val="both"/>
                    <w:rPr>
                      <w:b/>
                      <w:color w:val="4472C4"/>
                    </w:rPr>
                  </w:pPr>
                  <w:r w:rsidRPr="007C60AF">
                    <w:rPr>
                      <w:b/>
                      <w:color w:val="4472C4"/>
                    </w:rPr>
                    <w:t>[</w:t>
                  </w:r>
                  <w:r w:rsidR="00CD309E" w:rsidRPr="007C60AF">
                    <w:rPr>
                      <w:b/>
                      <w:color w:val="4472C4"/>
                    </w:rPr>
                    <w:t>2.5</w:t>
                  </w:r>
                  <w:r w:rsidRPr="007C60AF">
                    <w:rPr>
                      <w:b/>
                      <w:color w:val="4472C4"/>
                    </w:rPr>
                    <w:t>m-</w:t>
                  </w:r>
                  <w:r w:rsidR="00CD309E" w:rsidRPr="007C60AF">
                    <w:rPr>
                      <w:b/>
                      <w:color w:val="4472C4"/>
                    </w:rPr>
                    <w:t>3</w:t>
                  </w:r>
                  <w:r w:rsidRPr="007C60AF">
                    <w:rPr>
                      <w:b/>
                      <w:color w:val="4472C4"/>
                    </w:rPr>
                    <w:t>m]</w:t>
                  </w:r>
                </w:p>
              </w:tc>
            </w:tr>
            <w:tr w:rsidR="00416D85" w:rsidRPr="007C60AF" w14:paraId="33DE5E6C" w14:textId="77777777">
              <w:tc>
                <w:tcPr>
                  <w:tcW w:w="2044" w:type="dxa"/>
                  <w:shd w:val="clear" w:color="auto" w:fill="D0CECE"/>
                </w:tcPr>
                <w:p w14:paraId="00000C21" w14:textId="77777777" w:rsidR="00416D85" w:rsidRPr="007C60AF" w:rsidRDefault="00130320">
                  <w:pPr>
                    <w:spacing w:before="60" w:after="60"/>
                    <w:jc w:val="both"/>
                    <w:rPr>
                      <w:b/>
                      <w:color w:val="4472C4"/>
                    </w:rPr>
                  </w:pPr>
                  <w:r w:rsidRPr="007C60AF">
                    <w:rPr>
                      <w:b/>
                      <w:color w:val="4472C4"/>
                    </w:rPr>
                    <w:t>Full production cost</w:t>
                  </w:r>
                </w:p>
              </w:tc>
              <w:tc>
                <w:tcPr>
                  <w:tcW w:w="1719" w:type="dxa"/>
                </w:tcPr>
                <w:p w14:paraId="00000C22" w14:textId="6048601B" w:rsidR="00416D85" w:rsidRPr="007C60AF" w:rsidRDefault="00C004AD">
                  <w:pPr>
                    <w:spacing w:before="60" w:after="60"/>
                    <w:jc w:val="both"/>
                    <w:rPr>
                      <w:b/>
                      <w:color w:val="4472C4"/>
                    </w:rPr>
                  </w:pPr>
                  <w:r w:rsidRPr="007C60AF">
                    <w:rPr>
                      <w:b/>
                      <w:color w:val="4472C4"/>
                    </w:rPr>
                    <w:t>[450m-500m]</w:t>
                  </w:r>
                </w:p>
              </w:tc>
              <w:tc>
                <w:tcPr>
                  <w:tcW w:w="1719" w:type="dxa"/>
                </w:tcPr>
                <w:p w14:paraId="00000C23" w14:textId="5DE36CD4" w:rsidR="00416D85" w:rsidRPr="007C60AF" w:rsidRDefault="00C004AD">
                  <w:pPr>
                    <w:spacing w:before="60" w:after="60"/>
                    <w:jc w:val="both"/>
                    <w:rPr>
                      <w:b/>
                      <w:color w:val="4472C4"/>
                    </w:rPr>
                  </w:pPr>
                  <w:r w:rsidRPr="007C60AF">
                    <w:rPr>
                      <w:b/>
                      <w:color w:val="4472C4"/>
                    </w:rPr>
                    <w:t>[600m-650m]</w:t>
                  </w:r>
                </w:p>
              </w:tc>
              <w:tc>
                <w:tcPr>
                  <w:tcW w:w="1719" w:type="dxa"/>
                </w:tcPr>
                <w:p w14:paraId="00000C24" w14:textId="66B5A84E" w:rsidR="00416D85" w:rsidRPr="007C60AF" w:rsidRDefault="00C004AD">
                  <w:pPr>
                    <w:spacing w:before="60" w:after="60"/>
                    <w:jc w:val="both"/>
                    <w:rPr>
                      <w:b/>
                      <w:color w:val="4472C4"/>
                    </w:rPr>
                  </w:pPr>
                  <w:r w:rsidRPr="007C60AF">
                    <w:rPr>
                      <w:b/>
                      <w:color w:val="4472C4"/>
                    </w:rPr>
                    <w:t>[800m-850m]</w:t>
                  </w:r>
                </w:p>
              </w:tc>
              <w:tc>
                <w:tcPr>
                  <w:tcW w:w="1720" w:type="dxa"/>
                </w:tcPr>
                <w:p w14:paraId="00000C25" w14:textId="7783158F" w:rsidR="00416D85" w:rsidRPr="007C60AF" w:rsidRDefault="00C004AD">
                  <w:pPr>
                    <w:spacing w:before="60" w:after="60"/>
                    <w:jc w:val="both"/>
                    <w:rPr>
                      <w:b/>
                      <w:color w:val="4472C4"/>
                    </w:rPr>
                  </w:pPr>
                  <w:r w:rsidRPr="007C60AF">
                    <w:rPr>
                      <w:b/>
                      <w:color w:val="4472C4"/>
                    </w:rPr>
                    <w:t>[500m-550m]</w:t>
                  </w:r>
                </w:p>
              </w:tc>
            </w:tr>
            <w:tr w:rsidR="00416D85" w:rsidRPr="007C60AF" w14:paraId="74D934D8" w14:textId="77777777">
              <w:tc>
                <w:tcPr>
                  <w:tcW w:w="2044" w:type="dxa"/>
                  <w:shd w:val="clear" w:color="auto" w:fill="D0CECE"/>
                </w:tcPr>
                <w:p w14:paraId="00000C26" w14:textId="77777777" w:rsidR="00416D85" w:rsidRPr="007C60AF" w:rsidRDefault="00130320">
                  <w:pPr>
                    <w:spacing w:before="60" w:after="60"/>
                    <w:jc w:val="both"/>
                    <w:rPr>
                      <w:b/>
                      <w:color w:val="4472C4"/>
                    </w:rPr>
                  </w:pPr>
                  <w:r w:rsidRPr="007C60AF">
                    <w:rPr>
                      <w:b/>
                      <w:color w:val="4472C4"/>
                    </w:rPr>
                    <w:t>Index: Q2 2020 - Q1 2021 = 100</w:t>
                  </w:r>
                </w:p>
              </w:tc>
              <w:tc>
                <w:tcPr>
                  <w:tcW w:w="1719" w:type="dxa"/>
                </w:tcPr>
                <w:p w14:paraId="00000C27" w14:textId="77777777" w:rsidR="00416D85" w:rsidRPr="007C60AF" w:rsidRDefault="00130320">
                  <w:pPr>
                    <w:spacing w:before="60" w:after="60"/>
                    <w:jc w:val="both"/>
                    <w:rPr>
                      <w:b/>
                      <w:color w:val="4472C4"/>
                    </w:rPr>
                  </w:pPr>
                  <w:r w:rsidRPr="007C60AF">
                    <w:rPr>
                      <w:b/>
                      <w:color w:val="4472C4"/>
                    </w:rPr>
                    <w:t>100</w:t>
                  </w:r>
                </w:p>
              </w:tc>
              <w:tc>
                <w:tcPr>
                  <w:tcW w:w="1719" w:type="dxa"/>
                </w:tcPr>
                <w:p w14:paraId="00000C28" w14:textId="77777777" w:rsidR="00416D85" w:rsidRPr="007C60AF" w:rsidRDefault="00130320">
                  <w:pPr>
                    <w:spacing w:before="60" w:after="60"/>
                    <w:jc w:val="both"/>
                    <w:rPr>
                      <w:b/>
                      <w:color w:val="4472C4"/>
                    </w:rPr>
                  </w:pPr>
                  <w:r w:rsidRPr="007C60AF">
                    <w:rPr>
                      <w:b/>
                      <w:color w:val="4472C4"/>
                    </w:rPr>
                    <w:t>134</w:t>
                  </w:r>
                </w:p>
              </w:tc>
              <w:tc>
                <w:tcPr>
                  <w:tcW w:w="1719" w:type="dxa"/>
                </w:tcPr>
                <w:p w14:paraId="00000C29" w14:textId="77777777" w:rsidR="00416D85" w:rsidRPr="007C60AF" w:rsidRDefault="00130320">
                  <w:pPr>
                    <w:spacing w:before="60" w:after="60"/>
                    <w:jc w:val="both"/>
                    <w:rPr>
                      <w:b/>
                      <w:color w:val="4472C4"/>
                    </w:rPr>
                  </w:pPr>
                  <w:r w:rsidRPr="007C60AF">
                    <w:rPr>
                      <w:b/>
                      <w:color w:val="4472C4"/>
                    </w:rPr>
                    <w:t>178</w:t>
                  </w:r>
                </w:p>
              </w:tc>
              <w:tc>
                <w:tcPr>
                  <w:tcW w:w="1720" w:type="dxa"/>
                </w:tcPr>
                <w:p w14:paraId="00000C2A" w14:textId="77777777" w:rsidR="00416D85" w:rsidRPr="007C60AF" w:rsidRDefault="00130320">
                  <w:pPr>
                    <w:spacing w:before="60" w:after="60"/>
                    <w:jc w:val="both"/>
                    <w:rPr>
                      <w:b/>
                      <w:color w:val="4472C4"/>
                    </w:rPr>
                  </w:pPr>
                  <w:r w:rsidRPr="007C60AF">
                    <w:rPr>
                      <w:b/>
                      <w:color w:val="4472C4"/>
                    </w:rPr>
                    <w:t>117</w:t>
                  </w:r>
                </w:p>
              </w:tc>
            </w:tr>
          </w:tbl>
          <w:p w14:paraId="00000C2B" w14:textId="77777777" w:rsidR="00416D85" w:rsidRPr="007C60AF" w:rsidRDefault="00416D85">
            <w:pPr>
              <w:spacing w:after="0"/>
              <w:jc w:val="both"/>
              <w:rPr>
                <w:i/>
                <w:color w:val="4472C4"/>
              </w:rPr>
            </w:pPr>
          </w:p>
          <w:p w14:paraId="00000C2C" w14:textId="77777777" w:rsidR="00416D85" w:rsidRPr="007C60AF" w:rsidRDefault="00130320">
            <w:pPr>
              <w:spacing w:after="0"/>
              <w:jc w:val="both"/>
              <w:rPr>
                <w:i/>
                <w:color w:val="4472C4"/>
              </w:rPr>
            </w:pPr>
            <w:r w:rsidRPr="007C60AF">
              <w:rPr>
                <w:i/>
                <w:color w:val="4472C4"/>
              </w:rPr>
              <w:t>Table 37: Costs of production (GBP) for Q2 2023 – Q2 2024</w:t>
            </w:r>
          </w:p>
          <w:p w14:paraId="00000C2D" w14:textId="77777777" w:rsidR="00416D85" w:rsidRPr="007C60AF" w:rsidRDefault="00416D85">
            <w:pPr>
              <w:spacing w:after="0"/>
              <w:jc w:val="both"/>
              <w:rPr>
                <w:b/>
                <w:i/>
                <w:color w:val="4472C4"/>
              </w:rPr>
            </w:pPr>
          </w:p>
          <w:tbl>
            <w:tblPr>
              <w:tblStyle w:val="affffffff6"/>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1407"/>
              <w:gridCol w:w="1407"/>
              <w:gridCol w:w="1408"/>
              <w:gridCol w:w="1408"/>
              <w:gridCol w:w="1408"/>
            </w:tblGrid>
            <w:tr w:rsidR="00416D85" w:rsidRPr="007C60AF" w14:paraId="4BCD2A9E" w14:textId="77777777">
              <w:tc>
                <w:tcPr>
                  <w:tcW w:w="1883" w:type="dxa"/>
                  <w:shd w:val="clear" w:color="auto" w:fill="D0CECE"/>
                </w:tcPr>
                <w:p w14:paraId="00000C2E" w14:textId="77777777" w:rsidR="00416D85" w:rsidRPr="007C60AF" w:rsidRDefault="00416D85">
                  <w:pPr>
                    <w:spacing w:before="60" w:after="60"/>
                    <w:jc w:val="both"/>
                    <w:rPr>
                      <w:b/>
                      <w:color w:val="4472C4"/>
                    </w:rPr>
                  </w:pPr>
                </w:p>
              </w:tc>
              <w:tc>
                <w:tcPr>
                  <w:tcW w:w="1407" w:type="dxa"/>
                  <w:shd w:val="clear" w:color="auto" w:fill="D0CECE"/>
                </w:tcPr>
                <w:p w14:paraId="00000C2F" w14:textId="77777777" w:rsidR="00416D85" w:rsidRPr="007C60AF" w:rsidRDefault="00130320">
                  <w:pPr>
                    <w:spacing w:before="60" w:after="60"/>
                    <w:jc w:val="both"/>
                    <w:rPr>
                      <w:b/>
                      <w:color w:val="4472C4"/>
                    </w:rPr>
                  </w:pPr>
                  <w:r w:rsidRPr="007C60AF">
                    <w:rPr>
                      <w:b/>
                      <w:color w:val="4472C4"/>
                    </w:rPr>
                    <w:t>Q2 2023</w:t>
                  </w:r>
                </w:p>
              </w:tc>
              <w:tc>
                <w:tcPr>
                  <w:tcW w:w="1407" w:type="dxa"/>
                  <w:shd w:val="clear" w:color="auto" w:fill="D0CECE"/>
                </w:tcPr>
                <w:p w14:paraId="00000C30" w14:textId="77777777" w:rsidR="00416D85" w:rsidRPr="007C60AF" w:rsidRDefault="00130320">
                  <w:pPr>
                    <w:spacing w:before="60" w:after="60"/>
                    <w:jc w:val="both"/>
                    <w:rPr>
                      <w:b/>
                      <w:color w:val="4472C4"/>
                    </w:rPr>
                  </w:pPr>
                  <w:r w:rsidRPr="007C60AF">
                    <w:rPr>
                      <w:b/>
                      <w:color w:val="4472C4"/>
                    </w:rPr>
                    <w:t>Q3 2023</w:t>
                  </w:r>
                </w:p>
              </w:tc>
              <w:tc>
                <w:tcPr>
                  <w:tcW w:w="1408" w:type="dxa"/>
                  <w:shd w:val="clear" w:color="auto" w:fill="D0CECE"/>
                </w:tcPr>
                <w:p w14:paraId="00000C31" w14:textId="77777777" w:rsidR="00416D85" w:rsidRPr="007C60AF" w:rsidRDefault="00130320">
                  <w:pPr>
                    <w:spacing w:before="60" w:after="60"/>
                    <w:jc w:val="both"/>
                    <w:rPr>
                      <w:b/>
                      <w:color w:val="4472C4"/>
                    </w:rPr>
                  </w:pPr>
                  <w:r w:rsidRPr="007C60AF">
                    <w:rPr>
                      <w:b/>
                      <w:color w:val="4472C4"/>
                    </w:rPr>
                    <w:t>Q4 2023</w:t>
                  </w:r>
                </w:p>
              </w:tc>
              <w:tc>
                <w:tcPr>
                  <w:tcW w:w="1408" w:type="dxa"/>
                  <w:shd w:val="clear" w:color="auto" w:fill="D0CECE"/>
                </w:tcPr>
                <w:p w14:paraId="00000C32" w14:textId="77777777" w:rsidR="00416D85" w:rsidRPr="007C60AF" w:rsidRDefault="00130320">
                  <w:pPr>
                    <w:spacing w:before="60" w:after="60"/>
                    <w:jc w:val="both"/>
                    <w:rPr>
                      <w:b/>
                      <w:color w:val="4472C4"/>
                    </w:rPr>
                  </w:pPr>
                  <w:r w:rsidRPr="007C60AF">
                    <w:rPr>
                      <w:b/>
                      <w:color w:val="4472C4"/>
                    </w:rPr>
                    <w:t>Q1 2024</w:t>
                  </w:r>
                </w:p>
              </w:tc>
              <w:tc>
                <w:tcPr>
                  <w:tcW w:w="1408" w:type="dxa"/>
                  <w:shd w:val="clear" w:color="auto" w:fill="D0CECE"/>
                </w:tcPr>
                <w:p w14:paraId="00000C33" w14:textId="77777777" w:rsidR="00416D85" w:rsidRPr="007C60AF" w:rsidRDefault="00130320">
                  <w:pPr>
                    <w:spacing w:before="60" w:after="60"/>
                    <w:jc w:val="both"/>
                    <w:rPr>
                      <w:b/>
                      <w:color w:val="4472C4"/>
                    </w:rPr>
                  </w:pPr>
                  <w:r w:rsidRPr="007C60AF">
                    <w:rPr>
                      <w:b/>
                      <w:color w:val="4472C4"/>
                    </w:rPr>
                    <w:t>Q2 2024</w:t>
                  </w:r>
                </w:p>
              </w:tc>
            </w:tr>
            <w:tr w:rsidR="00C004AD" w:rsidRPr="007C60AF" w14:paraId="18E8DBD3" w14:textId="77777777">
              <w:tc>
                <w:tcPr>
                  <w:tcW w:w="1883" w:type="dxa"/>
                  <w:shd w:val="clear" w:color="auto" w:fill="D0CECE"/>
                </w:tcPr>
                <w:p w14:paraId="00000C34" w14:textId="77777777" w:rsidR="00C004AD" w:rsidRPr="007C60AF" w:rsidRDefault="00C004AD" w:rsidP="00C004AD">
                  <w:pPr>
                    <w:spacing w:before="60" w:after="60"/>
                    <w:jc w:val="both"/>
                    <w:rPr>
                      <w:b/>
                      <w:color w:val="4472C4"/>
                    </w:rPr>
                  </w:pPr>
                  <w:r w:rsidRPr="007C60AF">
                    <w:rPr>
                      <w:b/>
                      <w:color w:val="4472C4"/>
                    </w:rPr>
                    <w:t>Full manufacturing costs</w:t>
                  </w:r>
                </w:p>
              </w:tc>
              <w:tc>
                <w:tcPr>
                  <w:tcW w:w="1407" w:type="dxa"/>
                </w:tcPr>
                <w:p w14:paraId="00000C35" w14:textId="15997B6C" w:rsidR="00C004AD" w:rsidRPr="007C60AF" w:rsidRDefault="00C004AD" w:rsidP="00C004AD">
                  <w:pPr>
                    <w:spacing w:before="60" w:after="60"/>
                    <w:jc w:val="both"/>
                    <w:rPr>
                      <w:b/>
                      <w:color w:val="4472C4"/>
                    </w:rPr>
                  </w:pPr>
                  <w:r w:rsidRPr="007C60AF">
                    <w:rPr>
                      <w:b/>
                      <w:color w:val="4472C4"/>
                    </w:rPr>
                    <w:t>[100m-150m]</w:t>
                  </w:r>
                </w:p>
              </w:tc>
              <w:tc>
                <w:tcPr>
                  <w:tcW w:w="1407" w:type="dxa"/>
                </w:tcPr>
                <w:p w14:paraId="00000C36" w14:textId="7FFD59A4" w:rsidR="00C004AD" w:rsidRPr="007C60AF" w:rsidRDefault="00C004AD" w:rsidP="00C004AD">
                  <w:pPr>
                    <w:spacing w:before="60" w:after="60"/>
                    <w:jc w:val="both"/>
                    <w:rPr>
                      <w:b/>
                      <w:color w:val="4472C4"/>
                    </w:rPr>
                  </w:pPr>
                  <w:r w:rsidRPr="007C60AF">
                    <w:rPr>
                      <w:b/>
                      <w:color w:val="4472C4"/>
                    </w:rPr>
                    <w:t>[100m-150m]</w:t>
                  </w:r>
                </w:p>
              </w:tc>
              <w:tc>
                <w:tcPr>
                  <w:tcW w:w="1408" w:type="dxa"/>
                </w:tcPr>
                <w:p w14:paraId="00000C37" w14:textId="7A9979F4" w:rsidR="00C004AD" w:rsidRPr="007C60AF" w:rsidRDefault="00C004AD" w:rsidP="00C004AD">
                  <w:pPr>
                    <w:spacing w:before="60" w:after="60"/>
                    <w:jc w:val="both"/>
                    <w:rPr>
                      <w:b/>
                      <w:color w:val="4472C4"/>
                    </w:rPr>
                  </w:pPr>
                  <w:r w:rsidRPr="007C60AF">
                    <w:rPr>
                      <w:b/>
                      <w:color w:val="4472C4"/>
                    </w:rPr>
                    <w:t>[100m-150m]</w:t>
                  </w:r>
                </w:p>
              </w:tc>
              <w:tc>
                <w:tcPr>
                  <w:tcW w:w="1408" w:type="dxa"/>
                </w:tcPr>
                <w:p w14:paraId="00000C38" w14:textId="31438BB2" w:rsidR="00C004AD" w:rsidRPr="007C60AF" w:rsidRDefault="00C004AD" w:rsidP="00C004AD">
                  <w:pPr>
                    <w:spacing w:before="60" w:after="60"/>
                    <w:jc w:val="both"/>
                    <w:rPr>
                      <w:b/>
                      <w:color w:val="4472C4"/>
                    </w:rPr>
                  </w:pPr>
                  <w:r w:rsidRPr="007C60AF">
                    <w:rPr>
                      <w:b/>
                      <w:color w:val="4472C4"/>
                    </w:rPr>
                    <w:t>[100m-150m]</w:t>
                  </w:r>
                </w:p>
              </w:tc>
              <w:tc>
                <w:tcPr>
                  <w:tcW w:w="1408" w:type="dxa"/>
                </w:tcPr>
                <w:p w14:paraId="00000C39" w14:textId="4965A8A2" w:rsidR="00C004AD" w:rsidRPr="007C60AF" w:rsidRDefault="00C004AD" w:rsidP="00C004AD">
                  <w:pPr>
                    <w:spacing w:before="60" w:after="60"/>
                    <w:jc w:val="both"/>
                    <w:rPr>
                      <w:b/>
                      <w:color w:val="4472C4"/>
                    </w:rPr>
                  </w:pPr>
                  <w:r w:rsidRPr="007C60AF">
                    <w:rPr>
                      <w:b/>
                      <w:color w:val="4472C4"/>
                    </w:rPr>
                    <w:t>[90m-100m]</w:t>
                  </w:r>
                </w:p>
              </w:tc>
            </w:tr>
            <w:tr w:rsidR="00416D85" w:rsidRPr="007C60AF" w14:paraId="3845DAC3" w14:textId="77777777">
              <w:tc>
                <w:tcPr>
                  <w:tcW w:w="1883" w:type="dxa"/>
                  <w:shd w:val="clear" w:color="auto" w:fill="D0CECE"/>
                </w:tcPr>
                <w:p w14:paraId="00000C3A" w14:textId="77777777" w:rsidR="00416D85" w:rsidRPr="007C60AF" w:rsidRDefault="00130320">
                  <w:pPr>
                    <w:spacing w:before="60" w:after="60"/>
                    <w:rPr>
                      <w:b/>
                      <w:color w:val="4472C4"/>
                    </w:rPr>
                  </w:pPr>
                  <w:r w:rsidRPr="007C60AF">
                    <w:rPr>
                      <w:b/>
                      <w:color w:val="4472C4"/>
                    </w:rPr>
                    <w:t>Raw materials</w:t>
                  </w:r>
                </w:p>
              </w:tc>
              <w:tc>
                <w:tcPr>
                  <w:tcW w:w="1407" w:type="dxa"/>
                </w:tcPr>
                <w:p w14:paraId="00000C3B" w14:textId="5A0601DC" w:rsidR="00416D85" w:rsidRPr="007C60AF" w:rsidRDefault="00C004AD">
                  <w:pPr>
                    <w:spacing w:before="60" w:after="60"/>
                    <w:jc w:val="both"/>
                    <w:rPr>
                      <w:b/>
                      <w:color w:val="4472C4"/>
                    </w:rPr>
                  </w:pPr>
                  <w:r w:rsidRPr="007C60AF">
                    <w:rPr>
                      <w:b/>
                      <w:color w:val="4472C4"/>
                    </w:rPr>
                    <w:t>[100m-150m]</w:t>
                  </w:r>
                </w:p>
              </w:tc>
              <w:tc>
                <w:tcPr>
                  <w:tcW w:w="1407" w:type="dxa"/>
                </w:tcPr>
                <w:p w14:paraId="00000C3C" w14:textId="6E7E1B81" w:rsidR="00416D85" w:rsidRPr="007C60AF" w:rsidRDefault="00C004AD">
                  <w:pPr>
                    <w:spacing w:before="60" w:after="60"/>
                    <w:jc w:val="both"/>
                    <w:rPr>
                      <w:b/>
                      <w:color w:val="4472C4"/>
                    </w:rPr>
                  </w:pPr>
                  <w:r w:rsidRPr="007C60AF">
                    <w:rPr>
                      <w:b/>
                      <w:color w:val="4472C4"/>
                    </w:rPr>
                    <w:t>[90m-100m]</w:t>
                  </w:r>
                </w:p>
              </w:tc>
              <w:tc>
                <w:tcPr>
                  <w:tcW w:w="1408" w:type="dxa"/>
                </w:tcPr>
                <w:p w14:paraId="00000C3D" w14:textId="22D95F57" w:rsidR="00416D85" w:rsidRPr="007C60AF" w:rsidRDefault="00C004AD">
                  <w:pPr>
                    <w:spacing w:before="60" w:after="60"/>
                    <w:jc w:val="both"/>
                    <w:rPr>
                      <w:b/>
                      <w:color w:val="4472C4"/>
                    </w:rPr>
                  </w:pPr>
                  <w:r w:rsidRPr="007C60AF">
                    <w:rPr>
                      <w:b/>
                      <w:color w:val="4472C4"/>
                    </w:rPr>
                    <w:t>[100m-150m]</w:t>
                  </w:r>
                </w:p>
              </w:tc>
              <w:tc>
                <w:tcPr>
                  <w:tcW w:w="1408" w:type="dxa"/>
                </w:tcPr>
                <w:p w14:paraId="00000C3E" w14:textId="40FFA669" w:rsidR="00416D85" w:rsidRPr="007C60AF" w:rsidRDefault="00C004AD">
                  <w:pPr>
                    <w:spacing w:before="60" w:after="60"/>
                    <w:jc w:val="both"/>
                    <w:rPr>
                      <w:b/>
                      <w:color w:val="4472C4"/>
                    </w:rPr>
                  </w:pPr>
                  <w:r w:rsidRPr="007C60AF">
                    <w:rPr>
                      <w:b/>
                      <w:color w:val="4472C4"/>
                    </w:rPr>
                    <w:t>[90m-100m]</w:t>
                  </w:r>
                </w:p>
              </w:tc>
              <w:tc>
                <w:tcPr>
                  <w:tcW w:w="1408" w:type="dxa"/>
                </w:tcPr>
                <w:p w14:paraId="00000C3F" w14:textId="6D5E33CB" w:rsidR="00416D85" w:rsidRPr="007C60AF" w:rsidRDefault="00C004AD">
                  <w:pPr>
                    <w:spacing w:before="60" w:after="60"/>
                    <w:jc w:val="both"/>
                    <w:rPr>
                      <w:b/>
                      <w:color w:val="4472C4"/>
                    </w:rPr>
                  </w:pPr>
                  <w:r w:rsidRPr="007C60AF">
                    <w:rPr>
                      <w:b/>
                      <w:color w:val="4472C4"/>
                    </w:rPr>
                    <w:t>[</w:t>
                  </w:r>
                  <w:r w:rsidR="00130320" w:rsidRPr="007C60AF">
                    <w:rPr>
                      <w:b/>
                      <w:color w:val="4472C4"/>
                    </w:rPr>
                    <w:t>70</w:t>
                  </w:r>
                  <w:r w:rsidRPr="007C60AF">
                    <w:rPr>
                      <w:b/>
                      <w:color w:val="4472C4"/>
                    </w:rPr>
                    <w:t>m-80m]</w:t>
                  </w:r>
                </w:p>
              </w:tc>
            </w:tr>
            <w:tr w:rsidR="00416D85" w:rsidRPr="007C60AF" w14:paraId="6AE62BA7" w14:textId="77777777">
              <w:tc>
                <w:tcPr>
                  <w:tcW w:w="1883" w:type="dxa"/>
                  <w:shd w:val="clear" w:color="auto" w:fill="D0CECE"/>
                </w:tcPr>
                <w:p w14:paraId="00000C40" w14:textId="77777777" w:rsidR="00416D85" w:rsidRPr="007C60AF" w:rsidRDefault="00130320">
                  <w:pPr>
                    <w:spacing w:before="60" w:after="60"/>
                    <w:rPr>
                      <w:b/>
                      <w:color w:val="4472C4"/>
                    </w:rPr>
                  </w:pPr>
                  <w:r w:rsidRPr="007C60AF">
                    <w:rPr>
                      <w:b/>
                      <w:color w:val="4472C4"/>
                    </w:rPr>
                    <w:t>Labour costs</w:t>
                  </w:r>
                </w:p>
              </w:tc>
              <w:tc>
                <w:tcPr>
                  <w:tcW w:w="1407" w:type="dxa"/>
                </w:tcPr>
                <w:p w14:paraId="00000C41" w14:textId="3F0EB0EC" w:rsidR="00416D85" w:rsidRPr="007C60AF" w:rsidRDefault="00C004AD">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c>
                <w:tcPr>
                  <w:tcW w:w="1407" w:type="dxa"/>
                </w:tcPr>
                <w:p w14:paraId="00000C42" w14:textId="35CA9A52" w:rsidR="00416D85" w:rsidRPr="007C60AF" w:rsidRDefault="00C004AD">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c>
                <w:tcPr>
                  <w:tcW w:w="1408" w:type="dxa"/>
                </w:tcPr>
                <w:p w14:paraId="00000C43" w14:textId="07333703" w:rsidR="00416D85" w:rsidRPr="007C60AF" w:rsidRDefault="00C004AD">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c>
                <w:tcPr>
                  <w:tcW w:w="1408" w:type="dxa"/>
                </w:tcPr>
                <w:p w14:paraId="00000C44" w14:textId="796139FE" w:rsidR="00416D85" w:rsidRPr="007C60AF" w:rsidRDefault="00C004AD">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c>
                <w:tcPr>
                  <w:tcW w:w="1408" w:type="dxa"/>
                </w:tcPr>
                <w:p w14:paraId="00000C45" w14:textId="446BF6F6" w:rsidR="00416D85" w:rsidRPr="007C60AF" w:rsidRDefault="00C004AD">
                  <w:pPr>
                    <w:spacing w:before="60" w:after="60"/>
                    <w:jc w:val="both"/>
                    <w:rPr>
                      <w:b/>
                      <w:color w:val="4472C4"/>
                    </w:rPr>
                  </w:pPr>
                  <w:r w:rsidRPr="007C60AF">
                    <w:rPr>
                      <w:b/>
                      <w:color w:val="4472C4"/>
                    </w:rPr>
                    <w:t>[</w:t>
                  </w:r>
                  <w:r w:rsidR="00CD309E" w:rsidRPr="007C60AF">
                    <w:rPr>
                      <w:b/>
                      <w:color w:val="4472C4"/>
                    </w:rPr>
                    <w:t>2.5</w:t>
                  </w:r>
                  <w:r w:rsidRPr="007C60AF">
                    <w:rPr>
                      <w:b/>
                      <w:color w:val="4472C4"/>
                    </w:rPr>
                    <w:t>m-</w:t>
                  </w:r>
                  <w:r w:rsidR="00CD309E" w:rsidRPr="007C60AF">
                    <w:rPr>
                      <w:b/>
                      <w:color w:val="4472C4"/>
                    </w:rPr>
                    <w:t>3</w:t>
                  </w:r>
                  <w:r w:rsidRPr="007C60AF">
                    <w:rPr>
                      <w:b/>
                      <w:color w:val="4472C4"/>
                    </w:rPr>
                    <w:t>m]</w:t>
                  </w:r>
                </w:p>
              </w:tc>
            </w:tr>
            <w:tr w:rsidR="00416D85" w:rsidRPr="007C60AF" w14:paraId="1B258415" w14:textId="77777777">
              <w:tc>
                <w:tcPr>
                  <w:tcW w:w="1883" w:type="dxa"/>
                  <w:shd w:val="clear" w:color="auto" w:fill="D0CECE"/>
                </w:tcPr>
                <w:p w14:paraId="00000C46" w14:textId="77777777" w:rsidR="00416D85" w:rsidRPr="007C60AF" w:rsidRDefault="00130320">
                  <w:pPr>
                    <w:spacing w:before="60" w:after="60"/>
                    <w:rPr>
                      <w:b/>
                      <w:color w:val="4472C4"/>
                    </w:rPr>
                  </w:pPr>
                  <w:r w:rsidRPr="007C60AF">
                    <w:rPr>
                      <w:b/>
                      <w:color w:val="4472C4"/>
                    </w:rPr>
                    <w:t>Energy costs</w:t>
                  </w:r>
                </w:p>
              </w:tc>
              <w:tc>
                <w:tcPr>
                  <w:tcW w:w="1407" w:type="dxa"/>
                </w:tcPr>
                <w:p w14:paraId="00000C47" w14:textId="1F27ABDE" w:rsidR="00416D85" w:rsidRPr="007C60AF" w:rsidRDefault="00C004AD">
                  <w:pPr>
                    <w:spacing w:before="60" w:after="60"/>
                    <w:jc w:val="both"/>
                    <w:rPr>
                      <w:b/>
                      <w:color w:val="4472C4"/>
                    </w:rPr>
                  </w:pPr>
                  <w:r w:rsidRPr="007C60AF">
                    <w:rPr>
                      <w:b/>
                      <w:color w:val="4472C4"/>
                    </w:rPr>
                    <w:t>[</w:t>
                  </w:r>
                  <w:r w:rsidR="00CD309E" w:rsidRPr="007C60AF">
                    <w:rPr>
                      <w:b/>
                      <w:color w:val="4472C4"/>
                    </w:rPr>
                    <w:t>6</w:t>
                  </w:r>
                  <w:r w:rsidRPr="007C60AF">
                    <w:rPr>
                      <w:b/>
                      <w:color w:val="4472C4"/>
                    </w:rPr>
                    <w:t>m-</w:t>
                  </w:r>
                  <w:r w:rsidR="00CD309E" w:rsidRPr="007C60AF">
                    <w:rPr>
                      <w:b/>
                      <w:color w:val="4472C4"/>
                    </w:rPr>
                    <w:t>7</w:t>
                  </w:r>
                  <w:r w:rsidRPr="007C60AF">
                    <w:rPr>
                      <w:b/>
                      <w:color w:val="4472C4"/>
                    </w:rPr>
                    <w:t>m]</w:t>
                  </w:r>
                </w:p>
              </w:tc>
              <w:tc>
                <w:tcPr>
                  <w:tcW w:w="1407" w:type="dxa"/>
                </w:tcPr>
                <w:p w14:paraId="00000C48" w14:textId="24EA166A" w:rsidR="00416D85" w:rsidRPr="007C60AF" w:rsidRDefault="00EB4771">
                  <w:pPr>
                    <w:spacing w:before="60" w:after="60"/>
                    <w:jc w:val="both"/>
                    <w:rPr>
                      <w:b/>
                      <w:color w:val="4472C4"/>
                    </w:rPr>
                  </w:pPr>
                  <w:r w:rsidRPr="007C60AF">
                    <w:rPr>
                      <w:b/>
                      <w:color w:val="4472C4"/>
                    </w:rPr>
                    <w:t>[5m-</w:t>
                  </w:r>
                  <w:r w:rsidR="00CD309E" w:rsidRPr="007C60AF">
                    <w:rPr>
                      <w:b/>
                      <w:color w:val="4472C4"/>
                    </w:rPr>
                    <w:t>6</w:t>
                  </w:r>
                  <w:r w:rsidRPr="007C60AF">
                    <w:rPr>
                      <w:b/>
                      <w:color w:val="4472C4"/>
                    </w:rPr>
                    <w:t>m]</w:t>
                  </w:r>
                </w:p>
              </w:tc>
              <w:tc>
                <w:tcPr>
                  <w:tcW w:w="1408" w:type="dxa"/>
                </w:tcPr>
                <w:p w14:paraId="00000C49" w14:textId="445A5731" w:rsidR="00416D85" w:rsidRPr="007C60AF" w:rsidRDefault="00EB4771">
                  <w:pPr>
                    <w:spacing w:before="60" w:after="60"/>
                    <w:jc w:val="both"/>
                    <w:rPr>
                      <w:b/>
                      <w:color w:val="4472C4"/>
                    </w:rPr>
                  </w:pPr>
                  <w:r w:rsidRPr="007C60AF">
                    <w:rPr>
                      <w:b/>
                      <w:color w:val="4472C4"/>
                    </w:rPr>
                    <w:t>[</w:t>
                  </w:r>
                  <w:r w:rsidR="00CD309E" w:rsidRPr="007C60AF">
                    <w:rPr>
                      <w:b/>
                      <w:color w:val="4472C4"/>
                    </w:rPr>
                    <w:t>6</w:t>
                  </w:r>
                  <w:r w:rsidRPr="007C60AF">
                    <w:rPr>
                      <w:b/>
                      <w:color w:val="4472C4"/>
                    </w:rPr>
                    <w:t>m-</w:t>
                  </w:r>
                  <w:r w:rsidR="00CD309E" w:rsidRPr="007C60AF">
                    <w:rPr>
                      <w:b/>
                      <w:color w:val="4472C4"/>
                    </w:rPr>
                    <w:t>7</w:t>
                  </w:r>
                  <w:r w:rsidRPr="007C60AF">
                    <w:rPr>
                      <w:b/>
                      <w:color w:val="4472C4"/>
                    </w:rPr>
                    <w:t>m]</w:t>
                  </w:r>
                </w:p>
              </w:tc>
              <w:tc>
                <w:tcPr>
                  <w:tcW w:w="1408" w:type="dxa"/>
                </w:tcPr>
                <w:p w14:paraId="00000C4A" w14:textId="37D356C7" w:rsidR="00416D85" w:rsidRPr="007C60AF" w:rsidRDefault="00EB4771">
                  <w:pPr>
                    <w:spacing w:before="60" w:after="60"/>
                    <w:jc w:val="both"/>
                    <w:rPr>
                      <w:b/>
                      <w:color w:val="4472C4"/>
                    </w:rPr>
                  </w:pPr>
                  <w:r w:rsidRPr="007C60AF">
                    <w:rPr>
                      <w:b/>
                      <w:color w:val="4472C4"/>
                    </w:rPr>
                    <w:t>[5m-</w:t>
                  </w:r>
                  <w:r w:rsidR="00CD309E" w:rsidRPr="007C60AF">
                    <w:rPr>
                      <w:b/>
                      <w:color w:val="4472C4"/>
                    </w:rPr>
                    <w:t>6</w:t>
                  </w:r>
                  <w:r w:rsidRPr="007C60AF">
                    <w:rPr>
                      <w:b/>
                      <w:color w:val="4472C4"/>
                    </w:rPr>
                    <w:t>m]</w:t>
                  </w:r>
                </w:p>
              </w:tc>
              <w:tc>
                <w:tcPr>
                  <w:tcW w:w="1408" w:type="dxa"/>
                </w:tcPr>
                <w:p w14:paraId="00000C4B" w14:textId="53D80441" w:rsidR="00416D85" w:rsidRPr="007C60AF" w:rsidRDefault="00EB4771">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r>
            <w:tr w:rsidR="0041125C" w:rsidRPr="007C60AF" w14:paraId="0948C803" w14:textId="77777777">
              <w:tc>
                <w:tcPr>
                  <w:tcW w:w="1883" w:type="dxa"/>
                  <w:shd w:val="clear" w:color="auto" w:fill="D0CECE"/>
                </w:tcPr>
                <w:p w14:paraId="00000C4C" w14:textId="77777777" w:rsidR="0041125C" w:rsidRPr="007C60AF" w:rsidRDefault="0041125C" w:rsidP="0041125C">
                  <w:pPr>
                    <w:spacing w:before="60" w:after="60"/>
                    <w:rPr>
                      <w:b/>
                      <w:color w:val="4472C4"/>
                    </w:rPr>
                  </w:pPr>
                  <w:r w:rsidRPr="007C60AF">
                    <w:rPr>
                      <w:b/>
                      <w:color w:val="4472C4"/>
                    </w:rPr>
                    <w:t>Other direct costs</w:t>
                  </w:r>
                </w:p>
              </w:tc>
              <w:tc>
                <w:tcPr>
                  <w:tcW w:w="1407" w:type="dxa"/>
                </w:tcPr>
                <w:p w14:paraId="00000C4D" w14:textId="191849A2" w:rsidR="0041125C" w:rsidRPr="007C60AF" w:rsidRDefault="00EB4771" w:rsidP="0041125C">
                  <w:pPr>
                    <w:spacing w:before="60" w:after="60"/>
                    <w:jc w:val="both"/>
                    <w:rPr>
                      <w:b/>
                      <w:color w:val="4472C4"/>
                    </w:rPr>
                  </w:pPr>
                  <w:r w:rsidRPr="007C60AF">
                    <w:rPr>
                      <w:b/>
                      <w:color w:val="4472C4"/>
                    </w:rPr>
                    <w:t>[5m-</w:t>
                  </w:r>
                  <w:r w:rsidR="00CD309E" w:rsidRPr="007C60AF">
                    <w:rPr>
                      <w:b/>
                      <w:color w:val="4472C4"/>
                    </w:rPr>
                    <w:t>6</w:t>
                  </w:r>
                  <w:r w:rsidRPr="007C60AF">
                    <w:rPr>
                      <w:b/>
                      <w:color w:val="4472C4"/>
                    </w:rPr>
                    <w:t>m]</w:t>
                  </w:r>
                </w:p>
              </w:tc>
              <w:tc>
                <w:tcPr>
                  <w:tcW w:w="1407" w:type="dxa"/>
                </w:tcPr>
                <w:p w14:paraId="00000C4E" w14:textId="7F5332BD" w:rsidR="0041125C" w:rsidRPr="007C60AF" w:rsidRDefault="00EB4771" w:rsidP="0041125C">
                  <w:pPr>
                    <w:spacing w:before="60" w:after="60"/>
                    <w:jc w:val="both"/>
                    <w:rPr>
                      <w:b/>
                      <w:color w:val="4472C4"/>
                    </w:rPr>
                  </w:pPr>
                  <w:r w:rsidRPr="007C60AF">
                    <w:rPr>
                      <w:b/>
                      <w:color w:val="4472C4"/>
                    </w:rPr>
                    <w:t>[</w:t>
                  </w:r>
                  <w:r w:rsidR="001A5AFA" w:rsidRPr="007C60AF">
                    <w:rPr>
                      <w:b/>
                      <w:color w:val="4472C4"/>
                    </w:rPr>
                    <w:t>4</w:t>
                  </w:r>
                  <w:r w:rsidRPr="007C60AF">
                    <w:rPr>
                      <w:b/>
                      <w:color w:val="4472C4"/>
                    </w:rPr>
                    <w:t>m-5m]</w:t>
                  </w:r>
                </w:p>
              </w:tc>
              <w:tc>
                <w:tcPr>
                  <w:tcW w:w="1408" w:type="dxa"/>
                </w:tcPr>
                <w:p w14:paraId="00000C4F" w14:textId="4C657555" w:rsidR="0041125C" w:rsidRPr="007C60AF" w:rsidRDefault="00EB4771" w:rsidP="0041125C">
                  <w:pPr>
                    <w:spacing w:before="60" w:after="60"/>
                    <w:jc w:val="both"/>
                    <w:rPr>
                      <w:b/>
                      <w:color w:val="4472C4"/>
                    </w:rPr>
                  </w:pPr>
                  <w:r w:rsidRPr="007C60AF">
                    <w:rPr>
                      <w:b/>
                      <w:color w:val="4472C4"/>
                    </w:rPr>
                    <w:t>[5m-</w:t>
                  </w:r>
                  <w:r w:rsidR="001A5AFA" w:rsidRPr="007C60AF">
                    <w:rPr>
                      <w:b/>
                      <w:color w:val="4472C4"/>
                    </w:rPr>
                    <w:t>6</w:t>
                  </w:r>
                  <w:r w:rsidRPr="007C60AF">
                    <w:rPr>
                      <w:b/>
                      <w:color w:val="4472C4"/>
                    </w:rPr>
                    <w:t>m]</w:t>
                  </w:r>
                </w:p>
              </w:tc>
              <w:tc>
                <w:tcPr>
                  <w:tcW w:w="1408" w:type="dxa"/>
                </w:tcPr>
                <w:p w14:paraId="00000C50" w14:textId="705F8161" w:rsidR="0041125C" w:rsidRPr="007C60AF" w:rsidRDefault="00EB4771" w:rsidP="0041125C">
                  <w:pPr>
                    <w:spacing w:before="60" w:after="60"/>
                    <w:jc w:val="both"/>
                    <w:rPr>
                      <w:b/>
                      <w:color w:val="4472C4"/>
                    </w:rPr>
                  </w:pPr>
                  <w:r w:rsidRPr="007C60AF">
                    <w:rPr>
                      <w:b/>
                      <w:color w:val="4472C4"/>
                    </w:rPr>
                    <w:t>[5m-</w:t>
                  </w:r>
                  <w:r w:rsidR="001A5AFA" w:rsidRPr="007C60AF">
                    <w:rPr>
                      <w:b/>
                      <w:color w:val="4472C4"/>
                    </w:rPr>
                    <w:t>6</w:t>
                  </w:r>
                  <w:r w:rsidRPr="007C60AF">
                    <w:rPr>
                      <w:b/>
                      <w:color w:val="4472C4"/>
                    </w:rPr>
                    <w:t>m]</w:t>
                  </w:r>
                </w:p>
              </w:tc>
              <w:tc>
                <w:tcPr>
                  <w:tcW w:w="1408" w:type="dxa"/>
                </w:tcPr>
                <w:p w14:paraId="00000C51" w14:textId="06745163" w:rsidR="0041125C" w:rsidRPr="007C60AF" w:rsidRDefault="00EB4771" w:rsidP="0041125C">
                  <w:pPr>
                    <w:spacing w:before="60" w:after="60"/>
                    <w:jc w:val="both"/>
                    <w:rPr>
                      <w:b/>
                      <w:color w:val="4472C4"/>
                    </w:rPr>
                  </w:pPr>
                  <w:r w:rsidRPr="007C60AF">
                    <w:rPr>
                      <w:b/>
                      <w:color w:val="4472C4"/>
                    </w:rPr>
                    <w:t>[</w:t>
                  </w:r>
                  <w:r w:rsidR="001A5AFA" w:rsidRPr="007C60AF">
                    <w:rPr>
                      <w:b/>
                      <w:color w:val="4472C4"/>
                    </w:rPr>
                    <w:t>4</w:t>
                  </w:r>
                  <w:r w:rsidRPr="007C60AF">
                    <w:rPr>
                      <w:b/>
                      <w:color w:val="4472C4"/>
                    </w:rPr>
                    <w:t>m-5m]</w:t>
                  </w:r>
                </w:p>
              </w:tc>
            </w:tr>
            <w:tr w:rsidR="0041125C" w:rsidRPr="007C60AF" w14:paraId="482DDF46" w14:textId="77777777">
              <w:tc>
                <w:tcPr>
                  <w:tcW w:w="1883" w:type="dxa"/>
                  <w:shd w:val="clear" w:color="auto" w:fill="D0CECE"/>
                </w:tcPr>
                <w:p w14:paraId="00000C52" w14:textId="77777777" w:rsidR="0041125C" w:rsidRPr="007C60AF" w:rsidRDefault="0041125C" w:rsidP="0041125C">
                  <w:pPr>
                    <w:spacing w:before="60" w:after="60"/>
                    <w:rPr>
                      <w:b/>
                      <w:color w:val="4472C4"/>
                    </w:rPr>
                  </w:pPr>
                  <w:r w:rsidRPr="007C60AF">
                    <w:rPr>
                      <w:b/>
                      <w:color w:val="4472C4"/>
                    </w:rPr>
                    <w:t>Overhead expenses</w:t>
                  </w:r>
                </w:p>
              </w:tc>
              <w:tc>
                <w:tcPr>
                  <w:tcW w:w="1407" w:type="dxa"/>
                </w:tcPr>
                <w:p w14:paraId="00000C53" w14:textId="0B966C88" w:rsidR="0041125C" w:rsidRPr="007C60AF" w:rsidRDefault="00EB4771" w:rsidP="0041125C">
                  <w:pPr>
                    <w:spacing w:before="60" w:after="60"/>
                    <w:jc w:val="both"/>
                    <w:rPr>
                      <w:b/>
                      <w:color w:val="4472C4"/>
                    </w:rPr>
                  </w:pPr>
                  <w:r w:rsidRPr="007C60AF">
                    <w:rPr>
                      <w:b/>
                      <w:color w:val="4472C4"/>
                    </w:rPr>
                    <w:t>[</w:t>
                  </w:r>
                  <w:r w:rsidR="001A5AFA" w:rsidRPr="007C60AF">
                    <w:rPr>
                      <w:b/>
                      <w:color w:val="4472C4"/>
                    </w:rPr>
                    <w:t>6</w:t>
                  </w:r>
                  <w:r w:rsidRPr="007C60AF">
                    <w:rPr>
                      <w:b/>
                      <w:color w:val="4472C4"/>
                    </w:rPr>
                    <w:t>m-</w:t>
                  </w:r>
                  <w:r w:rsidR="001A5AFA" w:rsidRPr="007C60AF">
                    <w:rPr>
                      <w:b/>
                      <w:color w:val="4472C4"/>
                    </w:rPr>
                    <w:t>7</w:t>
                  </w:r>
                  <w:r w:rsidRPr="007C60AF">
                    <w:rPr>
                      <w:b/>
                      <w:color w:val="4472C4"/>
                    </w:rPr>
                    <w:t>m]</w:t>
                  </w:r>
                </w:p>
              </w:tc>
              <w:tc>
                <w:tcPr>
                  <w:tcW w:w="1407" w:type="dxa"/>
                </w:tcPr>
                <w:p w14:paraId="00000C54" w14:textId="1A243E39" w:rsidR="0041125C" w:rsidRPr="007C60AF" w:rsidRDefault="00EB4771" w:rsidP="0041125C">
                  <w:pPr>
                    <w:spacing w:before="60" w:after="60"/>
                    <w:jc w:val="both"/>
                    <w:rPr>
                      <w:b/>
                      <w:color w:val="4472C4"/>
                    </w:rPr>
                  </w:pPr>
                  <w:r w:rsidRPr="007C60AF">
                    <w:rPr>
                      <w:b/>
                      <w:color w:val="4472C4"/>
                    </w:rPr>
                    <w:t>[5m-</w:t>
                  </w:r>
                  <w:r w:rsidR="001A5AFA" w:rsidRPr="007C60AF">
                    <w:rPr>
                      <w:b/>
                      <w:color w:val="4472C4"/>
                    </w:rPr>
                    <w:t>6</w:t>
                  </w:r>
                  <w:r w:rsidRPr="007C60AF">
                    <w:rPr>
                      <w:b/>
                      <w:color w:val="4472C4"/>
                    </w:rPr>
                    <w:t>m]</w:t>
                  </w:r>
                </w:p>
              </w:tc>
              <w:tc>
                <w:tcPr>
                  <w:tcW w:w="1408" w:type="dxa"/>
                </w:tcPr>
                <w:p w14:paraId="00000C55" w14:textId="3429F11C" w:rsidR="0041125C" w:rsidRPr="007C60AF" w:rsidRDefault="00EB4771" w:rsidP="0041125C">
                  <w:pPr>
                    <w:spacing w:before="60" w:after="60"/>
                    <w:jc w:val="both"/>
                    <w:rPr>
                      <w:b/>
                      <w:color w:val="4472C4"/>
                    </w:rPr>
                  </w:pPr>
                  <w:r w:rsidRPr="007C60AF">
                    <w:rPr>
                      <w:b/>
                      <w:color w:val="4472C4"/>
                    </w:rPr>
                    <w:t>[</w:t>
                  </w:r>
                  <w:r w:rsidR="001A5AFA" w:rsidRPr="007C60AF">
                    <w:rPr>
                      <w:b/>
                      <w:color w:val="4472C4"/>
                    </w:rPr>
                    <w:t>6</w:t>
                  </w:r>
                  <w:r w:rsidRPr="007C60AF">
                    <w:rPr>
                      <w:b/>
                      <w:color w:val="4472C4"/>
                    </w:rPr>
                    <w:t>m-</w:t>
                  </w:r>
                  <w:r w:rsidR="001A5AFA" w:rsidRPr="007C60AF">
                    <w:rPr>
                      <w:b/>
                      <w:color w:val="4472C4"/>
                    </w:rPr>
                    <w:t>7</w:t>
                  </w:r>
                  <w:r w:rsidRPr="007C60AF">
                    <w:rPr>
                      <w:b/>
                      <w:color w:val="4472C4"/>
                    </w:rPr>
                    <w:t>m]</w:t>
                  </w:r>
                </w:p>
              </w:tc>
              <w:tc>
                <w:tcPr>
                  <w:tcW w:w="1408" w:type="dxa"/>
                </w:tcPr>
                <w:p w14:paraId="00000C56" w14:textId="5FC5F9D2" w:rsidR="0041125C" w:rsidRPr="007C60AF" w:rsidRDefault="00EB4771" w:rsidP="0041125C">
                  <w:pPr>
                    <w:spacing w:before="60" w:after="60"/>
                    <w:jc w:val="both"/>
                    <w:rPr>
                      <w:b/>
                      <w:color w:val="4472C4"/>
                    </w:rPr>
                  </w:pPr>
                  <w:r w:rsidRPr="007C60AF">
                    <w:rPr>
                      <w:b/>
                      <w:color w:val="4472C4"/>
                    </w:rPr>
                    <w:t>[</w:t>
                  </w:r>
                  <w:r w:rsidR="001A5AFA" w:rsidRPr="007C60AF">
                    <w:rPr>
                      <w:b/>
                      <w:color w:val="4472C4"/>
                    </w:rPr>
                    <w:t>2.5</w:t>
                  </w:r>
                  <w:r w:rsidRPr="007C60AF">
                    <w:rPr>
                      <w:b/>
                      <w:color w:val="4472C4"/>
                    </w:rPr>
                    <w:t>m-</w:t>
                  </w:r>
                  <w:r w:rsidR="001A5AFA" w:rsidRPr="007C60AF">
                    <w:rPr>
                      <w:b/>
                      <w:color w:val="4472C4"/>
                    </w:rPr>
                    <w:t>3</w:t>
                  </w:r>
                  <w:r w:rsidRPr="007C60AF">
                    <w:rPr>
                      <w:b/>
                      <w:color w:val="4472C4"/>
                    </w:rPr>
                    <w:t>m]</w:t>
                  </w:r>
                </w:p>
              </w:tc>
              <w:tc>
                <w:tcPr>
                  <w:tcW w:w="1408" w:type="dxa"/>
                </w:tcPr>
                <w:p w14:paraId="00000C57" w14:textId="7B9A930A" w:rsidR="0041125C" w:rsidRPr="007C60AF" w:rsidRDefault="00EB4771" w:rsidP="0041125C">
                  <w:pPr>
                    <w:spacing w:before="60" w:after="60"/>
                    <w:jc w:val="both"/>
                    <w:rPr>
                      <w:b/>
                      <w:color w:val="4472C4"/>
                    </w:rPr>
                  </w:pPr>
                  <w:r w:rsidRPr="007C60AF">
                    <w:rPr>
                      <w:b/>
                      <w:color w:val="4472C4"/>
                    </w:rPr>
                    <w:t>[</w:t>
                  </w:r>
                  <w:r w:rsidR="001A5AFA" w:rsidRPr="007C60AF">
                    <w:rPr>
                      <w:b/>
                      <w:color w:val="4472C4"/>
                    </w:rPr>
                    <w:t>3</w:t>
                  </w:r>
                  <w:r w:rsidRPr="007C60AF">
                    <w:rPr>
                      <w:b/>
                      <w:color w:val="4472C4"/>
                    </w:rPr>
                    <w:t>m-</w:t>
                  </w:r>
                  <w:r w:rsidR="001A5AFA" w:rsidRPr="007C60AF">
                    <w:rPr>
                      <w:b/>
                      <w:color w:val="4472C4"/>
                    </w:rPr>
                    <w:t>3.</w:t>
                  </w:r>
                  <w:r w:rsidRPr="007C60AF">
                    <w:rPr>
                      <w:b/>
                      <w:color w:val="4472C4"/>
                    </w:rPr>
                    <w:t>5m]</w:t>
                  </w:r>
                </w:p>
              </w:tc>
            </w:tr>
            <w:tr w:rsidR="0041125C" w:rsidRPr="007C60AF" w14:paraId="22DB6583" w14:textId="77777777">
              <w:tc>
                <w:tcPr>
                  <w:tcW w:w="1883" w:type="dxa"/>
                  <w:shd w:val="clear" w:color="auto" w:fill="D0CECE"/>
                </w:tcPr>
                <w:p w14:paraId="00000C58" w14:textId="77777777" w:rsidR="0041125C" w:rsidRPr="007C60AF" w:rsidRDefault="0041125C" w:rsidP="0041125C">
                  <w:pPr>
                    <w:spacing w:before="60" w:after="60"/>
                    <w:jc w:val="both"/>
                    <w:rPr>
                      <w:b/>
                      <w:color w:val="4472C4"/>
                    </w:rPr>
                  </w:pPr>
                  <w:r w:rsidRPr="007C60AF">
                    <w:rPr>
                      <w:b/>
                      <w:color w:val="4472C4"/>
                    </w:rPr>
                    <w:t>SG&amp;A costs</w:t>
                  </w:r>
                </w:p>
              </w:tc>
              <w:tc>
                <w:tcPr>
                  <w:tcW w:w="1407" w:type="dxa"/>
                </w:tcPr>
                <w:p w14:paraId="00000C59" w14:textId="3587E357" w:rsidR="0041125C" w:rsidRPr="007C60AF" w:rsidRDefault="00EB4771" w:rsidP="0041125C">
                  <w:pPr>
                    <w:spacing w:before="60" w:after="60"/>
                    <w:jc w:val="both"/>
                    <w:rPr>
                      <w:b/>
                      <w:color w:val="4472C4"/>
                    </w:rPr>
                  </w:pPr>
                  <w:r w:rsidRPr="007C60AF">
                    <w:rPr>
                      <w:b/>
                      <w:color w:val="4472C4"/>
                    </w:rPr>
                    <w:t>[</w:t>
                  </w:r>
                  <w:r w:rsidR="001A5AFA" w:rsidRPr="007C60AF">
                    <w:rPr>
                      <w:b/>
                      <w:color w:val="4472C4"/>
                    </w:rPr>
                    <w:t>8</w:t>
                  </w:r>
                  <w:r w:rsidRPr="007C60AF">
                    <w:rPr>
                      <w:b/>
                      <w:color w:val="4472C4"/>
                    </w:rPr>
                    <w:t>m-</w:t>
                  </w:r>
                  <w:r w:rsidR="001A5AFA" w:rsidRPr="007C60AF">
                    <w:rPr>
                      <w:b/>
                      <w:color w:val="4472C4"/>
                    </w:rPr>
                    <w:t>9</w:t>
                  </w:r>
                  <w:r w:rsidRPr="007C60AF">
                    <w:rPr>
                      <w:b/>
                      <w:color w:val="4472C4"/>
                    </w:rPr>
                    <w:t>m]</w:t>
                  </w:r>
                </w:p>
              </w:tc>
              <w:tc>
                <w:tcPr>
                  <w:tcW w:w="1407" w:type="dxa"/>
                </w:tcPr>
                <w:p w14:paraId="00000C5A" w14:textId="77CE7514" w:rsidR="0041125C" w:rsidRPr="007C60AF" w:rsidRDefault="00EB4771" w:rsidP="0041125C">
                  <w:pPr>
                    <w:spacing w:before="60" w:after="60"/>
                    <w:jc w:val="both"/>
                    <w:rPr>
                      <w:b/>
                      <w:color w:val="4472C4"/>
                    </w:rPr>
                  </w:pPr>
                  <w:r w:rsidRPr="007C60AF">
                    <w:rPr>
                      <w:b/>
                      <w:color w:val="4472C4"/>
                    </w:rPr>
                    <w:t>[</w:t>
                  </w:r>
                  <w:r w:rsidR="001A5AFA" w:rsidRPr="007C60AF">
                    <w:rPr>
                      <w:b/>
                      <w:color w:val="4472C4"/>
                    </w:rPr>
                    <w:t>7</w:t>
                  </w:r>
                  <w:r w:rsidRPr="007C60AF">
                    <w:rPr>
                      <w:b/>
                      <w:color w:val="4472C4"/>
                    </w:rPr>
                    <w:t>m-</w:t>
                  </w:r>
                  <w:r w:rsidR="001A5AFA" w:rsidRPr="007C60AF">
                    <w:rPr>
                      <w:b/>
                      <w:color w:val="4472C4"/>
                    </w:rPr>
                    <w:t>8</w:t>
                  </w:r>
                  <w:r w:rsidRPr="007C60AF">
                    <w:rPr>
                      <w:b/>
                      <w:color w:val="4472C4"/>
                    </w:rPr>
                    <w:t>m]</w:t>
                  </w:r>
                </w:p>
              </w:tc>
              <w:tc>
                <w:tcPr>
                  <w:tcW w:w="1408" w:type="dxa"/>
                </w:tcPr>
                <w:p w14:paraId="00000C5B" w14:textId="18D306E0" w:rsidR="0041125C" w:rsidRPr="007C60AF" w:rsidRDefault="00EB4771" w:rsidP="0041125C">
                  <w:pPr>
                    <w:spacing w:before="60" w:after="60"/>
                    <w:jc w:val="both"/>
                    <w:rPr>
                      <w:b/>
                      <w:color w:val="4472C4"/>
                    </w:rPr>
                  </w:pPr>
                  <w:r w:rsidRPr="007C60AF">
                    <w:rPr>
                      <w:b/>
                      <w:color w:val="4472C4"/>
                    </w:rPr>
                    <w:t>[5m-</w:t>
                  </w:r>
                  <w:r w:rsidR="001A5AFA" w:rsidRPr="007C60AF">
                    <w:rPr>
                      <w:b/>
                      <w:color w:val="4472C4"/>
                    </w:rPr>
                    <w:t>6</w:t>
                  </w:r>
                  <w:r w:rsidRPr="007C60AF">
                    <w:rPr>
                      <w:b/>
                      <w:color w:val="4472C4"/>
                    </w:rPr>
                    <w:t>m]</w:t>
                  </w:r>
                </w:p>
              </w:tc>
              <w:tc>
                <w:tcPr>
                  <w:tcW w:w="1408" w:type="dxa"/>
                </w:tcPr>
                <w:p w14:paraId="00000C5C" w14:textId="6FF1D964" w:rsidR="0041125C" w:rsidRPr="007C60AF" w:rsidRDefault="00EB4771" w:rsidP="0041125C">
                  <w:pPr>
                    <w:spacing w:before="60" w:after="60"/>
                    <w:jc w:val="both"/>
                    <w:rPr>
                      <w:b/>
                      <w:color w:val="4472C4"/>
                    </w:rPr>
                  </w:pPr>
                  <w:r w:rsidRPr="007C60AF">
                    <w:rPr>
                      <w:b/>
                      <w:color w:val="4472C4"/>
                    </w:rPr>
                    <w:t>[10m-</w:t>
                  </w:r>
                  <w:r w:rsidR="001A5AFA" w:rsidRPr="007C60AF">
                    <w:rPr>
                      <w:b/>
                      <w:color w:val="4472C4"/>
                    </w:rPr>
                    <w:t>15</w:t>
                  </w:r>
                  <w:r w:rsidRPr="007C60AF">
                    <w:rPr>
                      <w:b/>
                      <w:color w:val="4472C4"/>
                    </w:rPr>
                    <w:t>m]</w:t>
                  </w:r>
                </w:p>
              </w:tc>
              <w:tc>
                <w:tcPr>
                  <w:tcW w:w="1408" w:type="dxa"/>
                </w:tcPr>
                <w:p w14:paraId="00000C5D" w14:textId="741148A2" w:rsidR="0041125C" w:rsidRPr="007C60AF" w:rsidRDefault="00EB4771" w:rsidP="0041125C">
                  <w:pPr>
                    <w:spacing w:before="60" w:after="60"/>
                    <w:jc w:val="both"/>
                    <w:rPr>
                      <w:b/>
                      <w:color w:val="4472C4"/>
                    </w:rPr>
                  </w:pPr>
                  <w:r w:rsidRPr="007C60AF">
                    <w:rPr>
                      <w:b/>
                      <w:color w:val="4472C4"/>
                    </w:rPr>
                    <w:t>[</w:t>
                  </w:r>
                  <w:r w:rsidR="001A5AFA" w:rsidRPr="007C60AF">
                    <w:rPr>
                      <w:b/>
                      <w:color w:val="4472C4"/>
                    </w:rPr>
                    <w:t>9</w:t>
                  </w:r>
                  <w:r w:rsidRPr="007C60AF">
                    <w:rPr>
                      <w:b/>
                      <w:color w:val="4472C4"/>
                    </w:rPr>
                    <w:t>m-10m]</w:t>
                  </w:r>
                </w:p>
              </w:tc>
            </w:tr>
            <w:tr w:rsidR="0041125C" w:rsidRPr="007C60AF" w14:paraId="55D20757" w14:textId="77777777">
              <w:tc>
                <w:tcPr>
                  <w:tcW w:w="1883" w:type="dxa"/>
                  <w:shd w:val="clear" w:color="auto" w:fill="D0CECE"/>
                </w:tcPr>
                <w:p w14:paraId="00000C5E" w14:textId="77777777" w:rsidR="0041125C" w:rsidRPr="007C60AF" w:rsidRDefault="0041125C" w:rsidP="0041125C">
                  <w:pPr>
                    <w:spacing w:before="60" w:after="60"/>
                    <w:jc w:val="both"/>
                    <w:rPr>
                      <w:b/>
                      <w:color w:val="4472C4"/>
                    </w:rPr>
                  </w:pPr>
                  <w:r w:rsidRPr="007C60AF">
                    <w:rPr>
                      <w:b/>
                      <w:color w:val="4472C4"/>
                    </w:rPr>
                    <w:t>Finance costs</w:t>
                  </w:r>
                </w:p>
              </w:tc>
              <w:tc>
                <w:tcPr>
                  <w:tcW w:w="1407" w:type="dxa"/>
                </w:tcPr>
                <w:p w14:paraId="00000C5F" w14:textId="7DA4796A" w:rsidR="0041125C" w:rsidRPr="007C60AF" w:rsidRDefault="00EB4771" w:rsidP="0041125C">
                  <w:pPr>
                    <w:spacing w:before="60" w:after="60"/>
                    <w:jc w:val="both"/>
                    <w:rPr>
                      <w:b/>
                      <w:color w:val="4472C4"/>
                    </w:rPr>
                  </w:pPr>
                  <w:r w:rsidRPr="007C60AF">
                    <w:rPr>
                      <w:b/>
                      <w:color w:val="4472C4"/>
                    </w:rPr>
                    <w:t>[800,000-1,000,000]</w:t>
                  </w:r>
                </w:p>
              </w:tc>
              <w:tc>
                <w:tcPr>
                  <w:tcW w:w="1407" w:type="dxa"/>
                </w:tcPr>
                <w:p w14:paraId="00000C60" w14:textId="2517F61B" w:rsidR="0041125C" w:rsidRPr="007C60AF" w:rsidRDefault="00EB4771" w:rsidP="0041125C">
                  <w:pPr>
                    <w:spacing w:before="60" w:after="60"/>
                    <w:jc w:val="both"/>
                    <w:rPr>
                      <w:b/>
                      <w:color w:val="4472C4"/>
                    </w:rPr>
                  </w:pPr>
                  <w:r w:rsidRPr="007C60AF">
                    <w:rPr>
                      <w:b/>
                      <w:color w:val="4472C4"/>
                    </w:rPr>
                    <w:t>[600,000-800,000]</w:t>
                  </w:r>
                </w:p>
              </w:tc>
              <w:tc>
                <w:tcPr>
                  <w:tcW w:w="1408" w:type="dxa"/>
                </w:tcPr>
                <w:p w14:paraId="00000C61" w14:textId="18090A03" w:rsidR="0041125C" w:rsidRPr="007C60AF" w:rsidRDefault="00EB4771" w:rsidP="0041125C">
                  <w:pPr>
                    <w:spacing w:before="60" w:after="60"/>
                    <w:jc w:val="both"/>
                    <w:rPr>
                      <w:b/>
                      <w:color w:val="4472C4"/>
                    </w:rPr>
                  </w:pPr>
                  <w:r w:rsidRPr="007C60AF">
                    <w:rPr>
                      <w:b/>
                      <w:color w:val="4472C4"/>
                    </w:rPr>
                    <w:t>[</w:t>
                  </w:r>
                  <w:r w:rsidR="001A5AFA" w:rsidRPr="007C60AF">
                    <w:rPr>
                      <w:b/>
                      <w:color w:val="4472C4"/>
                    </w:rPr>
                    <w:t>5</w:t>
                  </w:r>
                  <w:r w:rsidRPr="007C60AF">
                    <w:rPr>
                      <w:b/>
                      <w:color w:val="4472C4"/>
                    </w:rPr>
                    <w:t>00,000-600,000]</w:t>
                  </w:r>
                </w:p>
              </w:tc>
              <w:tc>
                <w:tcPr>
                  <w:tcW w:w="1408" w:type="dxa"/>
                </w:tcPr>
                <w:p w14:paraId="00000C62" w14:textId="63EE5582" w:rsidR="0041125C" w:rsidRPr="007C60AF" w:rsidRDefault="00EB4771" w:rsidP="0041125C">
                  <w:pPr>
                    <w:spacing w:before="60" w:after="60"/>
                    <w:jc w:val="both"/>
                    <w:rPr>
                      <w:b/>
                      <w:color w:val="4472C4"/>
                    </w:rPr>
                  </w:pPr>
                  <w:r w:rsidRPr="007C60AF">
                    <w:rPr>
                      <w:b/>
                      <w:color w:val="4472C4"/>
                    </w:rPr>
                    <w:t>[</w:t>
                  </w:r>
                  <w:r w:rsidR="001A5AFA" w:rsidRPr="007C60AF">
                    <w:rPr>
                      <w:b/>
                      <w:color w:val="4472C4"/>
                    </w:rPr>
                    <w:t>5</w:t>
                  </w:r>
                  <w:r w:rsidRPr="007C60AF">
                    <w:rPr>
                      <w:b/>
                      <w:color w:val="4472C4"/>
                    </w:rPr>
                    <w:t>00,000-600,000]</w:t>
                  </w:r>
                </w:p>
              </w:tc>
              <w:tc>
                <w:tcPr>
                  <w:tcW w:w="1408" w:type="dxa"/>
                </w:tcPr>
                <w:p w14:paraId="00000C63" w14:textId="1DCB9C9C" w:rsidR="0041125C" w:rsidRPr="007C60AF" w:rsidRDefault="00EB4771" w:rsidP="0041125C">
                  <w:pPr>
                    <w:spacing w:before="60" w:after="60"/>
                    <w:jc w:val="both"/>
                    <w:rPr>
                      <w:b/>
                      <w:color w:val="4472C4"/>
                    </w:rPr>
                  </w:pPr>
                  <w:r w:rsidRPr="007C60AF">
                    <w:rPr>
                      <w:b/>
                      <w:color w:val="4472C4"/>
                    </w:rPr>
                    <w:t>[</w:t>
                  </w:r>
                  <w:r w:rsidR="001A5AFA" w:rsidRPr="007C60AF">
                    <w:rPr>
                      <w:b/>
                      <w:color w:val="4472C4"/>
                    </w:rPr>
                    <w:t>5</w:t>
                  </w:r>
                  <w:r w:rsidRPr="007C60AF">
                    <w:rPr>
                      <w:b/>
                      <w:color w:val="4472C4"/>
                    </w:rPr>
                    <w:t>00,000-600,000]</w:t>
                  </w:r>
                </w:p>
              </w:tc>
            </w:tr>
            <w:tr w:rsidR="0041125C" w:rsidRPr="007C60AF" w14:paraId="757069A5" w14:textId="77777777">
              <w:tc>
                <w:tcPr>
                  <w:tcW w:w="1883" w:type="dxa"/>
                  <w:shd w:val="clear" w:color="auto" w:fill="D0CECE"/>
                </w:tcPr>
                <w:p w14:paraId="00000C64" w14:textId="77777777" w:rsidR="0041125C" w:rsidRPr="007C60AF" w:rsidRDefault="0041125C" w:rsidP="0041125C">
                  <w:pPr>
                    <w:spacing w:before="60" w:after="60"/>
                    <w:jc w:val="both"/>
                    <w:rPr>
                      <w:b/>
                      <w:color w:val="4472C4"/>
                    </w:rPr>
                  </w:pPr>
                  <w:r w:rsidRPr="007C60AF">
                    <w:rPr>
                      <w:b/>
                      <w:color w:val="4472C4"/>
                    </w:rPr>
                    <w:t>Full production cost</w:t>
                  </w:r>
                </w:p>
              </w:tc>
              <w:tc>
                <w:tcPr>
                  <w:tcW w:w="1407" w:type="dxa"/>
                </w:tcPr>
                <w:p w14:paraId="00000C65" w14:textId="3748802E" w:rsidR="0041125C" w:rsidRPr="007C60AF" w:rsidRDefault="00EB4771" w:rsidP="0041125C">
                  <w:pPr>
                    <w:spacing w:before="60" w:after="60"/>
                    <w:jc w:val="both"/>
                    <w:rPr>
                      <w:b/>
                      <w:color w:val="4472C4"/>
                    </w:rPr>
                  </w:pPr>
                  <w:r w:rsidRPr="007C60AF">
                    <w:rPr>
                      <w:b/>
                      <w:color w:val="4472C4"/>
                    </w:rPr>
                    <w:t>[1</w:t>
                  </w:r>
                  <w:r w:rsidR="0043532F" w:rsidRPr="007C60AF">
                    <w:rPr>
                      <w:b/>
                      <w:color w:val="4472C4"/>
                    </w:rPr>
                    <w:t>00</w:t>
                  </w:r>
                  <w:r w:rsidRPr="007C60AF">
                    <w:rPr>
                      <w:b/>
                      <w:color w:val="4472C4"/>
                    </w:rPr>
                    <w:t>m-1</w:t>
                  </w:r>
                  <w:r w:rsidR="0043532F" w:rsidRPr="007C60AF">
                    <w:rPr>
                      <w:b/>
                      <w:color w:val="4472C4"/>
                    </w:rPr>
                    <w:t>50</w:t>
                  </w:r>
                  <w:r w:rsidRPr="007C60AF">
                    <w:rPr>
                      <w:b/>
                      <w:color w:val="4472C4"/>
                    </w:rPr>
                    <w:t>m]</w:t>
                  </w:r>
                </w:p>
              </w:tc>
              <w:tc>
                <w:tcPr>
                  <w:tcW w:w="1407" w:type="dxa"/>
                </w:tcPr>
                <w:p w14:paraId="00000C66" w14:textId="2132B002" w:rsidR="0041125C" w:rsidRPr="007C60AF" w:rsidRDefault="00EB4771" w:rsidP="0041125C">
                  <w:pPr>
                    <w:spacing w:before="60" w:after="60"/>
                    <w:jc w:val="both"/>
                    <w:rPr>
                      <w:b/>
                      <w:color w:val="4472C4"/>
                    </w:rPr>
                  </w:pPr>
                  <w:r w:rsidRPr="007C60AF">
                    <w:rPr>
                      <w:b/>
                      <w:color w:val="4472C4"/>
                    </w:rPr>
                    <w:t>[100m-150m]</w:t>
                  </w:r>
                </w:p>
              </w:tc>
              <w:tc>
                <w:tcPr>
                  <w:tcW w:w="1408" w:type="dxa"/>
                </w:tcPr>
                <w:p w14:paraId="00000C67" w14:textId="1F2AF0A1" w:rsidR="0041125C" w:rsidRPr="007C60AF" w:rsidRDefault="00EB4771" w:rsidP="0041125C">
                  <w:pPr>
                    <w:spacing w:before="60" w:after="60"/>
                    <w:jc w:val="both"/>
                    <w:rPr>
                      <w:b/>
                      <w:color w:val="4472C4"/>
                    </w:rPr>
                  </w:pPr>
                  <w:r w:rsidRPr="007C60AF">
                    <w:rPr>
                      <w:b/>
                      <w:color w:val="4472C4"/>
                    </w:rPr>
                    <w:t>[100m-150m]</w:t>
                  </w:r>
                </w:p>
              </w:tc>
              <w:tc>
                <w:tcPr>
                  <w:tcW w:w="1408" w:type="dxa"/>
                </w:tcPr>
                <w:p w14:paraId="00000C68" w14:textId="122A80BD" w:rsidR="0041125C" w:rsidRPr="007C60AF" w:rsidRDefault="00EB4771" w:rsidP="0041125C">
                  <w:pPr>
                    <w:spacing w:before="60" w:after="60"/>
                    <w:jc w:val="both"/>
                    <w:rPr>
                      <w:b/>
                      <w:color w:val="4472C4"/>
                    </w:rPr>
                  </w:pPr>
                  <w:r w:rsidRPr="007C60AF">
                    <w:rPr>
                      <w:b/>
                      <w:color w:val="4472C4"/>
                    </w:rPr>
                    <w:t>[100m-150m]</w:t>
                  </w:r>
                </w:p>
              </w:tc>
              <w:tc>
                <w:tcPr>
                  <w:tcW w:w="1408" w:type="dxa"/>
                </w:tcPr>
                <w:p w14:paraId="00000C69" w14:textId="35D3380A" w:rsidR="0041125C" w:rsidRPr="007C60AF" w:rsidRDefault="00EB4771" w:rsidP="0041125C">
                  <w:pPr>
                    <w:spacing w:before="60" w:after="60"/>
                    <w:jc w:val="both"/>
                    <w:rPr>
                      <w:b/>
                      <w:color w:val="4472C4"/>
                    </w:rPr>
                  </w:pPr>
                  <w:r w:rsidRPr="007C60AF">
                    <w:rPr>
                      <w:b/>
                      <w:color w:val="4472C4"/>
                    </w:rPr>
                    <w:t>[100m-150m]</w:t>
                  </w:r>
                </w:p>
              </w:tc>
            </w:tr>
            <w:tr w:rsidR="0041125C" w:rsidRPr="007C60AF" w14:paraId="7491E55C" w14:textId="77777777">
              <w:tc>
                <w:tcPr>
                  <w:tcW w:w="1883" w:type="dxa"/>
                  <w:shd w:val="clear" w:color="auto" w:fill="D0CECE"/>
                </w:tcPr>
                <w:p w14:paraId="00000C6A" w14:textId="77777777" w:rsidR="0041125C" w:rsidRPr="007C60AF" w:rsidRDefault="0041125C" w:rsidP="0041125C">
                  <w:pPr>
                    <w:spacing w:before="60" w:after="60"/>
                    <w:jc w:val="both"/>
                    <w:rPr>
                      <w:b/>
                      <w:color w:val="4472C4"/>
                    </w:rPr>
                  </w:pPr>
                  <w:r w:rsidRPr="007C60AF">
                    <w:rPr>
                      <w:b/>
                      <w:color w:val="4472C4"/>
                    </w:rPr>
                    <w:t>Index: Q2 2023 = 100</w:t>
                  </w:r>
                </w:p>
              </w:tc>
              <w:tc>
                <w:tcPr>
                  <w:tcW w:w="1407" w:type="dxa"/>
                </w:tcPr>
                <w:p w14:paraId="00000C6B" w14:textId="77777777" w:rsidR="0041125C" w:rsidRPr="007C60AF" w:rsidRDefault="0041125C" w:rsidP="0041125C">
                  <w:pPr>
                    <w:spacing w:before="60" w:after="60"/>
                    <w:jc w:val="both"/>
                    <w:rPr>
                      <w:b/>
                      <w:color w:val="4472C4"/>
                    </w:rPr>
                  </w:pPr>
                  <w:r w:rsidRPr="007C60AF">
                    <w:rPr>
                      <w:b/>
                      <w:color w:val="4472C4"/>
                      <w:sz w:val="21"/>
                      <w:szCs w:val="21"/>
                    </w:rPr>
                    <w:t>100</w:t>
                  </w:r>
                </w:p>
              </w:tc>
              <w:tc>
                <w:tcPr>
                  <w:tcW w:w="1407" w:type="dxa"/>
                </w:tcPr>
                <w:p w14:paraId="00000C6C" w14:textId="77777777" w:rsidR="0041125C" w:rsidRPr="007C60AF" w:rsidRDefault="0041125C" w:rsidP="0041125C">
                  <w:pPr>
                    <w:spacing w:before="60" w:after="60"/>
                    <w:jc w:val="both"/>
                    <w:rPr>
                      <w:b/>
                      <w:color w:val="4472C4"/>
                    </w:rPr>
                  </w:pPr>
                  <w:r w:rsidRPr="007C60AF">
                    <w:rPr>
                      <w:b/>
                      <w:color w:val="4472C4"/>
                      <w:sz w:val="21"/>
                      <w:szCs w:val="21"/>
                    </w:rPr>
                    <w:t>87</w:t>
                  </w:r>
                </w:p>
              </w:tc>
              <w:tc>
                <w:tcPr>
                  <w:tcW w:w="1408" w:type="dxa"/>
                </w:tcPr>
                <w:p w14:paraId="00000C6D" w14:textId="77777777" w:rsidR="0041125C" w:rsidRPr="007C60AF" w:rsidRDefault="0041125C" w:rsidP="0041125C">
                  <w:pPr>
                    <w:spacing w:before="60" w:after="60"/>
                    <w:jc w:val="both"/>
                    <w:rPr>
                      <w:b/>
                      <w:color w:val="4472C4"/>
                    </w:rPr>
                  </w:pPr>
                  <w:r w:rsidRPr="007C60AF">
                    <w:rPr>
                      <w:b/>
                      <w:color w:val="4472C4"/>
                      <w:sz w:val="21"/>
                      <w:szCs w:val="21"/>
                    </w:rPr>
                    <w:t>100</w:t>
                  </w:r>
                </w:p>
              </w:tc>
              <w:tc>
                <w:tcPr>
                  <w:tcW w:w="1408" w:type="dxa"/>
                </w:tcPr>
                <w:p w14:paraId="00000C6E" w14:textId="77777777" w:rsidR="0041125C" w:rsidRPr="007C60AF" w:rsidRDefault="0041125C" w:rsidP="0041125C">
                  <w:pPr>
                    <w:spacing w:before="60" w:after="60"/>
                    <w:jc w:val="both"/>
                    <w:rPr>
                      <w:b/>
                      <w:color w:val="4472C4"/>
                    </w:rPr>
                  </w:pPr>
                  <w:r w:rsidRPr="007C60AF">
                    <w:rPr>
                      <w:b/>
                      <w:color w:val="4472C4"/>
                      <w:sz w:val="21"/>
                      <w:szCs w:val="21"/>
                    </w:rPr>
                    <w:t>90</w:t>
                  </w:r>
                </w:p>
              </w:tc>
              <w:tc>
                <w:tcPr>
                  <w:tcW w:w="1408" w:type="dxa"/>
                </w:tcPr>
                <w:p w14:paraId="00000C6F" w14:textId="77777777" w:rsidR="0041125C" w:rsidRPr="007C60AF" w:rsidRDefault="0041125C" w:rsidP="0041125C">
                  <w:pPr>
                    <w:spacing w:before="60" w:after="60"/>
                    <w:jc w:val="both"/>
                    <w:rPr>
                      <w:b/>
                      <w:color w:val="4472C4"/>
                    </w:rPr>
                  </w:pPr>
                  <w:r w:rsidRPr="007C60AF">
                    <w:rPr>
                      <w:b/>
                      <w:color w:val="4472C4"/>
                      <w:sz w:val="21"/>
                      <w:szCs w:val="21"/>
                    </w:rPr>
                    <w:t>71</w:t>
                  </w:r>
                </w:p>
              </w:tc>
            </w:tr>
          </w:tbl>
          <w:p w14:paraId="00000C70" w14:textId="77777777" w:rsidR="00416D85" w:rsidRPr="007C60AF" w:rsidRDefault="00416D85">
            <w:pPr>
              <w:spacing w:after="0"/>
              <w:jc w:val="both"/>
            </w:pPr>
          </w:p>
          <w:p w14:paraId="5F9E1B02" w14:textId="77777777" w:rsidR="000F28D4" w:rsidRDefault="000F28D4">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p>
          <w:p w14:paraId="00000C71" w14:textId="2941E294"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lastRenderedPageBreak/>
              <w:t>Table 38: Unit cost of production (GBP/MT) for the injury period and the POI</w:t>
            </w:r>
          </w:p>
          <w:p w14:paraId="00000C7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7"/>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1C18F588" w14:textId="77777777">
              <w:tc>
                <w:tcPr>
                  <w:tcW w:w="1784" w:type="dxa"/>
                  <w:shd w:val="clear" w:color="auto" w:fill="D0CECE"/>
                </w:tcPr>
                <w:p w14:paraId="00000C7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C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C7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C7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C7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49026AB" w14:textId="77777777">
              <w:tc>
                <w:tcPr>
                  <w:tcW w:w="1784" w:type="dxa"/>
                  <w:shd w:val="clear" w:color="auto" w:fill="D0CECE"/>
                </w:tcPr>
                <w:p w14:paraId="00000C7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C79" w14:textId="2CDE66AA"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 xml:space="preserve">750 </w:t>
                  </w:r>
                  <w:r w:rsidR="00130320" w:rsidRPr="007C60AF">
                    <w:rPr>
                      <w:rFonts w:eastAsia="Arial"/>
                      <w:b/>
                      <w:color w:val="4472C4"/>
                    </w:rPr>
                    <w:t xml:space="preserve">– </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784" w:type="dxa"/>
                </w:tcPr>
                <w:p w14:paraId="00000C7A" w14:textId="5F72B813"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 xml:space="preserve">000 </w:t>
                  </w:r>
                  <w:r w:rsidR="00130320" w:rsidRPr="007C60AF">
                    <w:rPr>
                      <w:rFonts w:eastAsia="Arial"/>
                      <w:b/>
                      <w:color w:val="4472C4"/>
                    </w:rPr>
                    <w:t xml:space="preserve">– </w:t>
                  </w:r>
                  <w:r w:rsidR="0043532F" w:rsidRPr="007C60AF">
                    <w:rPr>
                      <w:rFonts w:eastAsia="Arial"/>
                      <w:b/>
                      <w:color w:val="4472C4"/>
                    </w:rPr>
                    <w:t>1</w:t>
                  </w:r>
                  <w:r w:rsidRPr="007C60AF">
                    <w:rPr>
                      <w:rFonts w:eastAsia="Arial"/>
                      <w:b/>
                      <w:color w:val="4472C4"/>
                    </w:rPr>
                    <w:t>,</w:t>
                  </w:r>
                  <w:r w:rsidR="0043532F" w:rsidRPr="007C60AF">
                    <w:rPr>
                      <w:rFonts w:eastAsia="Arial"/>
                      <w:b/>
                      <w:color w:val="4472C4"/>
                    </w:rPr>
                    <w:t>5</w:t>
                  </w:r>
                  <w:r w:rsidR="00770386" w:rsidRPr="007C60AF">
                    <w:rPr>
                      <w:rFonts w:eastAsia="Arial"/>
                      <w:b/>
                      <w:color w:val="4472C4"/>
                    </w:rPr>
                    <w:t>00</w:t>
                  </w:r>
                  <w:r w:rsidRPr="007C60AF">
                    <w:rPr>
                      <w:rFonts w:eastAsia="Arial"/>
                      <w:b/>
                      <w:color w:val="4472C4"/>
                    </w:rPr>
                    <w:t>]</w:t>
                  </w:r>
                </w:p>
              </w:tc>
              <w:tc>
                <w:tcPr>
                  <w:tcW w:w="1784" w:type="dxa"/>
                </w:tcPr>
                <w:p w14:paraId="00000C7B" w14:textId="4F0CA052"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43532F" w:rsidRPr="007C60AF">
                    <w:rPr>
                      <w:rFonts w:eastAsia="Arial"/>
                      <w:b/>
                      <w:color w:val="4472C4"/>
                    </w:rPr>
                    <w:t>5</w:t>
                  </w:r>
                  <w:r w:rsidR="00770386" w:rsidRPr="007C60AF">
                    <w:rPr>
                      <w:rFonts w:eastAsia="Arial"/>
                      <w:b/>
                      <w:color w:val="4472C4"/>
                    </w:rPr>
                    <w:t>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785" w:type="dxa"/>
                </w:tcPr>
                <w:p w14:paraId="00000C7C" w14:textId="326F4773"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 xml:space="preserve">000 – </w:t>
                  </w:r>
                  <w:r w:rsidR="0043532F" w:rsidRPr="007C60AF">
                    <w:rPr>
                      <w:rFonts w:eastAsia="Arial"/>
                      <w:b/>
                      <w:color w:val="4472C4"/>
                    </w:rPr>
                    <w:t>1</w:t>
                  </w:r>
                  <w:r w:rsidRPr="007C60AF">
                    <w:rPr>
                      <w:rFonts w:eastAsia="Arial"/>
                      <w:b/>
                      <w:color w:val="4472C4"/>
                    </w:rPr>
                    <w:t>,</w:t>
                  </w:r>
                  <w:r w:rsidR="0043532F" w:rsidRPr="007C60AF">
                    <w:rPr>
                      <w:rFonts w:eastAsia="Arial"/>
                      <w:b/>
                      <w:color w:val="4472C4"/>
                    </w:rPr>
                    <w:t>5</w:t>
                  </w:r>
                  <w:r w:rsidR="00770386" w:rsidRPr="007C60AF">
                    <w:rPr>
                      <w:rFonts w:eastAsia="Arial"/>
                      <w:b/>
                      <w:color w:val="4472C4"/>
                    </w:rPr>
                    <w:t>00</w:t>
                  </w:r>
                  <w:r w:rsidRPr="007C60AF">
                    <w:rPr>
                      <w:rFonts w:eastAsia="Arial"/>
                      <w:b/>
                      <w:color w:val="4472C4"/>
                    </w:rPr>
                    <w:t>]</w:t>
                  </w:r>
                </w:p>
              </w:tc>
            </w:tr>
            <w:tr w:rsidR="00416D85" w:rsidRPr="007C60AF" w14:paraId="292833CE" w14:textId="77777777">
              <w:tc>
                <w:tcPr>
                  <w:tcW w:w="1784" w:type="dxa"/>
                  <w:shd w:val="clear" w:color="auto" w:fill="D0CECE"/>
                </w:tcPr>
                <w:p w14:paraId="00000C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C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C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134</w:t>
                  </w:r>
                </w:p>
              </w:tc>
              <w:tc>
                <w:tcPr>
                  <w:tcW w:w="1784" w:type="dxa"/>
                </w:tcPr>
                <w:p w14:paraId="00000C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178</w:t>
                  </w:r>
                </w:p>
              </w:tc>
              <w:tc>
                <w:tcPr>
                  <w:tcW w:w="1785" w:type="dxa"/>
                </w:tcPr>
                <w:p w14:paraId="00000C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128</w:t>
                  </w:r>
                </w:p>
              </w:tc>
            </w:tr>
          </w:tbl>
          <w:p w14:paraId="00000C8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C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39: Unit cost of production (GBP/MT) for Q2 2023 – Q2 2024</w:t>
            </w:r>
          </w:p>
          <w:p w14:paraId="00000C8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f8"/>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06583CD5" w14:textId="77777777">
              <w:tc>
                <w:tcPr>
                  <w:tcW w:w="1163" w:type="dxa"/>
                  <w:shd w:val="clear" w:color="auto" w:fill="D0CECE"/>
                </w:tcPr>
                <w:p w14:paraId="00000C8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C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C8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C8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C8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C8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02226670" w14:textId="77777777">
              <w:tc>
                <w:tcPr>
                  <w:tcW w:w="1163" w:type="dxa"/>
                  <w:shd w:val="clear" w:color="auto" w:fill="D0CECE"/>
                </w:tcPr>
                <w:p w14:paraId="00000C8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C8C" w14:textId="6475797A"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551" w:type="dxa"/>
                </w:tcPr>
                <w:p w14:paraId="00000C8D" w14:textId="09C23822"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552" w:type="dxa"/>
                </w:tcPr>
                <w:p w14:paraId="00000C8E" w14:textId="2C788968"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552" w:type="dxa"/>
                </w:tcPr>
                <w:p w14:paraId="00000C8F" w14:textId="3CA1FFC0"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552" w:type="dxa"/>
                </w:tcPr>
                <w:p w14:paraId="00000C91" w14:textId="27E802EE"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r>
            <w:tr w:rsidR="00416D85" w:rsidRPr="007C60AF" w14:paraId="7CC08CDB" w14:textId="77777777">
              <w:tc>
                <w:tcPr>
                  <w:tcW w:w="1163" w:type="dxa"/>
                  <w:shd w:val="clear" w:color="auto" w:fill="D0CECE"/>
                </w:tcPr>
                <w:p w14:paraId="00000C9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C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C94" w14:textId="45A54406"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86</w:t>
                  </w:r>
                </w:p>
              </w:tc>
              <w:tc>
                <w:tcPr>
                  <w:tcW w:w="1552" w:type="dxa"/>
                </w:tcPr>
                <w:p w14:paraId="00000C95" w14:textId="702F6B53"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c>
                <w:tcPr>
                  <w:tcW w:w="1552" w:type="dxa"/>
                </w:tcPr>
                <w:p w14:paraId="00000C96" w14:textId="6635447D"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85</w:t>
                  </w:r>
                </w:p>
              </w:tc>
              <w:tc>
                <w:tcPr>
                  <w:tcW w:w="1552" w:type="dxa"/>
                </w:tcPr>
                <w:p w14:paraId="00000C97" w14:textId="24915AA2"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r>
          </w:tbl>
          <w:p w14:paraId="00000C98" w14:textId="77777777" w:rsidR="00416D85" w:rsidRPr="007C60AF" w:rsidRDefault="00416D85">
            <w:pPr>
              <w:spacing w:after="0"/>
              <w:jc w:val="both"/>
            </w:pPr>
          </w:p>
        </w:tc>
      </w:tr>
    </w:tbl>
    <w:p w14:paraId="00000C99"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9A"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t xml:space="preserve">For the goods that you produce, please state what level of profit, before tax and as a percentage of turnover, your company would expect to achieve if there was no injury from the imported goods and explain how you arrived at this figure. </w:t>
      </w:r>
    </w:p>
    <w:tbl>
      <w:tblPr>
        <w:tblStyle w:val="affffff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16D85" w:rsidRPr="007C60AF" w14:paraId="6B38DF6A" w14:textId="77777777">
        <w:tc>
          <w:tcPr>
            <w:tcW w:w="9016" w:type="dxa"/>
          </w:tcPr>
          <w:p w14:paraId="00000C9B" w14:textId="60E6D286" w:rsidR="00416D85" w:rsidRPr="007C60AF" w:rsidRDefault="00130320">
            <w:pPr>
              <w:jc w:val="both"/>
            </w:pPr>
            <w:r w:rsidRPr="007C60AF">
              <w:rPr>
                <w:b/>
                <w:color w:val="4472C4"/>
              </w:rPr>
              <w:t>[</w:t>
            </w:r>
            <w:sdt>
              <w:sdtPr>
                <w:tag w:val="goog_rdk_140"/>
                <w:id w:val="-1333982882"/>
              </w:sdtPr>
              <w:sdtContent/>
            </w:sdt>
            <w:sdt>
              <w:sdtPr>
                <w:tag w:val="goog_rdk_141"/>
                <w:id w:val="-1386022267"/>
              </w:sdtPr>
              <w:sdtContent/>
            </w:sdt>
            <w:r w:rsidRPr="007C60AF">
              <w:rPr>
                <w:b/>
                <w:color w:val="4472C4"/>
              </w:rPr>
              <w:t xml:space="preserve">SENSITIVE – BUSINESS PROPRIETARY INFORMATION ABOUT THE </w:t>
            </w:r>
            <w:r w:rsidR="007C6223" w:rsidRPr="007C60AF">
              <w:rPr>
                <w:b/>
                <w:color w:val="4472C4"/>
              </w:rPr>
              <w:t xml:space="preserve">TARGET PROFIT OF THE </w:t>
            </w:r>
            <w:r w:rsidRPr="007C60AF">
              <w:rPr>
                <w:b/>
                <w:color w:val="4472C4"/>
              </w:rPr>
              <w:t>APPLICANTS]</w:t>
            </w:r>
            <w:r w:rsidRPr="007C60AF">
              <w:rPr>
                <w:color w:val="4472C4"/>
              </w:rPr>
              <w:t>.</w:t>
            </w:r>
          </w:p>
        </w:tc>
      </w:tr>
    </w:tbl>
    <w:p w14:paraId="00000C9C"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9D"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t xml:space="preserve">Explain if your current sales prices for the goods are the same as your target sales prices. If not, please explain the reasons for this. </w:t>
      </w:r>
    </w:p>
    <w:tbl>
      <w:tblPr>
        <w:tblStyle w:val="affffff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16D85" w:rsidRPr="007C60AF" w14:paraId="7FDFC50A" w14:textId="77777777">
        <w:tc>
          <w:tcPr>
            <w:tcW w:w="9016" w:type="dxa"/>
          </w:tcPr>
          <w:p w14:paraId="00000C9E" w14:textId="7EE305BE" w:rsidR="00416D85" w:rsidRPr="007C60AF" w:rsidRDefault="00130320">
            <w:pPr>
              <w:jc w:val="both"/>
              <w:rPr>
                <w:i/>
                <w:color w:val="808080"/>
              </w:rPr>
            </w:pPr>
            <w:r w:rsidRPr="007C60AF">
              <w:rPr>
                <w:b/>
                <w:color w:val="4472C4"/>
              </w:rPr>
              <w:t xml:space="preserve">[SENSITIVE – BUSINESS PROPRIETARY INFORMATION ABOUT THE </w:t>
            </w:r>
            <w:r w:rsidR="007C6223" w:rsidRPr="007C60AF">
              <w:rPr>
                <w:b/>
                <w:color w:val="4472C4"/>
              </w:rPr>
              <w:t xml:space="preserve">CURRENT SALES PRICES OF THE </w:t>
            </w:r>
            <w:r w:rsidRPr="007C60AF">
              <w:rPr>
                <w:b/>
                <w:color w:val="4472C4"/>
              </w:rPr>
              <w:t>APPLICANTS</w:t>
            </w:r>
            <w:r w:rsidR="007C6223" w:rsidRPr="007C60AF">
              <w:rPr>
                <w:b/>
                <w:color w:val="4472C4"/>
              </w:rPr>
              <w:t xml:space="preserve"> AND THE DOWNWARD PRESSURE ON UK MARKET PRICES DUE TO HEAVILY DUMPED AND SUBSIDISED IMPORTS OF US HVO TO THE UK</w:t>
            </w:r>
            <w:r w:rsidRPr="007C60AF">
              <w:rPr>
                <w:b/>
                <w:color w:val="4472C4"/>
              </w:rPr>
              <w:t>]</w:t>
            </w:r>
            <w:r w:rsidRPr="007C60AF">
              <w:rPr>
                <w:color w:val="4472C4"/>
              </w:rPr>
              <w:t>.</w:t>
            </w:r>
          </w:p>
        </w:tc>
      </w:tr>
    </w:tbl>
    <w:p w14:paraId="00000C9F"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A0"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lastRenderedPageBreak/>
        <w:t xml:space="preserve">Provide details of any price undercutting and and/or if the prices of the dumped and/or subsidised imports are reducing or negatively affecting prices in the UK. Compare the sales prices of the dumped and/or subsidised imports with the sales prices of your goods on the UK market. Include any supporting evidence. </w:t>
      </w:r>
    </w:p>
    <w:tbl>
      <w:tblPr>
        <w:tblStyle w:val="affffffffb"/>
        <w:tblW w:w="9030" w:type="dxa"/>
        <w:tblLayout w:type="fixed"/>
        <w:tblLook w:val="0400" w:firstRow="0" w:lastRow="0" w:firstColumn="0" w:lastColumn="0" w:noHBand="0" w:noVBand="1"/>
      </w:tblPr>
      <w:tblGrid>
        <w:gridCol w:w="9030"/>
      </w:tblGrid>
      <w:tr w:rsidR="00416D85" w:rsidRPr="007C60AF" w14:paraId="2A17CE64" w14:textId="77777777">
        <w:tc>
          <w:tcPr>
            <w:tcW w:w="903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A1" w14:textId="77777777"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Applicants consider that they have demonstrated in their responses to questions G.1.1. to G.1.3. above that they are suffering material injury. </w:t>
            </w:r>
          </w:p>
          <w:p w14:paraId="00000CA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A3" w14:textId="77777777" w:rsidR="00416D85" w:rsidRPr="007C60AF" w:rsidRDefault="00130320">
            <w:pPr>
              <w:numPr>
                <w:ilvl w:val="6"/>
                <w:numId w:val="75"/>
              </w:numPr>
              <w:pBdr>
                <w:top w:val="nil"/>
                <w:left w:val="nil"/>
                <w:bottom w:val="nil"/>
                <w:right w:val="nil"/>
                <w:between w:val="nil"/>
              </w:pBdr>
              <w:spacing w:after="0" w:line="276" w:lineRule="auto"/>
              <w:jc w:val="both"/>
              <w:rPr>
                <w:rFonts w:eastAsia="Arial"/>
                <w:color w:val="4472C4"/>
              </w:rPr>
            </w:pPr>
            <w:r w:rsidRPr="007C60AF">
              <w:rPr>
                <w:rFonts w:eastAsia="Arial"/>
                <w:color w:val="4472C4"/>
              </w:rPr>
              <w:t>As noted above, "the spread of the prices for both FAME and HVO can vary significantly depending on the biodiesel market circumstances, namely the regulatory environment, the supply volumes and the feedstocks situation."</w:t>
            </w:r>
            <w:r w:rsidRPr="007C60AF">
              <w:rPr>
                <w:rFonts w:eastAsia="Arial"/>
                <w:color w:val="4472C4"/>
                <w:vertAlign w:val="superscript"/>
              </w:rPr>
              <w:footnoteReference w:id="157"/>
            </w:r>
            <w:r w:rsidRPr="007C60AF">
              <w:rPr>
                <w:rFonts w:eastAsia="Arial"/>
                <w:color w:val="4472C4"/>
              </w:rPr>
              <w:t xml:space="preserve">  This price spread makes it difficult to demonstrate undercutting and underselling. However, the price suppression has become so severe that when comparing the prices of US HVO to the prices of UCOME, the price difference continues to lower </w:t>
            </w:r>
            <w:r w:rsidRPr="007C60AF">
              <w:rPr>
                <w:rFonts w:eastAsia="Arial"/>
                <w:b/>
                <w:color w:val="4472C4"/>
              </w:rPr>
              <w:t>[SENSITIVE – regards UK pricing of HVO]</w:t>
            </w:r>
            <w:r w:rsidRPr="007C60AF">
              <w:rPr>
                <w:rFonts w:eastAsia="Arial"/>
                <w:color w:val="4472C4"/>
              </w:rPr>
              <w:t>. (</w:t>
            </w:r>
            <w:r w:rsidRPr="007C60AF">
              <w:rPr>
                <w:rFonts w:eastAsia="Arial"/>
                <w:i/>
                <w:color w:val="4472C4"/>
              </w:rPr>
              <w:t>see</w:t>
            </w:r>
            <w:r w:rsidRPr="007C60AF">
              <w:rPr>
                <w:rFonts w:eastAsia="Arial"/>
                <w:color w:val="4472C4"/>
              </w:rPr>
              <w:t xml:space="preserve"> Appendix E.2). </w:t>
            </w:r>
          </w:p>
          <w:p w14:paraId="00000CA4"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CA5" w14:textId="2A87F608" w:rsidR="00416D85" w:rsidRPr="007C60AF" w:rsidRDefault="00130320">
            <w:pPr>
              <w:numPr>
                <w:ilvl w:val="6"/>
                <w:numId w:val="75"/>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Applicants have calculated undercutting and underselling for </w:t>
            </w:r>
            <w:r w:rsidRPr="007C60AF">
              <w:rPr>
                <w:rFonts w:eastAsia="Arial"/>
                <w:b/>
                <w:color w:val="4472C4"/>
              </w:rPr>
              <w:t>[</w:t>
            </w:r>
            <w:r w:rsidR="00CD5EDC" w:rsidRPr="007C60AF">
              <w:rPr>
                <w:rFonts w:eastAsia="Arial"/>
                <w:b/>
                <w:color w:val="4472C4"/>
              </w:rPr>
              <w:t xml:space="preserve">Q2 </w:t>
            </w:r>
            <w:r w:rsidRPr="007C60AF">
              <w:rPr>
                <w:rFonts w:eastAsia="Arial"/>
                <w:b/>
                <w:color w:val="4472C4"/>
              </w:rPr>
              <w:t>2024]</w:t>
            </w:r>
            <w:r w:rsidRPr="007C60AF">
              <w:rPr>
                <w:rFonts w:eastAsia="Arial"/>
                <w:color w:val="4472C4"/>
              </w:rPr>
              <w:t>. Please refer to Appendix G.6 for detailed calculations.</w:t>
            </w:r>
          </w:p>
          <w:p w14:paraId="00000CA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A7" w14:textId="77777777" w:rsidR="00416D85" w:rsidRPr="007C60AF" w:rsidRDefault="00130320">
            <w:pPr>
              <w:numPr>
                <w:ilvl w:val="0"/>
                <w:numId w:val="4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Undercutting</w:t>
            </w:r>
          </w:p>
          <w:p w14:paraId="00000CA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A9" w14:textId="5C7271E5" w:rsidR="00416D85" w:rsidRPr="007C60AF" w:rsidRDefault="00130320">
            <w:pPr>
              <w:numPr>
                <w:ilvl w:val="6"/>
                <w:numId w:val="75"/>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The Applicants have calculated undercutting for </w:t>
            </w:r>
            <w:r w:rsidRPr="007C60AF">
              <w:rPr>
                <w:rFonts w:eastAsia="Arial"/>
                <w:b/>
                <w:color w:val="4472C4"/>
              </w:rPr>
              <w:t>[</w:t>
            </w:r>
            <w:r w:rsidR="00CD5EDC" w:rsidRPr="007C60AF">
              <w:rPr>
                <w:rFonts w:eastAsia="Arial"/>
                <w:b/>
                <w:color w:val="4472C4"/>
              </w:rPr>
              <w:t xml:space="preserve">Q2 </w:t>
            </w:r>
            <w:r w:rsidRPr="007C60AF">
              <w:rPr>
                <w:rFonts w:eastAsia="Arial"/>
                <w:b/>
                <w:color w:val="4472C4"/>
              </w:rPr>
              <w:t xml:space="preserve">2024 </w:t>
            </w:r>
            <w:r w:rsidRPr="007C60AF">
              <w:rPr>
                <w:rFonts w:eastAsia="Arial"/>
                <w:b/>
                <w:strike/>
                <w:color w:val="4472C4"/>
              </w:rPr>
              <w:t>SENSITIVE</w:t>
            </w:r>
            <w:r w:rsidRPr="007C60AF">
              <w:rPr>
                <w:rFonts w:eastAsia="Arial"/>
                <w:b/>
                <w:color w:val="4472C4"/>
              </w:rPr>
              <w:t>]</w:t>
            </w:r>
            <w:r w:rsidRPr="007C60AF">
              <w:rPr>
                <w:rFonts w:eastAsia="Arial"/>
                <w:color w:val="4472C4"/>
              </w:rPr>
              <w:t xml:space="preserve"> </w:t>
            </w:r>
            <w:proofErr w:type="gramStart"/>
            <w:r w:rsidRPr="007C60AF">
              <w:rPr>
                <w:rFonts w:eastAsia="Arial"/>
                <w:color w:val="4472C4"/>
              </w:rPr>
              <w:t>on the basis of</w:t>
            </w:r>
            <w:proofErr w:type="gramEnd"/>
            <w:r w:rsidRPr="007C60AF">
              <w:rPr>
                <w:rFonts w:eastAsia="Arial"/>
                <w:color w:val="4472C4"/>
              </w:rPr>
              <w:t xml:space="preserve"> comparing: </w:t>
            </w:r>
          </w:p>
          <w:p w14:paraId="6EADDF56" w14:textId="552CAE84" w:rsidR="00E75653" w:rsidRPr="007C60AF" w:rsidRDefault="00130320" w:rsidP="00E75653">
            <w:pPr>
              <w:numPr>
                <w:ilvl w:val="0"/>
                <w:numId w:val="84"/>
              </w:numPr>
              <w:pBdr>
                <w:top w:val="nil"/>
                <w:left w:val="nil"/>
                <w:bottom w:val="nil"/>
                <w:right w:val="nil"/>
                <w:between w:val="nil"/>
              </w:pBdr>
              <w:spacing w:before="240" w:after="0"/>
              <w:jc w:val="both"/>
              <w:rPr>
                <w:rFonts w:eastAsia="Arial"/>
                <w:strike/>
                <w:color w:val="4472C4"/>
              </w:rPr>
            </w:pPr>
            <w:r w:rsidRPr="007C60AF">
              <w:rPr>
                <w:rFonts w:eastAsia="Arial"/>
                <w:color w:val="4472C4"/>
              </w:rPr>
              <w:t xml:space="preserve">UCOME prices FOB ARA from Argus quotes, adjusted by: (i) the 6.5% duty for imported biodiesel; (ii) </w:t>
            </w:r>
            <w:r w:rsidRPr="007C60AF">
              <w:rPr>
                <w:rFonts w:eastAsia="Arial"/>
                <w:b/>
                <w:color w:val="4472C4"/>
              </w:rPr>
              <w:t>[SENSITIVE DETAILED</w:t>
            </w:r>
            <w:r w:rsidR="00175722" w:rsidRPr="007C60AF">
              <w:rPr>
                <w:rFonts w:eastAsia="Arial"/>
                <w:b/>
                <w:color w:val="4472C4"/>
              </w:rPr>
              <w:t xml:space="preserve"> </w:t>
            </w:r>
            <w:r w:rsidRPr="007C60AF">
              <w:rPr>
                <w:rFonts w:eastAsia="Arial"/>
                <w:b/>
                <w:color w:val="4472C4"/>
              </w:rPr>
              <w:t>PRICE]</w:t>
            </w:r>
            <w:r w:rsidRPr="007C60AF">
              <w:rPr>
                <w:rFonts w:eastAsia="Arial"/>
                <w:color w:val="4472C4"/>
              </w:rPr>
              <w:t>.</w:t>
            </w:r>
            <w:r w:rsidR="00E75653" w:rsidRPr="007C60AF">
              <w:rPr>
                <w:rFonts w:eastAsia="Arial"/>
                <w:color w:val="4472C4"/>
              </w:rPr>
              <w:t xml:space="preserve"> </w:t>
            </w:r>
            <w:r w:rsidRPr="007C60AF">
              <w:rPr>
                <w:rFonts w:eastAsia="Arial"/>
                <w:color w:val="4472C4"/>
              </w:rPr>
              <w:t xml:space="preserve">USD/cbm for customs clearance cost, handling and storage charges etc.; and (iii) </w:t>
            </w:r>
            <w:r w:rsidRPr="007C60AF">
              <w:rPr>
                <w:rFonts w:eastAsia="Arial"/>
                <w:b/>
                <w:color w:val="4472C4"/>
              </w:rPr>
              <w:t>SENSITIVE DETAILED PRICE]</w:t>
            </w:r>
            <w:r w:rsidRPr="007C60AF">
              <w:rPr>
                <w:rFonts w:eastAsia="Arial"/>
                <w:color w:val="4472C4"/>
              </w:rPr>
              <w:t xml:space="preserve"> USD/cbm for freight from ARA to the UK. This provides the UK UCOME price (which is an equivalent of EXW UK); and </w:t>
            </w:r>
          </w:p>
          <w:p w14:paraId="00000CAE" w14:textId="2713B4F7" w:rsidR="00416D85" w:rsidRPr="007C60AF" w:rsidRDefault="00130320" w:rsidP="00E75653">
            <w:pPr>
              <w:numPr>
                <w:ilvl w:val="0"/>
                <w:numId w:val="84"/>
              </w:numPr>
              <w:pBdr>
                <w:top w:val="nil"/>
                <w:left w:val="nil"/>
                <w:bottom w:val="nil"/>
                <w:right w:val="nil"/>
                <w:between w:val="nil"/>
              </w:pBdr>
              <w:spacing w:before="240" w:after="0"/>
              <w:jc w:val="both"/>
              <w:rPr>
                <w:rFonts w:eastAsia="Arial"/>
                <w:strike/>
                <w:color w:val="4472C4"/>
              </w:rPr>
            </w:pPr>
            <w:r w:rsidRPr="007C60AF">
              <w:rPr>
                <w:rFonts w:eastAsia="Arial"/>
                <w:color w:val="4472C4"/>
              </w:rPr>
              <w:t xml:space="preserve">US HVO export landed price, which was adjusted from US HVO CIF by adding </w:t>
            </w:r>
            <w:r w:rsidRPr="007C60AF">
              <w:rPr>
                <w:rFonts w:eastAsia="Arial"/>
                <w:b/>
                <w:color w:val="4472C4"/>
              </w:rPr>
              <w:t>SENSITIVE DETAILED PRICE]</w:t>
            </w:r>
            <w:r w:rsidR="00E75653" w:rsidRPr="007C60AF">
              <w:rPr>
                <w:rFonts w:eastAsia="Arial"/>
                <w:color w:val="4472C4"/>
              </w:rPr>
              <w:t xml:space="preserve"> </w:t>
            </w:r>
            <w:r w:rsidRPr="007C60AF">
              <w:rPr>
                <w:rFonts w:eastAsia="Arial"/>
                <w:color w:val="4472C4"/>
              </w:rPr>
              <w:t>USD/cbm for customs clearance cost, handling and storage charges etc.</w:t>
            </w:r>
          </w:p>
          <w:p w14:paraId="00000CAF"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CB0" w14:textId="2258BF8C"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w:t>
            </w:r>
            <w:r w:rsidR="009D0A93" w:rsidRPr="007C60AF">
              <w:rPr>
                <w:rFonts w:eastAsia="Arial"/>
                <w:b/>
                <w:color w:val="4472C4"/>
              </w:rPr>
              <w:t>COMMERCIALLY SENSITIVE – DETAILS OF SEASONAL MIXES AND COSTS</w:t>
            </w:r>
            <w:r w:rsidRPr="007C60AF">
              <w:rPr>
                <w:rFonts w:eastAsia="Arial"/>
                <w:b/>
                <w:color w:val="4472C4"/>
              </w:rPr>
              <w:t>]</w:t>
            </w:r>
          </w:p>
          <w:p w14:paraId="00000CB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B2" w14:textId="77777777"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The UK prices of HVO and UCOME (both waste-based) are closely interlinked with the EU prices thereof, which is why any quotes available on the UK market always refer to the ARA pricing (Amsterdam-Rotterdam-Antwerp) of those goods.</w:t>
            </w:r>
          </w:p>
          <w:p w14:paraId="00000CB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B4" w14:textId="77777777"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[COMMERCIALLY SENSITIVE – detailed pricing data for UK FAME]</w:t>
            </w:r>
            <w:r w:rsidRPr="007C60AF">
              <w:rPr>
                <w:rFonts w:eastAsia="Arial"/>
                <w:color w:val="4472C4"/>
              </w:rPr>
              <w:t>.</w:t>
            </w:r>
          </w:p>
          <w:p w14:paraId="00000CB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CB6" w14:textId="5EBA3C38"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undercutting margin for </w:t>
            </w:r>
            <w:r w:rsidRPr="007C60AF">
              <w:rPr>
                <w:rFonts w:eastAsia="Arial"/>
                <w:b/>
                <w:color w:val="4472C4"/>
              </w:rPr>
              <w:t>[Q2 2024]</w:t>
            </w:r>
            <w:r w:rsidRPr="007C60AF">
              <w:rPr>
                <w:rFonts w:eastAsia="Arial"/>
                <w:color w:val="4472C4"/>
              </w:rPr>
              <w:t xml:space="preserve"> is </w:t>
            </w:r>
            <w:r w:rsidRPr="007C60AF">
              <w:rPr>
                <w:rFonts w:eastAsia="Arial"/>
                <w:b/>
                <w:color w:val="4472C4"/>
              </w:rPr>
              <w:t>[</w:t>
            </w:r>
            <w:r w:rsidR="009A3209" w:rsidRPr="007C60AF">
              <w:rPr>
                <w:rFonts w:eastAsia="Arial"/>
                <w:b/>
                <w:color w:val="4472C4"/>
              </w:rPr>
              <w:t>5</w:t>
            </w:r>
            <w:r w:rsidRPr="007C60AF">
              <w:rPr>
                <w:rFonts w:eastAsia="Arial"/>
                <w:b/>
                <w:color w:val="4472C4"/>
              </w:rPr>
              <w:t>-15]</w:t>
            </w:r>
            <w:r w:rsidRPr="007C60AF">
              <w:rPr>
                <w:rFonts w:eastAsia="Arial"/>
                <w:color w:val="4472C4"/>
              </w:rPr>
              <w:t xml:space="preserve">%. </w:t>
            </w:r>
          </w:p>
          <w:p w14:paraId="00000CB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CB8" w14:textId="77777777" w:rsidR="00416D85" w:rsidRPr="007C60AF" w:rsidRDefault="00130320">
            <w:pPr>
              <w:numPr>
                <w:ilvl w:val="0"/>
                <w:numId w:val="44"/>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Underselling</w:t>
            </w:r>
          </w:p>
          <w:p w14:paraId="00000CB9"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CBA" w14:textId="30C2EA77" w:rsidR="00416D85" w:rsidRPr="007C60AF" w:rsidRDefault="00130320">
            <w:pPr>
              <w:numPr>
                <w:ilvl w:val="6"/>
                <w:numId w:val="75"/>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Applicants have calculated underselling for </w:t>
            </w:r>
            <w:r w:rsidRPr="007C60AF">
              <w:rPr>
                <w:rFonts w:eastAsia="Arial"/>
                <w:b/>
                <w:color w:val="4472C4"/>
              </w:rPr>
              <w:t>[</w:t>
            </w:r>
            <w:r w:rsidR="009D0A93" w:rsidRPr="007C60AF">
              <w:rPr>
                <w:rFonts w:eastAsia="Arial"/>
                <w:b/>
                <w:color w:val="4472C4"/>
              </w:rPr>
              <w:t>Q2 2024</w:t>
            </w:r>
            <w:r w:rsidRPr="007C60AF">
              <w:rPr>
                <w:rFonts w:eastAsia="Arial"/>
                <w:b/>
                <w:color w:val="4472C4"/>
              </w:rPr>
              <w:t>]</w:t>
            </w:r>
            <w:r w:rsidRPr="007C60AF">
              <w:rPr>
                <w:rFonts w:eastAsia="Arial"/>
                <w:color w:val="4472C4"/>
              </w:rPr>
              <w:t xml:space="preserve"> </w:t>
            </w:r>
            <w:proofErr w:type="gramStart"/>
            <w:r w:rsidRPr="007C60AF">
              <w:rPr>
                <w:rFonts w:eastAsia="Arial"/>
                <w:color w:val="4472C4"/>
              </w:rPr>
              <w:t>on the basis of</w:t>
            </w:r>
            <w:proofErr w:type="gramEnd"/>
            <w:r w:rsidRPr="007C60AF">
              <w:rPr>
                <w:rFonts w:eastAsia="Arial"/>
                <w:color w:val="4472C4"/>
              </w:rPr>
              <w:t xml:space="preserve"> comparing UK target prices for FAME with the US HVO export landed price. </w:t>
            </w:r>
          </w:p>
          <w:p w14:paraId="00000CBB"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CBC" w14:textId="7D98AE67" w:rsidR="00416D85" w:rsidRPr="007C60AF" w:rsidRDefault="00130320">
            <w:pPr>
              <w:numPr>
                <w:ilvl w:val="6"/>
                <w:numId w:val="75"/>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underselling margin for </w:t>
            </w:r>
            <w:r w:rsidRPr="007C60AF">
              <w:rPr>
                <w:rFonts w:eastAsia="Arial"/>
                <w:b/>
                <w:color w:val="4472C4"/>
              </w:rPr>
              <w:t>[</w:t>
            </w:r>
            <w:r w:rsidR="00CD5EDC" w:rsidRPr="007C60AF">
              <w:rPr>
                <w:rFonts w:eastAsia="Arial"/>
                <w:b/>
                <w:color w:val="4472C4"/>
              </w:rPr>
              <w:t xml:space="preserve">Q2 </w:t>
            </w:r>
            <w:r w:rsidRPr="007C60AF">
              <w:rPr>
                <w:rFonts w:eastAsia="Arial"/>
                <w:b/>
                <w:color w:val="4472C4"/>
              </w:rPr>
              <w:t>2024]</w:t>
            </w:r>
            <w:r w:rsidRPr="007C60AF">
              <w:rPr>
                <w:rFonts w:eastAsia="Arial"/>
                <w:color w:val="4472C4"/>
              </w:rPr>
              <w:t xml:space="preserve"> is between </w:t>
            </w:r>
            <w:r w:rsidRPr="007C60AF">
              <w:rPr>
                <w:rFonts w:eastAsia="Arial"/>
                <w:b/>
                <w:color w:val="4472C4"/>
              </w:rPr>
              <w:t>[</w:t>
            </w:r>
            <w:r w:rsidR="009A3209" w:rsidRPr="007C60AF">
              <w:rPr>
                <w:rFonts w:eastAsia="Arial"/>
                <w:b/>
                <w:color w:val="4472C4"/>
              </w:rPr>
              <w:t>10-20</w:t>
            </w:r>
            <w:r w:rsidRPr="007C60AF">
              <w:rPr>
                <w:rFonts w:eastAsia="Arial"/>
                <w:b/>
                <w:color w:val="4472C4"/>
              </w:rPr>
              <w:t>]</w:t>
            </w:r>
            <w:r w:rsidRPr="007C60AF">
              <w:rPr>
                <w:rFonts w:eastAsia="Arial"/>
                <w:color w:val="4472C4"/>
              </w:rPr>
              <w:t xml:space="preserve">% and will continue to increase (as it is likely to follow the developments on the EU market). </w:t>
            </w:r>
          </w:p>
          <w:p w14:paraId="00000CB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BE" w14:textId="77777777"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As evidenced from the calculations above, </w:t>
            </w:r>
            <w:proofErr w:type="gramStart"/>
            <w:r w:rsidRPr="007C60AF">
              <w:rPr>
                <w:rFonts w:eastAsia="Arial"/>
                <w:color w:val="4472C4"/>
              </w:rPr>
              <w:t>it is clear that the</w:t>
            </w:r>
            <w:proofErr w:type="gramEnd"/>
            <w:r w:rsidRPr="007C60AF">
              <w:rPr>
                <w:rFonts w:eastAsia="Arial"/>
                <w:color w:val="4472C4"/>
              </w:rPr>
              <w:t xml:space="preserve"> dumped and subsidised imports of US HVO have been undercutting and underselling the domestic prices. The Applicants are already suffering material injury, and developments in the EU are expected to amplify this injury (</w:t>
            </w:r>
            <w:r w:rsidRPr="007C60AF">
              <w:rPr>
                <w:rFonts w:eastAsia="Arial"/>
                <w:i/>
                <w:color w:val="4472C4"/>
              </w:rPr>
              <w:t>see</w:t>
            </w:r>
            <w:r w:rsidRPr="007C60AF">
              <w:rPr>
                <w:rFonts w:eastAsia="Arial"/>
                <w:color w:val="4472C4"/>
              </w:rPr>
              <w:t xml:space="preserve"> the response to question G.2. below (threat of injury)) if no measures are imposed on dumped and subsidised imports of US HVO.</w:t>
            </w:r>
          </w:p>
        </w:tc>
      </w:tr>
    </w:tbl>
    <w:p w14:paraId="00000CBF"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bookmarkStart w:id="52" w:name="_heading=h.of88l9fpeo6k" w:colFirst="0" w:colLast="0"/>
      <w:bookmarkEnd w:id="52"/>
    </w:p>
    <w:p w14:paraId="00000CC0" w14:textId="77777777" w:rsidR="00416D85" w:rsidRPr="007C60AF" w:rsidRDefault="00130320">
      <w:pPr>
        <w:pBdr>
          <w:top w:val="nil"/>
          <w:left w:val="nil"/>
          <w:bottom w:val="nil"/>
          <w:right w:val="nil"/>
          <w:between w:val="nil"/>
        </w:pBdr>
        <w:spacing w:before="160" w:line="360" w:lineRule="auto"/>
        <w:jc w:val="both"/>
        <w:rPr>
          <w:rFonts w:eastAsia="Arial"/>
          <w:b/>
          <w:color w:val="000000"/>
          <w:sz w:val="26"/>
          <w:szCs w:val="26"/>
        </w:rPr>
      </w:pPr>
      <w:r w:rsidRPr="007C60AF">
        <w:rPr>
          <w:rFonts w:eastAsia="Arial"/>
          <w:b/>
          <w:color w:val="4472C4"/>
          <w:sz w:val="28"/>
          <w:szCs w:val="28"/>
        </w:rPr>
        <w:t xml:space="preserve">G.2. </w:t>
      </w:r>
      <w:r w:rsidRPr="007C60AF">
        <w:rPr>
          <w:rFonts w:eastAsia="Arial"/>
          <w:b/>
          <w:color w:val="000000"/>
          <w:sz w:val="28"/>
          <w:szCs w:val="28"/>
        </w:rPr>
        <w:t xml:space="preserve">Threat of injury </w:t>
      </w:r>
    </w:p>
    <w:p w14:paraId="00000CC1" w14:textId="77777777" w:rsidR="00416D85" w:rsidRPr="007C60AF" w:rsidRDefault="00130320">
      <w:pPr>
        <w:numPr>
          <w:ilvl w:val="3"/>
          <w:numId w:val="14"/>
        </w:numPr>
        <w:pBdr>
          <w:top w:val="nil"/>
          <w:left w:val="nil"/>
          <w:bottom w:val="nil"/>
          <w:right w:val="nil"/>
          <w:between w:val="nil"/>
        </w:pBdr>
        <w:spacing w:before="120" w:line="276" w:lineRule="auto"/>
        <w:jc w:val="both"/>
      </w:pPr>
      <w:r w:rsidRPr="007C60AF">
        <w:rPr>
          <w:rFonts w:eastAsia="Arial"/>
          <w:color w:val="000000"/>
        </w:rPr>
        <w:t>Describe the change in circumstances that means the threat of material injury from dumping and/or subsidisation is foreseeable and imminent. The factors behind these changes could include:</w:t>
      </w:r>
    </w:p>
    <w:p w14:paraId="00000CC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rate of increase of dumped and/or subsidised </w:t>
      </w:r>
      <w:proofErr w:type="gramStart"/>
      <w:r w:rsidRPr="007C60AF">
        <w:rPr>
          <w:rFonts w:eastAsia="Arial"/>
          <w:color w:val="000000"/>
        </w:rPr>
        <w:t>imports;</w:t>
      </w:r>
      <w:proofErr w:type="gramEnd"/>
    </w:p>
    <w:p w14:paraId="00000CC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changes to the available production capacity of the </w:t>
      </w:r>
      <w:proofErr w:type="gramStart"/>
      <w:r w:rsidRPr="007C60AF">
        <w:rPr>
          <w:rFonts w:eastAsia="Arial"/>
          <w:color w:val="000000"/>
        </w:rPr>
        <w:t>exporters;</w:t>
      </w:r>
      <w:proofErr w:type="gramEnd"/>
    </w:p>
    <w:p w14:paraId="00000CC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changes to inventories of the imported goods (i.e. if large stocks of these goods are building up in their country of origin ready for export</w:t>
      </w:r>
      <w:proofErr w:type="gramStart"/>
      <w:r w:rsidRPr="007C60AF">
        <w:rPr>
          <w:rFonts w:eastAsia="Arial"/>
          <w:color w:val="000000"/>
        </w:rPr>
        <w:t>);</w:t>
      </w:r>
      <w:proofErr w:type="gramEnd"/>
    </w:p>
    <w:p w14:paraId="00000CC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expected price depression or price suppression of further imports; and</w:t>
      </w:r>
    </w:p>
    <w:p w14:paraId="00000CC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any other relevant factors.</w:t>
      </w:r>
    </w:p>
    <w:tbl>
      <w:tblPr>
        <w:tblStyle w:val="affffffffc"/>
        <w:tblW w:w="9016" w:type="dxa"/>
        <w:tblLayout w:type="fixed"/>
        <w:tblLook w:val="0400" w:firstRow="0" w:lastRow="0" w:firstColumn="0" w:lastColumn="0" w:noHBand="0" w:noVBand="1"/>
      </w:tblPr>
      <w:tblGrid>
        <w:gridCol w:w="9016"/>
      </w:tblGrid>
      <w:tr w:rsidR="00416D85" w:rsidRPr="007C60AF" w14:paraId="6E55998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C7" w14:textId="5A5CCB42"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Applicants consider that they have demonstrated in their responses to the questions G.1.1. to G.1.6. above that they are suffering material injury. However, developments in the EU are expected to amplify the injury that is already present in </w:t>
            </w:r>
            <w:r w:rsidRPr="007C60AF">
              <w:rPr>
                <w:rFonts w:eastAsia="Arial"/>
                <w:color w:val="4472C4"/>
              </w:rPr>
              <w:lastRenderedPageBreak/>
              <w:t xml:space="preserve">the UK market. For that reason, the Applicants have also undertaken undercutting and underselling calculations based on data provided by </w:t>
            </w:r>
            <w:r w:rsidR="00CD5EDC" w:rsidRPr="007C60AF">
              <w:rPr>
                <w:rFonts w:eastAsia="Arial"/>
                <w:b/>
                <w:bCs/>
                <w:color w:val="4472C4"/>
              </w:rPr>
              <w:t>[SENSITIVE]</w:t>
            </w:r>
            <w:r w:rsidRPr="007C60AF">
              <w:rPr>
                <w:rFonts w:eastAsia="Arial"/>
                <w:color w:val="4472C4"/>
              </w:rPr>
              <w:t>, an EU producer, to indicate what is likely to happen to the UK industry if no measures are imposed on dumped and subsidised imports of US HVO.</w:t>
            </w:r>
          </w:p>
          <w:p w14:paraId="00000CC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C9" w14:textId="77777777" w:rsidR="00416D85" w:rsidRPr="007C60AF" w:rsidRDefault="0013032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u w:val="single"/>
              </w:rPr>
              <w:t>Target profit</w:t>
            </w:r>
          </w:p>
          <w:p w14:paraId="00000CC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p>
          <w:p w14:paraId="00000CCB" w14:textId="3B0C41B1"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Target profit has been calculated </w:t>
            </w:r>
            <w:proofErr w:type="gramStart"/>
            <w:r w:rsidRPr="007C60AF">
              <w:rPr>
                <w:rFonts w:eastAsia="Arial"/>
                <w:color w:val="4472C4"/>
              </w:rPr>
              <w:t>on the basis of</w:t>
            </w:r>
            <w:proofErr w:type="gramEnd"/>
            <w:r w:rsidRPr="007C60AF">
              <w:rPr>
                <w:rFonts w:eastAsia="Arial"/>
                <w:color w:val="4472C4"/>
              </w:rPr>
              <w:t xml:space="preserve"> </w:t>
            </w:r>
            <w:r w:rsidRPr="007C60AF">
              <w:rPr>
                <w:rFonts w:eastAsia="Arial"/>
                <w:b/>
                <w:color w:val="4472C4"/>
              </w:rPr>
              <w:t>[SENSITIVE</w:t>
            </w:r>
            <w:r w:rsidR="00CD5EDC" w:rsidRPr="007C60AF">
              <w:rPr>
                <w:rFonts w:eastAsia="Arial"/>
                <w:b/>
                <w:color w:val="4472C4"/>
              </w:rPr>
              <w:t xml:space="preserve"> – </w:t>
            </w:r>
            <w:r w:rsidR="00D91A75" w:rsidRPr="007C60AF">
              <w:rPr>
                <w:rFonts w:eastAsia="Arial"/>
                <w:b/>
                <w:color w:val="4472C4"/>
              </w:rPr>
              <w:t xml:space="preserve">BUSINESS PROPRIETARY </w:t>
            </w:r>
            <w:r w:rsidR="00CD5EDC" w:rsidRPr="007C60AF">
              <w:rPr>
                <w:rFonts w:eastAsia="Arial"/>
                <w:b/>
                <w:color w:val="4472C4"/>
              </w:rPr>
              <w:t>INFORMATION OBTAINED FROM AN EU PRODUCER</w:t>
            </w:r>
            <w:r w:rsidRPr="007C60AF">
              <w:rPr>
                <w:rFonts w:eastAsia="Arial"/>
                <w:b/>
                <w:color w:val="4472C4"/>
              </w:rPr>
              <w:t>]</w:t>
            </w:r>
            <w:r w:rsidRPr="007C60AF">
              <w:rPr>
                <w:rFonts w:eastAsia="Arial"/>
                <w:color w:val="4472C4"/>
              </w:rPr>
              <w:t>.</w:t>
            </w:r>
            <w:r w:rsidRPr="007C60AF">
              <w:rPr>
                <w:rFonts w:eastAsia="Arial"/>
                <w:b/>
                <w:color w:val="4472C4"/>
              </w:rPr>
              <w:t xml:space="preserve"> </w:t>
            </w:r>
            <w:r w:rsidRPr="007C60AF">
              <w:rPr>
                <w:rFonts w:eastAsia="Arial"/>
                <w:color w:val="4472C4"/>
              </w:rPr>
              <w:t xml:space="preserve">Based on these figures, during the POI the target profit for </w:t>
            </w:r>
            <w:r w:rsidRPr="007C60AF">
              <w:rPr>
                <w:rFonts w:eastAsia="Arial"/>
                <w:b/>
                <w:color w:val="4472C4"/>
              </w:rPr>
              <w:t>[SENSITIVE</w:t>
            </w:r>
            <w:r w:rsidR="00CD5EDC" w:rsidRPr="007C60AF">
              <w:rPr>
                <w:rFonts w:eastAsia="Arial"/>
                <w:b/>
                <w:color w:val="4472C4"/>
              </w:rPr>
              <w:t xml:space="preserve"> – </w:t>
            </w:r>
            <w:r w:rsidR="00D91A75" w:rsidRPr="007C60AF">
              <w:rPr>
                <w:rFonts w:eastAsia="Arial"/>
                <w:b/>
                <w:color w:val="4472C4"/>
              </w:rPr>
              <w:t>BUSINESS PROPRIETARY INFORMATION OBTAINED FROM AN EU PRODUCER</w:t>
            </w:r>
            <w:r w:rsidRPr="007C60AF">
              <w:rPr>
                <w:rFonts w:eastAsia="Arial"/>
                <w:b/>
                <w:color w:val="4472C4"/>
              </w:rPr>
              <w:t xml:space="preserve">] </w:t>
            </w:r>
            <w:r w:rsidRPr="007C60AF">
              <w:rPr>
                <w:rFonts w:eastAsia="Arial"/>
                <w:color w:val="4472C4"/>
              </w:rPr>
              <w:t xml:space="preserve">was </w:t>
            </w:r>
            <w:r w:rsidRPr="007C60AF">
              <w:rPr>
                <w:rFonts w:eastAsia="Arial"/>
                <w:b/>
                <w:color w:val="4472C4"/>
              </w:rPr>
              <w:t>[SENSITIVE</w:t>
            </w:r>
            <w:r w:rsidR="00CD5EDC" w:rsidRPr="007C60AF">
              <w:rPr>
                <w:rFonts w:eastAsia="Arial"/>
                <w:b/>
                <w:color w:val="4472C4"/>
              </w:rPr>
              <w:t xml:space="preserve"> – </w:t>
            </w:r>
            <w:r w:rsidR="00D91A75" w:rsidRPr="007C60AF">
              <w:rPr>
                <w:rFonts w:eastAsia="Arial"/>
                <w:b/>
                <w:color w:val="4472C4"/>
              </w:rPr>
              <w:t>BUSINESS PROPRIETARY INFORMATION OBTAINED FROM AN EU PRODUCER</w:t>
            </w:r>
            <w:r w:rsidRPr="007C60AF">
              <w:rPr>
                <w:rFonts w:eastAsia="Arial"/>
                <w:b/>
                <w:color w:val="4472C4"/>
              </w:rPr>
              <w:t>]</w:t>
            </w:r>
            <w:r w:rsidRPr="007C60AF">
              <w:rPr>
                <w:rFonts w:eastAsia="Arial"/>
                <w:color w:val="4472C4"/>
              </w:rPr>
              <w:t xml:space="preserve">. </w:t>
            </w:r>
          </w:p>
          <w:p w14:paraId="00000CC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CD" w14:textId="2887B5BF"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calculated target profit falls in between </w:t>
            </w:r>
            <w:r w:rsidRPr="007C60AF">
              <w:rPr>
                <w:rFonts w:eastAsia="Arial"/>
                <w:b/>
                <w:color w:val="4472C4"/>
              </w:rPr>
              <w:t>[SENSITIVE]</w:t>
            </w:r>
            <w:r w:rsidRPr="007C60AF">
              <w:rPr>
                <w:rFonts w:eastAsia="Arial"/>
                <w:color w:val="4472C4"/>
              </w:rPr>
              <w:t xml:space="preserve"> public internal rate of return ("</w:t>
            </w:r>
            <w:r w:rsidRPr="007C60AF">
              <w:rPr>
                <w:rFonts w:eastAsia="Arial"/>
                <w:b/>
                <w:color w:val="4472C4"/>
              </w:rPr>
              <w:t>IRR</w:t>
            </w:r>
            <w:r w:rsidRPr="007C60AF">
              <w:rPr>
                <w:rFonts w:eastAsia="Arial"/>
                <w:color w:val="4472C4"/>
              </w:rPr>
              <w:t xml:space="preserve">") target of </w:t>
            </w:r>
            <w:r w:rsidRPr="007C60AF">
              <w:rPr>
                <w:rFonts w:eastAsia="Arial"/>
                <w:b/>
                <w:color w:val="4472C4"/>
              </w:rPr>
              <w:t>[</w:t>
            </w:r>
            <w:r w:rsidR="00D91A75" w:rsidRPr="007C60AF">
              <w:rPr>
                <w:rFonts w:eastAsia="Arial"/>
                <w:b/>
                <w:color w:val="4472C4"/>
              </w:rPr>
              <w:t>SENSITIVE – BUSINESS PROPRIETARY INFORMATION OBTAINED FROM AN EU PRODUCER</w:t>
            </w:r>
            <w:r w:rsidRPr="007C60AF">
              <w:rPr>
                <w:rFonts w:eastAsia="Arial"/>
                <w:b/>
                <w:color w:val="4472C4"/>
              </w:rPr>
              <w:t>]</w:t>
            </w:r>
            <w:r w:rsidRPr="007C60AF">
              <w:rPr>
                <w:rFonts w:eastAsia="Arial"/>
                <w:color w:val="4472C4"/>
              </w:rPr>
              <w:t>. This figure accurately reflects higher than average risks associated with biofuel investments required to keep up with market developments (associated with necessary technology development and regulatory risks).</w:t>
            </w:r>
          </w:p>
          <w:p w14:paraId="00000CC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CF" w14:textId="77777777" w:rsidR="00416D85" w:rsidRPr="007C60AF" w:rsidRDefault="0013032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Sales prices</w:t>
            </w:r>
          </w:p>
          <w:p w14:paraId="00000CD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p>
          <w:p w14:paraId="00000CD1" w14:textId="07B8885B"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[SENSITIVE</w:t>
            </w:r>
            <w:r w:rsidR="00D91A75" w:rsidRPr="007C60AF">
              <w:rPr>
                <w:rFonts w:eastAsia="Arial"/>
                <w:b/>
                <w:color w:val="4472C4"/>
              </w:rPr>
              <w:t xml:space="preserve"> – BUSINESS PROPRIETARY INFORMATION OBTAINED FROM AN EU PRODUCER</w:t>
            </w:r>
            <w:r w:rsidRPr="007C60AF">
              <w:rPr>
                <w:rFonts w:eastAsia="Arial"/>
                <w:b/>
                <w:color w:val="4472C4"/>
              </w:rPr>
              <w:t>]</w:t>
            </w:r>
            <w:r w:rsidRPr="007C60AF">
              <w:rPr>
                <w:rFonts w:eastAsia="Arial"/>
                <w:color w:val="4472C4"/>
              </w:rPr>
              <w:t>.</w:t>
            </w:r>
          </w:p>
          <w:p w14:paraId="00000CD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D3" w14:textId="77777777" w:rsidR="00416D85" w:rsidRPr="007C60AF" w:rsidRDefault="0013032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Undercutting and underselling</w:t>
            </w:r>
          </w:p>
          <w:p w14:paraId="00000CD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CD5"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have calculated both undercutting and underselling based on a comparison between the US exported HVO price and the price of HVO produced in the EU by an EU producer and exported to the UK (EXW EU sales price adjusted by shipping cost to the EXW UK). </w:t>
            </w:r>
          </w:p>
          <w:p w14:paraId="00000CD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D7"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UK prices of HVO and UCOME (both waste-based) are closely interlinked with the EU prices thereof, which is why any quotes available on the UK market always refer to the ARA pricing (Amsterdam-Rotterdam-Antwerp) of those goods.</w:t>
            </w:r>
          </w:p>
          <w:p w14:paraId="00000CD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D9"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As such, the Applicants have calculated:</w:t>
            </w:r>
          </w:p>
          <w:p w14:paraId="00000CDA" w14:textId="77777777" w:rsidR="00416D85" w:rsidRPr="007C60AF" w:rsidRDefault="00130320">
            <w:pPr>
              <w:numPr>
                <w:ilvl w:val="0"/>
                <w:numId w:val="81"/>
              </w:numPr>
              <w:pBdr>
                <w:top w:val="nil"/>
                <w:left w:val="nil"/>
                <w:bottom w:val="nil"/>
                <w:right w:val="nil"/>
                <w:between w:val="nil"/>
              </w:pBdr>
              <w:spacing w:before="240" w:after="0"/>
              <w:jc w:val="both"/>
              <w:rPr>
                <w:rFonts w:eastAsia="Arial"/>
                <w:color w:val="4472C4"/>
              </w:rPr>
            </w:pPr>
            <w:r w:rsidRPr="007C60AF">
              <w:rPr>
                <w:rFonts w:eastAsia="Arial"/>
                <w:color w:val="4472C4"/>
              </w:rPr>
              <w:lastRenderedPageBreak/>
              <w:t xml:space="preserve">Undercutting </w:t>
            </w:r>
            <w:proofErr w:type="gramStart"/>
            <w:r w:rsidRPr="007C60AF">
              <w:rPr>
                <w:rFonts w:eastAsia="Arial"/>
                <w:color w:val="4472C4"/>
              </w:rPr>
              <w:t>on the basis of</w:t>
            </w:r>
            <w:proofErr w:type="gramEnd"/>
            <w:r w:rsidRPr="007C60AF">
              <w:rPr>
                <w:rFonts w:eastAsia="Arial"/>
                <w:color w:val="4472C4"/>
              </w:rPr>
              <w:t xml:space="preserve"> comparing EU EXW sales price adjusted by shipping cost to the EXW UK prices with US HVO export landed price; and</w:t>
            </w:r>
          </w:p>
          <w:p w14:paraId="00000CDB" w14:textId="77777777" w:rsidR="00416D85" w:rsidRPr="007C60AF" w:rsidRDefault="00130320">
            <w:pPr>
              <w:numPr>
                <w:ilvl w:val="0"/>
                <w:numId w:val="81"/>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Underselling </w:t>
            </w:r>
            <w:proofErr w:type="gramStart"/>
            <w:r w:rsidRPr="007C60AF">
              <w:rPr>
                <w:rFonts w:eastAsia="Arial"/>
                <w:color w:val="4472C4"/>
              </w:rPr>
              <w:t>on the basis of</w:t>
            </w:r>
            <w:proofErr w:type="gramEnd"/>
            <w:r w:rsidRPr="007C60AF">
              <w:rPr>
                <w:rFonts w:eastAsia="Arial"/>
                <w:color w:val="4472C4"/>
              </w:rPr>
              <w:t xml:space="preserve"> comparing EU target prices with US HVO export landed price. </w:t>
            </w:r>
          </w:p>
          <w:p w14:paraId="00000CDC" w14:textId="77777777" w:rsidR="00416D85" w:rsidRPr="007C60AF" w:rsidRDefault="00416D85">
            <w:pPr>
              <w:spacing w:after="0"/>
              <w:jc w:val="both"/>
              <w:rPr>
                <w:color w:val="4472C4"/>
              </w:rPr>
            </w:pPr>
          </w:p>
          <w:p w14:paraId="00000CDD" w14:textId="23032573"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First, to calculate the USGC UK landed price USD/cbm, the Applicants have added customs clearance cost, handling and storage charges etc. In the UK in the amount of</w:t>
            </w:r>
            <w:r w:rsidRPr="007C60AF">
              <w:rPr>
                <w:rFonts w:eastAsia="Arial"/>
                <w:b/>
                <w:color w:val="4472C4"/>
              </w:rPr>
              <w:t xml:space="preserve"> [SENSITIVE individual charges] </w:t>
            </w:r>
            <w:r w:rsidRPr="007C60AF">
              <w:rPr>
                <w:rFonts w:eastAsia="Arial"/>
                <w:color w:val="4472C4"/>
              </w:rPr>
              <w:t xml:space="preserve">for goods coming from the US to the UK HVO outright price. To calculate the </w:t>
            </w:r>
            <w:r w:rsidRPr="007C60AF">
              <w:rPr>
                <w:rFonts w:eastAsia="Arial"/>
                <w:b/>
                <w:color w:val="4472C4"/>
              </w:rPr>
              <w:t xml:space="preserve">[Sensitive - details of individual company data] </w:t>
            </w:r>
            <w:r w:rsidRPr="007C60AF">
              <w:rPr>
                <w:rFonts w:eastAsia="Arial"/>
                <w:color w:val="4472C4"/>
              </w:rPr>
              <w:t xml:space="preserve">price and because </w:t>
            </w:r>
            <w:r w:rsidRPr="007C60AF">
              <w:rPr>
                <w:rFonts w:eastAsia="Arial"/>
                <w:b/>
                <w:color w:val="4472C4"/>
              </w:rPr>
              <w:t>[SENSITIVE details of individual company data]</w:t>
            </w:r>
            <w:r w:rsidRPr="007C60AF">
              <w:rPr>
                <w:rFonts w:eastAsia="Arial"/>
                <w:color w:val="4472C4"/>
              </w:rPr>
              <w:t>, the Applicants have added a freight cost of</w:t>
            </w:r>
            <w:r w:rsidRPr="007C60AF">
              <w:rPr>
                <w:rFonts w:eastAsia="Arial"/>
                <w:b/>
                <w:color w:val="4472C4"/>
              </w:rPr>
              <w:t xml:space="preserve"> [SENSITIVE freight charge]</w:t>
            </w:r>
            <w:r w:rsidRPr="007C60AF">
              <w:rPr>
                <w:rFonts w:eastAsia="Arial"/>
                <w:color w:val="4472C4"/>
              </w:rPr>
              <w:t>,</w:t>
            </w:r>
            <w:r w:rsidRPr="007C60AF">
              <w:rPr>
                <w:rFonts w:eastAsia="Arial"/>
                <w:b/>
                <w:color w:val="4472C4"/>
              </w:rPr>
              <w:t xml:space="preserve"> </w:t>
            </w:r>
            <w:r w:rsidRPr="007C60AF">
              <w:rPr>
                <w:rFonts w:eastAsia="Arial"/>
                <w:color w:val="4472C4"/>
              </w:rPr>
              <w:t xml:space="preserve">which is the actual price for </w:t>
            </w:r>
            <w:r w:rsidRPr="007C60AF">
              <w:rPr>
                <w:rFonts w:eastAsia="Arial"/>
                <w:b/>
                <w:color w:val="4472C4"/>
              </w:rPr>
              <w:t xml:space="preserve">[SENSITIVE] </w:t>
            </w:r>
            <w:r w:rsidRPr="007C60AF">
              <w:rPr>
                <w:rFonts w:eastAsia="Arial"/>
                <w:color w:val="4472C4"/>
              </w:rPr>
              <w:t>to deliver the goods to the UK (which differs from the market prices for US HVO).</w:t>
            </w:r>
            <w:r w:rsidRPr="007C60AF">
              <w:rPr>
                <w:rFonts w:eastAsia="Arial"/>
                <w:b/>
                <w:color w:val="4472C4"/>
              </w:rPr>
              <w:t xml:space="preserve"> </w:t>
            </w:r>
          </w:p>
          <w:p w14:paraId="00000CD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DF" w14:textId="1302858B"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Second, to calculate the undercutting margin, the Applicants have applied </w:t>
            </w:r>
            <w:r w:rsidRPr="007C60AF">
              <w:rPr>
                <w:rFonts w:eastAsia="Arial"/>
                <w:b/>
                <w:color w:val="4472C4"/>
              </w:rPr>
              <w:t>[Sensitive - details of individual company data]</w:t>
            </w:r>
            <w:r w:rsidRPr="007C60AF">
              <w:rPr>
                <w:rFonts w:eastAsia="Arial"/>
                <w:color w:val="4472C4"/>
              </w:rPr>
              <w:t xml:space="preserve">. The undercutting margin for the POI is </w:t>
            </w:r>
            <w:r w:rsidR="003E5E6E" w:rsidRPr="007C60AF">
              <w:rPr>
                <w:rFonts w:eastAsia="Arial"/>
                <w:b/>
                <w:bCs/>
                <w:color w:val="4472C4"/>
              </w:rPr>
              <w:t>[SENSITIVE]</w:t>
            </w:r>
            <w:r w:rsidRPr="007C60AF">
              <w:rPr>
                <w:rFonts w:eastAsia="Arial"/>
                <w:color w:val="4472C4"/>
              </w:rPr>
              <w:t xml:space="preserve">. To show the increasing trend, the Applicants have calculated the undercutting margin also for the period of Q3 2023 to Q2 2024, which is </w:t>
            </w:r>
            <w:r w:rsidR="003E5E6E" w:rsidRPr="007C60AF">
              <w:rPr>
                <w:rFonts w:eastAsia="Arial"/>
                <w:b/>
                <w:bCs/>
                <w:color w:val="4472C4"/>
              </w:rPr>
              <w:t>[SENSITIVE]</w:t>
            </w:r>
            <w:r w:rsidRPr="007C60AF">
              <w:rPr>
                <w:rFonts w:eastAsia="Arial"/>
                <w:b/>
                <w:bCs/>
                <w:color w:val="4472C4"/>
              </w:rPr>
              <w:t>.</w:t>
            </w:r>
            <w:r w:rsidRPr="007C60AF">
              <w:rPr>
                <w:rFonts w:eastAsia="Arial"/>
                <w:color w:val="4472C4"/>
              </w:rPr>
              <w:t xml:space="preserve"> </w:t>
            </w:r>
          </w:p>
          <w:p w14:paraId="00000CE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E1" w14:textId="4D8F2C8A"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Third, to calculate underselling margin, the Applicants have applied </w:t>
            </w:r>
            <w:r w:rsidRPr="007C60AF">
              <w:rPr>
                <w:rFonts w:eastAsia="Arial"/>
                <w:b/>
                <w:color w:val="4472C4"/>
              </w:rPr>
              <w:t>[SENSITIVE specific compan</w:t>
            </w:r>
            <w:r w:rsidR="003E5E6E" w:rsidRPr="007C60AF">
              <w:rPr>
                <w:rFonts w:eastAsia="Arial"/>
                <w:b/>
                <w:color w:val="4472C4"/>
              </w:rPr>
              <w:t>y's</w:t>
            </w:r>
            <w:r w:rsidRPr="007C60AF">
              <w:rPr>
                <w:rFonts w:eastAsia="Arial"/>
                <w:b/>
                <w:color w:val="4472C4"/>
              </w:rPr>
              <w:t xml:space="preserve"> target </w:t>
            </w:r>
            <w:r w:rsidR="003E5E6E" w:rsidRPr="007C60AF">
              <w:rPr>
                <w:rFonts w:eastAsia="Arial"/>
                <w:b/>
                <w:color w:val="4472C4"/>
              </w:rPr>
              <w:t>EXW price</w:t>
            </w:r>
            <w:r w:rsidRPr="007C60AF">
              <w:rPr>
                <w:rFonts w:eastAsia="Arial"/>
                <w:b/>
                <w:color w:val="4472C4"/>
              </w:rPr>
              <w:t>]</w:t>
            </w:r>
            <w:r w:rsidRPr="007C60AF">
              <w:rPr>
                <w:rFonts w:eastAsia="Arial"/>
                <w:color w:val="4472C4"/>
              </w:rPr>
              <w:t xml:space="preserve">. The underselling margin for the POI is </w:t>
            </w:r>
            <w:r w:rsidRPr="007C60AF">
              <w:rPr>
                <w:rFonts w:eastAsia="Arial"/>
                <w:b/>
                <w:color w:val="4472C4"/>
              </w:rPr>
              <w:t>[SENSITIVE]</w:t>
            </w:r>
            <w:r w:rsidRPr="007C60AF">
              <w:rPr>
                <w:rFonts w:eastAsia="Arial"/>
                <w:color w:val="4472C4"/>
              </w:rPr>
              <w:t xml:space="preserve">. To show the increasing trend, the Applicants have calculated the underselling margin also for the period </w:t>
            </w:r>
            <w:r w:rsidR="003E5E6E" w:rsidRPr="007C60AF">
              <w:rPr>
                <w:rFonts w:eastAsia="MS Gothic"/>
                <w:color w:val="4472C4" w:themeColor="accent1"/>
              </w:rPr>
              <w:t>of Q3 2023 to Q2 2024</w:t>
            </w:r>
            <w:r w:rsidRPr="007C60AF">
              <w:rPr>
                <w:rFonts w:eastAsia="Arial"/>
                <w:color w:val="4472C4"/>
              </w:rPr>
              <w:t xml:space="preserve">, which is </w:t>
            </w:r>
            <w:r w:rsidRPr="007C60AF">
              <w:rPr>
                <w:rFonts w:eastAsia="Arial"/>
                <w:b/>
                <w:color w:val="4472C4"/>
              </w:rPr>
              <w:t>[SENSITIVE]</w:t>
            </w:r>
            <w:r w:rsidRPr="007C60AF">
              <w:rPr>
                <w:rFonts w:eastAsia="Arial"/>
                <w:color w:val="4472C4"/>
              </w:rPr>
              <w:t xml:space="preserve">. Please note that the highest underselling occurred in </w:t>
            </w:r>
            <w:r w:rsidRPr="007C60AF">
              <w:rPr>
                <w:rFonts w:eastAsia="Arial"/>
                <w:b/>
                <w:color w:val="4472C4"/>
              </w:rPr>
              <w:t>[SENSITIVE]</w:t>
            </w:r>
            <w:r w:rsidRPr="007C60AF">
              <w:rPr>
                <w:rFonts w:eastAsia="Arial"/>
                <w:color w:val="4472C4"/>
              </w:rPr>
              <w:t xml:space="preserve"> alone in the amount of </w:t>
            </w:r>
            <w:r w:rsidRPr="007C60AF">
              <w:rPr>
                <w:rFonts w:eastAsia="Arial"/>
                <w:b/>
                <w:color w:val="4472C4"/>
              </w:rPr>
              <w:t>[SENSITIVE]</w:t>
            </w:r>
            <w:r w:rsidRPr="007C60AF">
              <w:rPr>
                <w:rFonts w:eastAsia="Arial"/>
                <w:color w:val="4472C4"/>
              </w:rPr>
              <w:t>.</w:t>
            </w:r>
          </w:p>
          <w:p w14:paraId="00000CE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E3"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Fourth, </w:t>
            </w:r>
            <w:r w:rsidRPr="007C60AF">
              <w:rPr>
                <w:rFonts w:eastAsia="Arial"/>
                <w:b/>
                <w:color w:val="4472C4"/>
              </w:rPr>
              <w:t xml:space="preserve">[SENSITIVE] </w:t>
            </w:r>
            <w:r w:rsidRPr="007C60AF">
              <w:rPr>
                <w:rFonts w:eastAsia="Arial"/>
                <w:color w:val="4472C4"/>
              </w:rPr>
              <w:t xml:space="preserve">target price was calculated as follows: </w:t>
            </w:r>
          </w:p>
          <w:p w14:paraId="00000CE4" w14:textId="77777777"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all numbers are based on price for USD/MT which were converted to USD/</w:t>
            </w:r>
            <w:proofErr w:type="gramStart"/>
            <w:r w:rsidRPr="007C60AF">
              <w:rPr>
                <w:rFonts w:eastAsia="Arial"/>
                <w:color w:val="4472C4"/>
              </w:rPr>
              <w:t>cbm;</w:t>
            </w:r>
            <w:proofErr w:type="gramEnd"/>
            <w:r w:rsidRPr="007C60AF">
              <w:rPr>
                <w:rFonts w:eastAsia="Arial"/>
                <w:color w:val="4472C4"/>
              </w:rPr>
              <w:t xml:space="preserve"> </w:t>
            </w:r>
          </w:p>
          <w:p w14:paraId="00000CE5" w14:textId="435DF1A8"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cost of production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r w:rsidRPr="007C60AF">
              <w:rPr>
                <w:rFonts w:eastAsia="Arial"/>
                <w:color w:val="4472C4"/>
              </w:rPr>
              <w:t xml:space="preserve"> </w:t>
            </w:r>
          </w:p>
          <w:p w14:paraId="00000CE6" w14:textId="646257DE"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feedstock costs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p>
          <w:p w14:paraId="00000CE7" w14:textId="7826F8B8"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other production costs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p>
          <w:p w14:paraId="00000CE8" w14:textId="137EFF1F"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lastRenderedPageBreak/>
              <w:t xml:space="preserve">cost of production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r w:rsidRPr="007C60AF">
              <w:rPr>
                <w:rFonts w:eastAsia="Arial"/>
                <w:color w:val="4472C4"/>
              </w:rPr>
              <w:t xml:space="preserve"> </w:t>
            </w:r>
          </w:p>
          <w:p w14:paraId="00000CE9" w14:textId="335A5102"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fixed costs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p>
          <w:p w14:paraId="00000CE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CEB"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evidenced from the calculations above, </w:t>
            </w:r>
            <w:proofErr w:type="gramStart"/>
            <w:r w:rsidRPr="007C60AF">
              <w:rPr>
                <w:rFonts w:eastAsia="Arial"/>
                <w:color w:val="4472C4"/>
              </w:rPr>
              <w:t>it is clear that the</w:t>
            </w:r>
            <w:proofErr w:type="gramEnd"/>
            <w:r w:rsidRPr="007C60AF">
              <w:rPr>
                <w:rFonts w:eastAsia="Arial"/>
                <w:color w:val="4472C4"/>
              </w:rPr>
              <w:t xml:space="preserve"> dumped and subsidised imports of US HVO have been, and will continue to, undercut and undersell the domestic prices.</w:t>
            </w:r>
          </w:p>
          <w:p w14:paraId="00000CE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Please refer to Appendix G.6 for detailed calculations.</w:t>
            </w:r>
          </w:p>
        </w:tc>
      </w:tr>
    </w:tbl>
    <w:p w14:paraId="00000CEE"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EF" w14:textId="77777777" w:rsidR="00416D85" w:rsidRPr="007C60AF" w:rsidRDefault="00130320">
      <w:pPr>
        <w:numPr>
          <w:ilvl w:val="3"/>
          <w:numId w:val="14"/>
        </w:numPr>
        <w:pBdr>
          <w:top w:val="nil"/>
          <w:left w:val="nil"/>
          <w:bottom w:val="nil"/>
          <w:right w:val="nil"/>
          <w:between w:val="nil"/>
        </w:pBdr>
        <w:spacing w:line="276" w:lineRule="auto"/>
        <w:jc w:val="both"/>
      </w:pPr>
      <w:r w:rsidRPr="007C60AF">
        <w:rPr>
          <w:rFonts w:eastAsia="Arial"/>
          <w:color w:val="000000"/>
        </w:rPr>
        <w:t xml:space="preserve">If appropriate, include an analysis of trends (or a projection of trends) and market conditions illustrating that the threat is both foreseeable and imminent.  </w:t>
      </w:r>
    </w:p>
    <w:tbl>
      <w:tblPr>
        <w:tblStyle w:val="affffffffd"/>
        <w:tblW w:w="9016" w:type="dxa"/>
        <w:tblLayout w:type="fixed"/>
        <w:tblLook w:val="0400" w:firstRow="0" w:lastRow="0" w:firstColumn="0" w:lastColumn="0" w:noHBand="0" w:noVBand="1"/>
      </w:tblPr>
      <w:tblGrid>
        <w:gridCol w:w="9016"/>
      </w:tblGrid>
      <w:tr w:rsidR="00416D85" w:rsidRPr="007C60AF" w14:paraId="64EEFF7E"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F0" w14:textId="77777777" w:rsidR="00416D85" w:rsidRPr="007C60AF" w:rsidRDefault="00130320">
            <w:pPr>
              <w:spacing w:after="0"/>
              <w:jc w:val="both"/>
            </w:pPr>
            <w:r w:rsidRPr="007C60AF">
              <w:rPr>
                <w:color w:val="4472C4"/>
              </w:rPr>
              <w:t>Please refer to the response to question G.2.1. above.</w:t>
            </w:r>
          </w:p>
        </w:tc>
      </w:tr>
    </w:tbl>
    <w:p w14:paraId="00000CF1"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F2" w14:textId="77777777" w:rsidR="00416D85" w:rsidRPr="007C60AF" w:rsidRDefault="00130320">
      <w:pPr>
        <w:numPr>
          <w:ilvl w:val="3"/>
          <w:numId w:val="14"/>
        </w:numPr>
        <w:pBdr>
          <w:top w:val="nil"/>
          <w:left w:val="nil"/>
          <w:bottom w:val="nil"/>
          <w:right w:val="nil"/>
          <w:between w:val="nil"/>
        </w:pBdr>
        <w:spacing w:line="276" w:lineRule="auto"/>
        <w:jc w:val="both"/>
      </w:pPr>
      <w:r w:rsidRPr="007C60AF">
        <w:rPr>
          <w:rFonts w:eastAsia="Arial"/>
          <w:color w:val="000000"/>
        </w:rPr>
        <w:t>Explain why you believe the threatened injury to your industry will be material.</w:t>
      </w:r>
    </w:p>
    <w:tbl>
      <w:tblPr>
        <w:tblStyle w:val="affffffffe"/>
        <w:tblW w:w="9016" w:type="dxa"/>
        <w:tblLayout w:type="fixed"/>
        <w:tblLook w:val="0400" w:firstRow="0" w:lastRow="0" w:firstColumn="0" w:lastColumn="0" w:noHBand="0" w:noVBand="1"/>
      </w:tblPr>
      <w:tblGrid>
        <w:gridCol w:w="9016"/>
      </w:tblGrid>
      <w:tr w:rsidR="00416D85" w:rsidRPr="007C60AF" w14:paraId="3FCC7AF0"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F3" w14:textId="77777777" w:rsidR="00416D85" w:rsidRPr="007C60AF" w:rsidRDefault="00130320">
            <w:pPr>
              <w:spacing w:after="0"/>
              <w:jc w:val="both"/>
            </w:pPr>
            <w:bookmarkStart w:id="53" w:name="_heading=h.cr7atv6f4jaq" w:colFirst="0" w:colLast="0"/>
            <w:bookmarkEnd w:id="53"/>
            <w:r w:rsidRPr="007C60AF">
              <w:rPr>
                <w:color w:val="4472C4"/>
              </w:rPr>
              <w:t>Please refer to the response to question G.2.1. above.</w:t>
            </w:r>
          </w:p>
        </w:tc>
      </w:tr>
    </w:tbl>
    <w:p w14:paraId="00000CF4" w14:textId="77777777" w:rsidR="00416D85" w:rsidRPr="007C60AF" w:rsidRDefault="00130320">
      <w:pPr>
        <w:jc w:val="both"/>
      </w:pPr>
      <w:r w:rsidRPr="007C60AF">
        <w:br w:type="page"/>
      </w:r>
    </w:p>
    <w:p w14:paraId="00000CF5"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54" w:name="_heading=h.4rwge81ndud" w:colFirst="0" w:colLast="0"/>
      <w:bookmarkEnd w:id="54"/>
      <w:r w:rsidRPr="007C60AF">
        <w:rPr>
          <w:rFonts w:eastAsia="Arial"/>
          <w:b/>
          <w:color w:val="4472C4"/>
          <w:sz w:val="36"/>
          <w:szCs w:val="36"/>
        </w:rPr>
        <w:lastRenderedPageBreak/>
        <w:t xml:space="preserve">SECTION H: </w:t>
      </w:r>
      <w:r w:rsidRPr="007C60AF">
        <w:rPr>
          <w:rFonts w:eastAsia="Arial"/>
          <w:b/>
          <w:color w:val="000000"/>
          <w:sz w:val="36"/>
          <w:szCs w:val="36"/>
        </w:rPr>
        <w:t>Causal link between the imported goods and injury to your industry</w:t>
      </w:r>
    </w:p>
    <w:p w14:paraId="00000CF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For the TRA to initiate an investigation, there must be evidence of a causal relationship between the injury to the UK Industry and the alleged dumping and/or subsidisation.</w:t>
      </w:r>
    </w:p>
    <w:p w14:paraId="00000CF7" w14:textId="77777777" w:rsidR="00416D85" w:rsidRPr="007C60AF" w:rsidRDefault="00130320">
      <w:pPr>
        <w:numPr>
          <w:ilvl w:val="3"/>
          <w:numId w:val="15"/>
        </w:numPr>
        <w:pBdr>
          <w:top w:val="nil"/>
          <w:left w:val="nil"/>
          <w:bottom w:val="nil"/>
          <w:right w:val="nil"/>
          <w:between w:val="nil"/>
        </w:pBdr>
        <w:spacing w:before="120" w:line="276" w:lineRule="auto"/>
        <w:jc w:val="both"/>
      </w:pPr>
      <w:r w:rsidRPr="007C60AF">
        <w:rPr>
          <w:rFonts w:eastAsia="Arial"/>
          <w:color w:val="000000"/>
        </w:rPr>
        <w:t xml:space="preserve">If your company is suffering injury, please explain and provide evidence that shows how this has been caused by the goods you want us to investigate. Describe how the volumes and prices of the imported goods have affected your industry, basing your answer on the injury indicators in the previous section. </w:t>
      </w:r>
    </w:p>
    <w:tbl>
      <w:tblPr>
        <w:tblStyle w:val="afffffffff"/>
        <w:tblW w:w="9016" w:type="dxa"/>
        <w:tblLayout w:type="fixed"/>
        <w:tblLook w:val="0400" w:firstRow="0" w:lastRow="0" w:firstColumn="0" w:lastColumn="0" w:noHBand="0" w:noVBand="1"/>
      </w:tblPr>
      <w:tblGrid>
        <w:gridCol w:w="9016"/>
      </w:tblGrid>
      <w:tr w:rsidR="00416D85" w:rsidRPr="007C60AF" w14:paraId="515C7EE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F8"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This section demonstrates that there is clear evidence of a causal relationship between the injury to the UK industry and dumped and subsidised US HVO into the UK. This section is set out in the following three parts:</w:t>
            </w:r>
          </w:p>
          <w:p w14:paraId="00000CF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FA" w14:textId="77777777" w:rsidR="00416D85" w:rsidRPr="007C60AF" w:rsidRDefault="00130320">
            <w:pPr>
              <w:numPr>
                <w:ilvl w:val="0"/>
                <w:numId w:val="45"/>
              </w:numPr>
              <w:pBdr>
                <w:top w:val="nil"/>
                <w:left w:val="nil"/>
                <w:bottom w:val="nil"/>
                <w:right w:val="nil"/>
                <w:between w:val="nil"/>
              </w:pBdr>
              <w:spacing w:after="0" w:line="276" w:lineRule="auto"/>
              <w:rPr>
                <w:rFonts w:eastAsia="Arial"/>
                <w:color w:val="4472C4"/>
              </w:rPr>
            </w:pPr>
            <w:r w:rsidRPr="007C60AF">
              <w:rPr>
                <w:rFonts w:eastAsia="Arial"/>
                <w:b/>
                <w:color w:val="4472C4"/>
              </w:rPr>
              <w:t xml:space="preserve">Part I: </w:t>
            </w:r>
            <w:r w:rsidRPr="007C60AF">
              <w:rPr>
                <w:rFonts w:eastAsia="Arial"/>
                <w:color w:val="4472C4"/>
              </w:rPr>
              <w:t xml:space="preserve">Production, production capacity, imports and consumption of HVO in the </w:t>
            </w:r>
            <w:proofErr w:type="gramStart"/>
            <w:r w:rsidRPr="007C60AF">
              <w:rPr>
                <w:rFonts w:eastAsia="Arial"/>
                <w:color w:val="4472C4"/>
              </w:rPr>
              <w:t>US;</w:t>
            </w:r>
            <w:proofErr w:type="gramEnd"/>
          </w:p>
          <w:p w14:paraId="00000CFB" w14:textId="77777777" w:rsidR="00416D85" w:rsidRPr="007C60AF" w:rsidRDefault="00416D85">
            <w:pPr>
              <w:pBdr>
                <w:top w:val="nil"/>
                <w:left w:val="nil"/>
                <w:bottom w:val="nil"/>
                <w:right w:val="nil"/>
                <w:between w:val="nil"/>
              </w:pBdr>
              <w:spacing w:after="0" w:line="276" w:lineRule="auto"/>
              <w:ind w:left="720"/>
              <w:rPr>
                <w:rFonts w:eastAsia="Arial"/>
                <w:color w:val="4472C4"/>
              </w:rPr>
            </w:pPr>
          </w:p>
          <w:p w14:paraId="00000CFC" w14:textId="77777777" w:rsidR="00416D85" w:rsidRPr="007C60AF" w:rsidRDefault="00130320">
            <w:pPr>
              <w:numPr>
                <w:ilvl w:val="0"/>
                <w:numId w:val="45"/>
              </w:numPr>
              <w:pBdr>
                <w:top w:val="nil"/>
                <w:left w:val="nil"/>
                <w:bottom w:val="nil"/>
                <w:right w:val="nil"/>
                <w:between w:val="nil"/>
              </w:pBdr>
              <w:spacing w:after="0" w:line="276" w:lineRule="auto"/>
              <w:rPr>
                <w:rFonts w:eastAsia="Arial"/>
                <w:color w:val="4472C4"/>
              </w:rPr>
            </w:pPr>
            <w:r w:rsidRPr="007C60AF">
              <w:rPr>
                <w:rFonts w:eastAsia="Arial"/>
                <w:b/>
                <w:color w:val="4472C4"/>
              </w:rPr>
              <w:t>Part II:</w:t>
            </w:r>
            <w:r w:rsidRPr="007C60AF">
              <w:rPr>
                <w:rFonts w:eastAsia="Arial"/>
                <w:color w:val="4472C4"/>
              </w:rPr>
              <w:t xml:space="preserve"> Volumes and prices of dumped and subsidised imports of US HVO in the UK; and </w:t>
            </w:r>
          </w:p>
          <w:p w14:paraId="00000CFD"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CFE" w14:textId="77777777" w:rsidR="00416D85" w:rsidRPr="007C60AF" w:rsidRDefault="00130320">
            <w:pPr>
              <w:numPr>
                <w:ilvl w:val="0"/>
                <w:numId w:val="45"/>
              </w:numPr>
              <w:pBdr>
                <w:top w:val="nil"/>
                <w:left w:val="nil"/>
                <w:bottom w:val="nil"/>
                <w:right w:val="nil"/>
                <w:between w:val="nil"/>
              </w:pBdr>
              <w:spacing w:after="0" w:line="276" w:lineRule="auto"/>
              <w:rPr>
                <w:rFonts w:eastAsia="Arial"/>
                <w:color w:val="4472C4"/>
              </w:rPr>
            </w:pPr>
            <w:r w:rsidRPr="007C60AF">
              <w:rPr>
                <w:rFonts w:eastAsia="Arial"/>
                <w:b/>
                <w:color w:val="4472C4"/>
              </w:rPr>
              <w:t>Part III:</w:t>
            </w:r>
            <w:r w:rsidRPr="007C60AF">
              <w:rPr>
                <w:rFonts w:eastAsia="Arial"/>
                <w:color w:val="4472C4"/>
              </w:rPr>
              <w:t xml:space="preserve"> How the volumes and prices of dumped and subsidised imports of US HVO in the UK have affected the UK industry.</w:t>
            </w:r>
          </w:p>
          <w:p w14:paraId="00000CFF" w14:textId="77777777" w:rsidR="00416D85" w:rsidRPr="007C60AF" w:rsidRDefault="00416D85">
            <w:pPr>
              <w:pBdr>
                <w:top w:val="nil"/>
                <w:left w:val="nil"/>
                <w:bottom w:val="nil"/>
                <w:right w:val="nil"/>
                <w:between w:val="nil"/>
              </w:pBdr>
              <w:spacing w:after="0" w:line="276" w:lineRule="auto"/>
              <w:ind w:left="720"/>
              <w:rPr>
                <w:rFonts w:eastAsia="Arial"/>
                <w:color w:val="4472C4"/>
                <w:sz w:val="20"/>
                <w:szCs w:val="20"/>
              </w:rPr>
            </w:pPr>
          </w:p>
          <w:p w14:paraId="00000D00" w14:textId="77777777" w:rsidR="00416D85" w:rsidRPr="007C60AF" w:rsidRDefault="00130320">
            <w:pPr>
              <w:numPr>
                <w:ilvl w:val="0"/>
                <w:numId w:val="80"/>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u w:val="single"/>
              </w:rPr>
              <w:t xml:space="preserve">Production, production capacity, imports and consumption of HVO in the US </w:t>
            </w:r>
          </w:p>
          <w:p w14:paraId="00000D0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2"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Both actual production and production capacity of HVO</w:t>
            </w:r>
            <w:r w:rsidRPr="007C60AF">
              <w:rPr>
                <w:rFonts w:eastAsia="Arial"/>
                <w:color w:val="4472C4"/>
                <w:vertAlign w:val="superscript"/>
              </w:rPr>
              <w:footnoteReference w:id="158"/>
            </w:r>
            <w:r w:rsidRPr="007C60AF">
              <w:rPr>
                <w:rFonts w:eastAsia="Arial"/>
                <w:color w:val="4472C4"/>
              </w:rPr>
              <w:t xml:space="preserve"> have been steadily growing in the US, well </w:t>
            </w:r>
            <w:proofErr w:type="gramStart"/>
            <w:r w:rsidRPr="007C60AF">
              <w:rPr>
                <w:rFonts w:eastAsia="Arial"/>
                <w:color w:val="4472C4"/>
              </w:rPr>
              <w:t>in excess of</w:t>
            </w:r>
            <w:proofErr w:type="gramEnd"/>
            <w:r w:rsidRPr="007C60AF">
              <w:rPr>
                <w:rFonts w:eastAsia="Arial"/>
                <w:color w:val="4472C4"/>
              </w:rPr>
              <w:t xml:space="preserve"> the growth in demand in the US.  The US producers noticed an opportunity for exporting to the UK once the measures on HVO were revoked during the UK Transition Reviews and intensified their production. This has been possible due to the wide variety of incentives offered to the US producers by the US Government.</w:t>
            </w:r>
          </w:p>
          <w:p w14:paraId="00000D0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4"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According to a report from the US Department of Agriculture ("</w:t>
            </w:r>
            <w:r w:rsidRPr="007C60AF">
              <w:rPr>
                <w:rFonts w:eastAsia="Arial"/>
                <w:b/>
                <w:color w:val="4472C4"/>
              </w:rPr>
              <w:t>USDA</w:t>
            </w:r>
            <w:r w:rsidRPr="007C60AF">
              <w:rPr>
                <w:rFonts w:eastAsia="Arial"/>
                <w:color w:val="4472C4"/>
              </w:rPr>
              <w:t>"), production of HVO has grown from 40 million gallons in the 2010/11 marketing year to 2.3 billion gallons in 2022/23, surpassing FAME production for the first time.</w:t>
            </w:r>
            <w:r w:rsidRPr="007C60AF">
              <w:rPr>
                <w:rFonts w:eastAsia="Arial"/>
                <w:color w:val="4472C4"/>
                <w:vertAlign w:val="superscript"/>
              </w:rPr>
              <w:footnoteReference w:id="159"/>
            </w:r>
            <w:r w:rsidRPr="007C60AF">
              <w:rPr>
                <w:rFonts w:eastAsia="Arial"/>
                <w:color w:val="4472C4"/>
              </w:rPr>
              <w:t xml:space="preserve"> </w:t>
            </w:r>
          </w:p>
          <w:p w14:paraId="00000D0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06"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July 2024, IEA Bioenergy reported that US HVO capacity is now 3.9 billion gallons per year.</w:t>
            </w:r>
            <w:r w:rsidRPr="007C60AF">
              <w:rPr>
                <w:rFonts w:eastAsia="Arial"/>
                <w:color w:val="4472C4"/>
                <w:vertAlign w:val="superscript"/>
              </w:rPr>
              <w:footnoteReference w:id="160"/>
            </w:r>
          </w:p>
          <w:p w14:paraId="00000D0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8"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diagram below shows the US Energy Information Administration's ("</w:t>
            </w:r>
            <w:r w:rsidRPr="007C60AF">
              <w:rPr>
                <w:rFonts w:eastAsia="Arial"/>
                <w:b/>
                <w:color w:val="4472C4"/>
              </w:rPr>
              <w:t>US EIA</w:t>
            </w:r>
            <w:r w:rsidRPr="007C60AF">
              <w:rPr>
                <w:rFonts w:eastAsia="Arial"/>
                <w:color w:val="4472C4"/>
              </w:rPr>
              <w:t>") estimated continued increase in HVO production capacity.</w:t>
            </w:r>
            <w:r w:rsidRPr="007C60AF">
              <w:rPr>
                <w:rFonts w:eastAsia="Arial"/>
                <w:color w:val="4472C4"/>
                <w:vertAlign w:val="superscript"/>
              </w:rPr>
              <w:footnoteReference w:id="161"/>
            </w:r>
            <w:r w:rsidRPr="007C60AF">
              <w:rPr>
                <w:rFonts w:eastAsia="Arial"/>
                <w:color w:val="4472C4"/>
              </w:rPr>
              <w:t xml:space="preserve"> </w:t>
            </w:r>
          </w:p>
          <w:p w14:paraId="00000D0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noProof/>
                <w:color w:val="4472C4"/>
              </w:rPr>
              <w:drawing>
                <wp:inline distT="0" distB="0" distL="0" distR="0" wp14:anchorId="03FCDED6" wp14:editId="16FD7CAE">
                  <wp:extent cx="5164318" cy="3231274"/>
                  <wp:effectExtent l="0" t="0" r="0" b="0"/>
                  <wp:docPr id="2146731703" name="image10.png" descr="image"/>
                  <wp:cNvGraphicFramePr/>
                  <a:graphic xmlns:a="http://schemas.openxmlformats.org/drawingml/2006/main">
                    <a:graphicData uri="http://schemas.openxmlformats.org/drawingml/2006/picture">
                      <pic:pic xmlns:pic="http://schemas.openxmlformats.org/drawingml/2006/picture">
                        <pic:nvPicPr>
                          <pic:cNvPr id="0" name="image10.png" descr="image"/>
                          <pic:cNvPicPr preferRelativeResize="0"/>
                        </pic:nvPicPr>
                        <pic:blipFill>
                          <a:blip r:embed="rId47"/>
                          <a:srcRect/>
                          <a:stretch>
                            <a:fillRect/>
                          </a:stretch>
                        </pic:blipFill>
                        <pic:spPr>
                          <a:xfrm>
                            <a:off x="0" y="0"/>
                            <a:ext cx="5164318" cy="3231274"/>
                          </a:xfrm>
                          <a:prstGeom prst="rect">
                            <a:avLst/>
                          </a:prstGeom>
                          <a:ln/>
                        </pic:spPr>
                      </pic:pic>
                    </a:graphicData>
                  </a:graphic>
                </wp:inline>
              </w:drawing>
            </w:r>
          </w:p>
          <w:p w14:paraId="00000D0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C" w14:textId="0064C0E1" w:rsidR="00416D85" w:rsidRPr="007C60AF" w:rsidRDefault="00D31469">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b/>
                <w:color w:val="4472C4"/>
              </w:rPr>
              <w:t>[SENSITIVE – INFORMATION OBTAINED FROM SUBSCRIPTION SERVICE SHOWING INCREASED CAPACITY IN THE US, IN PARTICULAR DGD’S CAPACITY AT PORT ARTHUR AND NORCO].</w:t>
            </w:r>
          </w:p>
          <w:p w14:paraId="00000D0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E"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table below is based on US EIA statistics as of 27 August 2024, and shows HVO production, imports, stocks, and consumption for 2020 to 2023.</w:t>
            </w:r>
            <w:r w:rsidRPr="007C60AF">
              <w:rPr>
                <w:rFonts w:eastAsia="Arial"/>
                <w:color w:val="4472C4"/>
                <w:vertAlign w:val="superscript"/>
              </w:rPr>
              <w:footnoteReference w:id="162"/>
            </w:r>
            <w:r w:rsidRPr="007C60AF">
              <w:rPr>
                <w:rFonts w:eastAsia="Arial"/>
                <w:color w:val="4472C4"/>
              </w:rPr>
              <w:t xml:space="preserve"> The table shows the difference between demand and supply of HVO in the US market.</w:t>
            </w:r>
            <w:r w:rsidRPr="007C60AF">
              <w:rPr>
                <w:rFonts w:eastAsia="Arial"/>
                <w:color w:val="4472C4"/>
                <w:vertAlign w:val="superscript"/>
              </w:rPr>
              <w:footnoteReference w:id="163"/>
            </w:r>
            <w:r w:rsidRPr="007C60AF">
              <w:rPr>
                <w:rFonts w:eastAsia="Arial"/>
                <w:color w:val="4472C4"/>
              </w:rPr>
              <w:t xml:space="preserve"> As indicated, in each year HVO production, imports, and stocks exceeded HVO </w:t>
            </w:r>
            <w:r w:rsidRPr="007C60AF">
              <w:rPr>
                <w:rFonts w:eastAsia="Arial"/>
                <w:color w:val="4472C4"/>
              </w:rPr>
              <w:lastRenderedPageBreak/>
              <w:t xml:space="preserve">consumption in the US, and this difference has been markedly increasing year on year. </w:t>
            </w:r>
          </w:p>
          <w:p w14:paraId="00000D0F"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1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1: HVO production, imports, stocks and consumption (thousand barrels) for 2020 to 2023</w:t>
            </w:r>
          </w:p>
          <w:p w14:paraId="00000D1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f0"/>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5DD2221B" w14:textId="77777777">
              <w:tc>
                <w:tcPr>
                  <w:tcW w:w="1784" w:type="dxa"/>
                  <w:shd w:val="clear" w:color="auto" w:fill="D0CECE"/>
                </w:tcPr>
                <w:p w14:paraId="00000D12" w14:textId="77777777" w:rsidR="00416D85" w:rsidRPr="007C60AF" w:rsidRDefault="00416D85">
                  <w:pPr>
                    <w:spacing w:before="60" w:after="60"/>
                    <w:rPr>
                      <w:color w:val="4472C4"/>
                    </w:rPr>
                  </w:pPr>
                </w:p>
              </w:tc>
              <w:tc>
                <w:tcPr>
                  <w:tcW w:w="1784" w:type="dxa"/>
                  <w:shd w:val="clear" w:color="auto" w:fill="D0CECE"/>
                </w:tcPr>
                <w:p w14:paraId="00000D13" w14:textId="77777777" w:rsidR="00416D85" w:rsidRPr="007C60AF" w:rsidRDefault="00130320">
                  <w:pPr>
                    <w:spacing w:before="60" w:after="60"/>
                    <w:rPr>
                      <w:b/>
                      <w:color w:val="4472C4"/>
                    </w:rPr>
                  </w:pPr>
                  <w:r w:rsidRPr="007C60AF">
                    <w:rPr>
                      <w:b/>
                      <w:color w:val="4472C4"/>
                    </w:rPr>
                    <w:t>2020</w:t>
                  </w:r>
                </w:p>
              </w:tc>
              <w:tc>
                <w:tcPr>
                  <w:tcW w:w="1784" w:type="dxa"/>
                  <w:shd w:val="clear" w:color="auto" w:fill="D0CECE"/>
                </w:tcPr>
                <w:p w14:paraId="00000D14" w14:textId="77777777" w:rsidR="00416D85" w:rsidRPr="007C60AF" w:rsidRDefault="00130320">
                  <w:pPr>
                    <w:spacing w:before="60" w:after="60"/>
                    <w:rPr>
                      <w:b/>
                      <w:color w:val="4472C4"/>
                    </w:rPr>
                  </w:pPr>
                  <w:r w:rsidRPr="007C60AF">
                    <w:rPr>
                      <w:b/>
                      <w:color w:val="4472C4"/>
                    </w:rPr>
                    <w:t>2021</w:t>
                  </w:r>
                </w:p>
              </w:tc>
              <w:tc>
                <w:tcPr>
                  <w:tcW w:w="1784" w:type="dxa"/>
                  <w:shd w:val="clear" w:color="auto" w:fill="D0CECE"/>
                </w:tcPr>
                <w:p w14:paraId="00000D15" w14:textId="77777777" w:rsidR="00416D85" w:rsidRPr="007C60AF" w:rsidRDefault="00130320">
                  <w:pPr>
                    <w:spacing w:before="60" w:after="60"/>
                    <w:rPr>
                      <w:b/>
                      <w:color w:val="4472C4"/>
                    </w:rPr>
                  </w:pPr>
                  <w:r w:rsidRPr="007C60AF">
                    <w:rPr>
                      <w:b/>
                      <w:color w:val="4472C4"/>
                    </w:rPr>
                    <w:t>2022</w:t>
                  </w:r>
                </w:p>
              </w:tc>
              <w:tc>
                <w:tcPr>
                  <w:tcW w:w="1785" w:type="dxa"/>
                  <w:shd w:val="clear" w:color="auto" w:fill="D0CECE"/>
                </w:tcPr>
                <w:p w14:paraId="00000D16" w14:textId="77777777" w:rsidR="00416D85" w:rsidRPr="007C60AF" w:rsidRDefault="00130320">
                  <w:pPr>
                    <w:spacing w:before="60" w:after="60"/>
                    <w:rPr>
                      <w:b/>
                      <w:color w:val="4472C4"/>
                    </w:rPr>
                  </w:pPr>
                  <w:r w:rsidRPr="007C60AF">
                    <w:rPr>
                      <w:b/>
                      <w:color w:val="4472C4"/>
                    </w:rPr>
                    <w:t>2023</w:t>
                  </w:r>
                </w:p>
              </w:tc>
            </w:tr>
            <w:tr w:rsidR="00416D85" w:rsidRPr="007C60AF" w14:paraId="61735D05" w14:textId="77777777">
              <w:tc>
                <w:tcPr>
                  <w:tcW w:w="1784" w:type="dxa"/>
                  <w:shd w:val="clear" w:color="auto" w:fill="D0CECE"/>
                </w:tcPr>
                <w:p w14:paraId="00000D17" w14:textId="77777777" w:rsidR="00416D85" w:rsidRPr="007C60AF" w:rsidRDefault="00130320">
                  <w:pPr>
                    <w:spacing w:before="60" w:after="60"/>
                    <w:rPr>
                      <w:color w:val="4472C4"/>
                    </w:rPr>
                  </w:pPr>
                  <w:r w:rsidRPr="007C60AF">
                    <w:rPr>
                      <w:b/>
                      <w:color w:val="4472C4"/>
                    </w:rPr>
                    <w:t>HVO Production</w:t>
                  </w:r>
                </w:p>
              </w:tc>
              <w:tc>
                <w:tcPr>
                  <w:tcW w:w="1784" w:type="dxa"/>
                </w:tcPr>
                <w:p w14:paraId="00000D18" w14:textId="77777777" w:rsidR="00416D85" w:rsidRPr="007C60AF" w:rsidRDefault="00130320">
                  <w:pPr>
                    <w:spacing w:before="60" w:after="60"/>
                    <w:rPr>
                      <w:color w:val="4472C4"/>
                    </w:rPr>
                  </w:pPr>
                  <w:r w:rsidRPr="007C60AF">
                    <w:rPr>
                      <w:color w:val="4472C4"/>
                    </w:rPr>
                    <w:t>12,702.25</w:t>
                  </w:r>
                </w:p>
              </w:tc>
              <w:tc>
                <w:tcPr>
                  <w:tcW w:w="1784" w:type="dxa"/>
                </w:tcPr>
                <w:p w14:paraId="00000D19" w14:textId="77777777" w:rsidR="00416D85" w:rsidRPr="007C60AF" w:rsidRDefault="00130320">
                  <w:pPr>
                    <w:spacing w:before="60" w:after="60"/>
                    <w:rPr>
                      <w:color w:val="4472C4"/>
                    </w:rPr>
                  </w:pPr>
                  <w:r w:rsidRPr="007C60AF">
                    <w:rPr>
                      <w:color w:val="4472C4"/>
                    </w:rPr>
                    <w:t>20,502.88</w:t>
                  </w:r>
                </w:p>
              </w:tc>
              <w:tc>
                <w:tcPr>
                  <w:tcW w:w="1784" w:type="dxa"/>
                </w:tcPr>
                <w:p w14:paraId="00000D1A" w14:textId="77777777" w:rsidR="00416D85" w:rsidRPr="007C60AF" w:rsidRDefault="00130320">
                  <w:pPr>
                    <w:spacing w:before="60" w:after="60"/>
                    <w:rPr>
                      <w:color w:val="4472C4"/>
                    </w:rPr>
                  </w:pPr>
                  <w:r w:rsidRPr="007C60AF">
                    <w:rPr>
                      <w:color w:val="4472C4"/>
                    </w:rPr>
                    <w:t>35,691.79</w:t>
                  </w:r>
                </w:p>
              </w:tc>
              <w:tc>
                <w:tcPr>
                  <w:tcW w:w="1785" w:type="dxa"/>
                </w:tcPr>
                <w:p w14:paraId="00000D1B" w14:textId="77777777" w:rsidR="00416D85" w:rsidRPr="007C60AF" w:rsidRDefault="00130320">
                  <w:pPr>
                    <w:spacing w:before="60" w:after="60"/>
                    <w:rPr>
                      <w:color w:val="4472C4"/>
                    </w:rPr>
                  </w:pPr>
                  <w:r w:rsidRPr="007C60AF">
                    <w:rPr>
                      <w:color w:val="4472C4"/>
                    </w:rPr>
                    <w:t>61,743.84</w:t>
                  </w:r>
                </w:p>
              </w:tc>
            </w:tr>
            <w:tr w:rsidR="00416D85" w:rsidRPr="007C60AF" w14:paraId="21C46248" w14:textId="77777777">
              <w:tc>
                <w:tcPr>
                  <w:tcW w:w="1784" w:type="dxa"/>
                  <w:shd w:val="clear" w:color="auto" w:fill="D0CECE"/>
                </w:tcPr>
                <w:p w14:paraId="00000D1C" w14:textId="77777777" w:rsidR="00416D85" w:rsidRPr="007C60AF" w:rsidRDefault="00130320">
                  <w:pPr>
                    <w:spacing w:before="60" w:after="60"/>
                    <w:rPr>
                      <w:color w:val="4472C4"/>
                    </w:rPr>
                  </w:pPr>
                  <w:r w:rsidRPr="007C60AF">
                    <w:rPr>
                      <w:b/>
                      <w:color w:val="4472C4"/>
                    </w:rPr>
                    <w:t>HVO imports</w:t>
                  </w:r>
                </w:p>
              </w:tc>
              <w:tc>
                <w:tcPr>
                  <w:tcW w:w="1784" w:type="dxa"/>
                </w:tcPr>
                <w:p w14:paraId="00000D1D" w14:textId="77777777" w:rsidR="00416D85" w:rsidRPr="007C60AF" w:rsidRDefault="00130320">
                  <w:pPr>
                    <w:spacing w:before="60" w:after="60"/>
                    <w:rPr>
                      <w:color w:val="4472C4"/>
                    </w:rPr>
                  </w:pPr>
                  <w:r w:rsidRPr="007C60AF">
                    <w:rPr>
                      <w:color w:val="4472C4"/>
                    </w:rPr>
                    <w:t>6,658</w:t>
                  </w:r>
                </w:p>
              </w:tc>
              <w:tc>
                <w:tcPr>
                  <w:tcW w:w="1784" w:type="dxa"/>
                </w:tcPr>
                <w:p w14:paraId="00000D1E" w14:textId="77777777" w:rsidR="00416D85" w:rsidRPr="007C60AF" w:rsidRDefault="00130320">
                  <w:pPr>
                    <w:spacing w:before="60" w:after="60"/>
                    <w:rPr>
                      <w:color w:val="4472C4"/>
                    </w:rPr>
                  </w:pPr>
                  <w:r w:rsidRPr="007C60AF">
                    <w:rPr>
                      <w:color w:val="4472C4"/>
                    </w:rPr>
                    <w:t>9,340</w:t>
                  </w:r>
                </w:p>
              </w:tc>
              <w:tc>
                <w:tcPr>
                  <w:tcW w:w="1784" w:type="dxa"/>
                </w:tcPr>
                <w:p w14:paraId="00000D1F" w14:textId="77777777" w:rsidR="00416D85" w:rsidRPr="007C60AF" w:rsidRDefault="00130320">
                  <w:pPr>
                    <w:spacing w:before="60" w:after="60"/>
                    <w:rPr>
                      <w:color w:val="4472C4"/>
                    </w:rPr>
                  </w:pPr>
                  <w:r w:rsidRPr="007C60AF">
                    <w:rPr>
                      <w:color w:val="4472C4"/>
                    </w:rPr>
                    <w:t>6,254</w:t>
                  </w:r>
                </w:p>
              </w:tc>
              <w:tc>
                <w:tcPr>
                  <w:tcW w:w="1785" w:type="dxa"/>
                </w:tcPr>
                <w:p w14:paraId="00000D20" w14:textId="77777777" w:rsidR="00416D85" w:rsidRPr="007C60AF" w:rsidRDefault="00130320">
                  <w:pPr>
                    <w:spacing w:before="60" w:after="60"/>
                    <w:rPr>
                      <w:color w:val="4472C4"/>
                    </w:rPr>
                  </w:pPr>
                  <w:r w:rsidRPr="007C60AF">
                    <w:rPr>
                      <w:color w:val="4472C4"/>
                    </w:rPr>
                    <w:t>8,622</w:t>
                  </w:r>
                </w:p>
              </w:tc>
            </w:tr>
            <w:tr w:rsidR="00416D85" w:rsidRPr="007C60AF" w14:paraId="05FB395B" w14:textId="77777777">
              <w:tc>
                <w:tcPr>
                  <w:tcW w:w="1784" w:type="dxa"/>
                  <w:shd w:val="clear" w:color="auto" w:fill="D0CECE"/>
                </w:tcPr>
                <w:p w14:paraId="00000D21" w14:textId="77777777" w:rsidR="00416D85" w:rsidRPr="007C60AF" w:rsidRDefault="00130320">
                  <w:pPr>
                    <w:spacing w:before="60" w:after="60"/>
                    <w:rPr>
                      <w:color w:val="4472C4"/>
                    </w:rPr>
                  </w:pPr>
                  <w:r w:rsidRPr="007C60AF">
                    <w:rPr>
                      <w:b/>
                      <w:color w:val="4472C4"/>
                    </w:rPr>
                    <w:t>HVO stocks</w:t>
                  </w:r>
                </w:p>
              </w:tc>
              <w:tc>
                <w:tcPr>
                  <w:tcW w:w="1784" w:type="dxa"/>
                </w:tcPr>
                <w:p w14:paraId="00000D22" w14:textId="77777777" w:rsidR="00416D85" w:rsidRPr="007C60AF" w:rsidRDefault="00130320">
                  <w:pPr>
                    <w:spacing w:before="60" w:after="60"/>
                    <w:rPr>
                      <w:color w:val="4472C4"/>
                    </w:rPr>
                  </w:pPr>
                  <w:r w:rsidRPr="007C60AF">
                    <w:rPr>
                      <w:color w:val="4472C4"/>
                    </w:rPr>
                    <w:t>1,287</w:t>
                  </w:r>
                </w:p>
              </w:tc>
              <w:tc>
                <w:tcPr>
                  <w:tcW w:w="1784" w:type="dxa"/>
                </w:tcPr>
                <w:p w14:paraId="00000D23" w14:textId="77777777" w:rsidR="00416D85" w:rsidRPr="007C60AF" w:rsidRDefault="00130320">
                  <w:pPr>
                    <w:spacing w:before="60" w:after="60"/>
                    <w:rPr>
                      <w:color w:val="4472C4"/>
                    </w:rPr>
                  </w:pPr>
                  <w:r w:rsidRPr="007C60AF">
                    <w:rPr>
                      <w:color w:val="4472C4"/>
                    </w:rPr>
                    <w:t>2,352.75</w:t>
                  </w:r>
                </w:p>
              </w:tc>
              <w:tc>
                <w:tcPr>
                  <w:tcW w:w="1784" w:type="dxa"/>
                </w:tcPr>
                <w:p w14:paraId="00000D24" w14:textId="77777777" w:rsidR="00416D85" w:rsidRPr="007C60AF" w:rsidRDefault="00130320">
                  <w:pPr>
                    <w:spacing w:before="60" w:after="60"/>
                    <w:rPr>
                      <w:color w:val="4472C4"/>
                    </w:rPr>
                  </w:pPr>
                  <w:r w:rsidRPr="007C60AF">
                    <w:rPr>
                      <w:color w:val="4472C4"/>
                    </w:rPr>
                    <w:t>3,405.46</w:t>
                  </w:r>
                </w:p>
              </w:tc>
              <w:tc>
                <w:tcPr>
                  <w:tcW w:w="1785" w:type="dxa"/>
                </w:tcPr>
                <w:p w14:paraId="00000D25" w14:textId="77777777" w:rsidR="00416D85" w:rsidRPr="007C60AF" w:rsidRDefault="00130320">
                  <w:pPr>
                    <w:spacing w:before="60" w:after="60"/>
                    <w:rPr>
                      <w:color w:val="4472C4"/>
                    </w:rPr>
                  </w:pPr>
                  <w:r w:rsidRPr="007C60AF">
                    <w:rPr>
                      <w:color w:val="4472C4"/>
                    </w:rPr>
                    <w:t>5,477.77</w:t>
                  </w:r>
                </w:p>
              </w:tc>
            </w:tr>
            <w:tr w:rsidR="00416D85" w:rsidRPr="007C60AF" w14:paraId="11D3F954" w14:textId="77777777">
              <w:tc>
                <w:tcPr>
                  <w:tcW w:w="1784" w:type="dxa"/>
                  <w:shd w:val="clear" w:color="auto" w:fill="D0CECE"/>
                </w:tcPr>
                <w:p w14:paraId="00000D26" w14:textId="77777777" w:rsidR="00416D85" w:rsidRPr="007C60AF" w:rsidRDefault="00130320">
                  <w:pPr>
                    <w:spacing w:before="60" w:after="60"/>
                    <w:rPr>
                      <w:color w:val="4472C4"/>
                    </w:rPr>
                  </w:pPr>
                  <w:r w:rsidRPr="007C60AF">
                    <w:rPr>
                      <w:b/>
                      <w:color w:val="4472C4"/>
                    </w:rPr>
                    <w:t>HVO consumption</w:t>
                  </w:r>
                </w:p>
              </w:tc>
              <w:tc>
                <w:tcPr>
                  <w:tcW w:w="1784" w:type="dxa"/>
                </w:tcPr>
                <w:p w14:paraId="00000D27" w14:textId="77777777" w:rsidR="00416D85" w:rsidRPr="007C60AF" w:rsidRDefault="00130320">
                  <w:pPr>
                    <w:spacing w:before="60" w:after="60"/>
                    <w:rPr>
                      <w:color w:val="4472C4"/>
                    </w:rPr>
                  </w:pPr>
                  <w:r w:rsidRPr="007C60AF">
                    <w:rPr>
                      <w:color w:val="4472C4"/>
                    </w:rPr>
                    <w:t>19,564.25</w:t>
                  </w:r>
                </w:p>
              </w:tc>
              <w:tc>
                <w:tcPr>
                  <w:tcW w:w="1784" w:type="dxa"/>
                </w:tcPr>
                <w:p w14:paraId="00000D28" w14:textId="77777777" w:rsidR="00416D85" w:rsidRPr="007C60AF" w:rsidRDefault="00130320">
                  <w:pPr>
                    <w:spacing w:before="60" w:after="60"/>
                    <w:rPr>
                      <w:color w:val="4472C4"/>
                    </w:rPr>
                  </w:pPr>
                  <w:r w:rsidRPr="007C60AF">
                    <w:rPr>
                      <w:color w:val="4472C4"/>
                    </w:rPr>
                    <w:t>28,777.13</w:t>
                  </w:r>
                </w:p>
              </w:tc>
              <w:tc>
                <w:tcPr>
                  <w:tcW w:w="1784" w:type="dxa"/>
                </w:tcPr>
                <w:p w14:paraId="00000D29" w14:textId="77777777" w:rsidR="00416D85" w:rsidRPr="007C60AF" w:rsidRDefault="00130320">
                  <w:pPr>
                    <w:spacing w:before="60" w:after="60"/>
                    <w:rPr>
                      <w:color w:val="4472C4"/>
                    </w:rPr>
                  </w:pPr>
                  <w:r w:rsidRPr="007C60AF">
                    <w:rPr>
                      <w:color w:val="4472C4"/>
                    </w:rPr>
                    <w:t>40,893.08</w:t>
                  </w:r>
                </w:p>
              </w:tc>
              <w:tc>
                <w:tcPr>
                  <w:tcW w:w="1785" w:type="dxa"/>
                </w:tcPr>
                <w:p w14:paraId="00000D2A" w14:textId="77777777" w:rsidR="00416D85" w:rsidRPr="007C60AF" w:rsidRDefault="00130320">
                  <w:pPr>
                    <w:spacing w:before="60" w:after="60"/>
                    <w:rPr>
                      <w:color w:val="4472C4"/>
                    </w:rPr>
                  </w:pPr>
                  <w:r w:rsidRPr="007C60AF">
                    <w:rPr>
                      <w:color w:val="4472C4"/>
                    </w:rPr>
                    <w:t>68,293.53</w:t>
                  </w:r>
                </w:p>
              </w:tc>
            </w:tr>
            <w:tr w:rsidR="00416D85" w:rsidRPr="007C60AF" w14:paraId="0C10D7DF" w14:textId="77777777">
              <w:tc>
                <w:tcPr>
                  <w:tcW w:w="1784" w:type="dxa"/>
                  <w:shd w:val="clear" w:color="auto" w:fill="D0CECE"/>
                </w:tcPr>
                <w:p w14:paraId="00000D2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0" w:line="276" w:lineRule="auto"/>
                    <w:jc w:val="both"/>
                    <w:rPr>
                      <w:rFonts w:eastAsia="Arial"/>
                      <w:b/>
                      <w:color w:val="4472C4"/>
                    </w:rPr>
                  </w:pPr>
                  <w:r w:rsidRPr="007C60AF">
                    <w:rPr>
                      <w:rFonts w:eastAsia="Arial"/>
                      <w:b/>
                      <w:color w:val="4472C4"/>
                    </w:rPr>
                    <w:t>Difference between:</w:t>
                  </w:r>
                </w:p>
                <w:p w14:paraId="00000D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b/>
                      <w:color w:val="4472C4"/>
                    </w:rPr>
                  </w:pPr>
                  <w:r w:rsidRPr="007C60AF">
                    <w:rPr>
                      <w:rFonts w:eastAsia="Arial"/>
                      <w:b/>
                      <w:color w:val="4472C4"/>
                    </w:rPr>
                    <w:t>1. HVO production, imports and stocks; and</w:t>
                  </w:r>
                </w:p>
                <w:p w14:paraId="00000D2D" w14:textId="77777777" w:rsidR="00416D85" w:rsidRPr="007C60AF" w:rsidRDefault="00130320">
                  <w:pPr>
                    <w:spacing w:before="60" w:after="60"/>
                    <w:rPr>
                      <w:color w:val="4472C4"/>
                    </w:rPr>
                  </w:pPr>
                  <w:r w:rsidRPr="007C60AF">
                    <w:rPr>
                      <w:b/>
                      <w:color w:val="4472C4"/>
                    </w:rPr>
                    <w:t>2. HVO consumption</w:t>
                  </w:r>
                </w:p>
              </w:tc>
              <w:tc>
                <w:tcPr>
                  <w:tcW w:w="1784" w:type="dxa"/>
                </w:tcPr>
                <w:p w14:paraId="00000D2E" w14:textId="77777777" w:rsidR="00416D85" w:rsidRPr="007C60AF" w:rsidRDefault="00130320">
                  <w:pPr>
                    <w:spacing w:before="60" w:after="60"/>
                    <w:rPr>
                      <w:color w:val="4472C4"/>
                    </w:rPr>
                  </w:pPr>
                  <w:r w:rsidRPr="007C60AF">
                    <w:rPr>
                      <w:color w:val="4472C4"/>
                    </w:rPr>
                    <w:t>1,083</w:t>
                  </w:r>
                </w:p>
              </w:tc>
              <w:tc>
                <w:tcPr>
                  <w:tcW w:w="1784" w:type="dxa"/>
                </w:tcPr>
                <w:p w14:paraId="00000D2F" w14:textId="77777777" w:rsidR="00416D85" w:rsidRPr="007C60AF" w:rsidRDefault="00130320">
                  <w:pPr>
                    <w:spacing w:before="60" w:after="60"/>
                    <w:rPr>
                      <w:color w:val="4472C4"/>
                    </w:rPr>
                  </w:pPr>
                  <w:r w:rsidRPr="007C60AF">
                    <w:rPr>
                      <w:color w:val="4472C4"/>
                    </w:rPr>
                    <w:t>3,418.51</w:t>
                  </w:r>
                </w:p>
              </w:tc>
              <w:tc>
                <w:tcPr>
                  <w:tcW w:w="1784" w:type="dxa"/>
                </w:tcPr>
                <w:p w14:paraId="00000D30" w14:textId="77777777" w:rsidR="00416D85" w:rsidRPr="007C60AF" w:rsidRDefault="00130320">
                  <w:pPr>
                    <w:spacing w:before="60" w:after="60"/>
                    <w:rPr>
                      <w:color w:val="4472C4"/>
                    </w:rPr>
                  </w:pPr>
                  <w:r w:rsidRPr="007C60AF">
                    <w:rPr>
                      <w:color w:val="4472C4"/>
                    </w:rPr>
                    <w:t>4,458.17</w:t>
                  </w:r>
                </w:p>
              </w:tc>
              <w:tc>
                <w:tcPr>
                  <w:tcW w:w="1785" w:type="dxa"/>
                </w:tcPr>
                <w:p w14:paraId="00000D31" w14:textId="77777777" w:rsidR="00416D85" w:rsidRPr="007C60AF" w:rsidRDefault="00130320">
                  <w:pPr>
                    <w:spacing w:before="60" w:after="60"/>
                    <w:rPr>
                      <w:color w:val="4472C4"/>
                    </w:rPr>
                  </w:pPr>
                  <w:r w:rsidRPr="007C60AF">
                    <w:rPr>
                      <w:color w:val="4472C4"/>
                    </w:rPr>
                    <w:t>7,550.08</w:t>
                  </w:r>
                </w:p>
              </w:tc>
            </w:tr>
            <w:tr w:rsidR="00416D85" w:rsidRPr="007C60AF" w14:paraId="7D363D01" w14:textId="77777777">
              <w:tc>
                <w:tcPr>
                  <w:tcW w:w="1784" w:type="dxa"/>
                  <w:shd w:val="clear" w:color="auto" w:fill="D0CECE"/>
                </w:tcPr>
                <w:p w14:paraId="00000D3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Index: 2020 = 100</w:t>
                  </w:r>
                </w:p>
              </w:tc>
              <w:tc>
                <w:tcPr>
                  <w:tcW w:w="1784" w:type="dxa"/>
                </w:tcPr>
                <w:p w14:paraId="00000D33" w14:textId="77777777" w:rsidR="00416D85" w:rsidRPr="007C60AF" w:rsidRDefault="00130320">
                  <w:pPr>
                    <w:spacing w:before="60" w:after="60"/>
                    <w:rPr>
                      <w:color w:val="4472C4"/>
                    </w:rPr>
                  </w:pPr>
                  <w:r w:rsidRPr="007C60AF">
                    <w:rPr>
                      <w:color w:val="4472C4"/>
                    </w:rPr>
                    <w:t>100</w:t>
                  </w:r>
                </w:p>
              </w:tc>
              <w:tc>
                <w:tcPr>
                  <w:tcW w:w="1784" w:type="dxa"/>
                </w:tcPr>
                <w:p w14:paraId="00000D34" w14:textId="77777777" w:rsidR="00416D85" w:rsidRPr="007C60AF" w:rsidRDefault="00130320">
                  <w:pPr>
                    <w:spacing w:before="60" w:after="60"/>
                    <w:rPr>
                      <w:color w:val="4472C4"/>
                    </w:rPr>
                  </w:pPr>
                  <w:r w:rsidRPr="007C60AF">
                    <w:rPr>
                      <w:color w:val="4472C4"/>
                    </w:rPr>
                    <w:t>316</w:t>
                  </w:r>
                </w:p>
              </w:tc>
              <w:tc>
                <w:tcPr>
                  <w:tcW w:w="1784" w:type="dxa"/>
                </w:tcPr>
                <w:p w14:paraId="00000D35" w14:textId="77777777" w:rsidR="00416D85" w:rsidRPr="007C60AF" w:rsidRDefault="00130320">
                  <w:pPr>
                    <w:spacing w:before="60" w:after="60"/>
                    <w:rPr>
                      <w:color w:val="4472C4"/>
                    </w:rPr>
                  </w:pPr>
                  <w:r w:rsidRPr="007C60AF">
                    <w:rPr>
                      <w:color w:val="4472C4"/>
                    </w:rPr>
                    <w:t>412</w:t>
                  </w:r>
                </w:p>
              </w:tc>
              <w:tc>
                <w:tcPr>
                  <w:tcW w:w="1785" w:type="dxa"/>
                </w:tcPr>
                <w:p w14:paraId="00000D36" w14:textId="77777777" w:rsidR="00416D85" w:rsidRPr="007C60AF" w:rsidRDefault="00130320">
                  <w:pPr>
                    <w:spacing w:before="60" w:after="60"/>
                    <w:rPr>
                      <w:color w:val="4472C4"/>
                    </w:rPr>
                  </w:pPr>
                  <w:r w:rsidRPr="007C60AF">
                    <w:rPr>
                      <w:color w:val="4472C4"/>
                    </w:rPr>
                    <w:t>697</w:t>
                  </w:r>
                </w:p>
              </w:tc>
            </w:tr>
          </w:tbl>
          <w:p w14:paraId="00000D37" w14:textId="77777777" w:rsidR="00416D85" w:rsidRPr="007C60AF" w:rsidRDefault="00416D85">
            <w:pPr>
              <w:rPr>
                <w:color w:val="4472C4"/>
              </w:rPr>
            </w:pPr>
          </w:p>
          <w:p w14:paraId="00000D38"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US EIA statistics show an increase in production from 3,465 thousand barrels in November 2022 to 6,420 thousand barrels in December 2023.</w:t>
            </w:r>
            <w:r w:rsidRPr="007C60AF">
              <w:rPr>
                <w:rFonts w:eastAsia="Arial"/>
                <w:color w:val="4472C4"/>
                <w:vertAlign w:val="superscript"/>
              </w:rPr>
              <w:footnoteReference w:id="164"/>
            </w:r>
            <w:r w:rsidRPr="007C60AF">
              <w:rPr>
                <w:rFonts w:eastAsia="Arial"/>
                <w:color w:val="4472C4"/>
              </w:rPr>
              <w:t xml:space="preserve"> This represents an increase of more than 85% since the TRA announced the revocation of anti-dumping measures and countervailing duties on US HVO in the UK Transition Reviews. </w:t>
            </w:r>
          </w:p>
          <w:p w14:paraId="00000D3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3A"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With respect to imports, US EIA statistics indicate that the US imported 29% more HVO during the first five months of 2024 (averaging 30,000 barrels per day) than in the same period in 2023. The increase in imports can likely be attributed in </w:t>
            </w:r>
            <w:r w:rsidRPr="007C60AF">
              <w:rPr>
                <w:rFonts w:eastAsia="Arial"/>
                <w:color w:val="4472C4"/>
              </w:rPr>
              <w:lastRenderedPageBreak/>
              <w:t>part to increased storage capacity in the US,</w:t>
            </w:r>
            <w:r w:rsidRPr="007C60AF">
              <w:rPr>
                <w:rFonts w:eastAsia="Arial"/>
                <w:color w:val="4472C4"/>
                <w:vertAlign w:val="superscript"/>
              </w:rPr>
              <w:footnoteReference w:id="165"/>
            </w:r>
            <w:r w:rsidRPr="007C60AF">
              <w:rPr>
                <w:rFonts w:eastAsia="Arial"/>
                <w:color w:val="4472C4"/>
              </w:rPr>
              <w:t xml:space="preserve"> which will continue to increase stocks of HVO, and in turn encourage US producers to export their HVO. Notably, the BTC also applies to </w:t>
            </w:r>
            <w:r w:rsidRPr="007C60AF">
              <w:rPr>
                <w:rFonts w:eastAsia="Arial"/>
                <w:color w:val="4472C4"/>
                <w:u w:val="single"/>
              </w:rPr>
              <w:t>imports</w:t>
            </w:r>
            <w:r w:rsidRPr="007C60AF">
              <w:rPr>
                <w:rFonts w:eastAsia="Arial"/>
                <w:color w:val="4472C4"/>
              </w:rPr>
              <w:t xml:space="preserve"> of biodiesel (FAME &amp; HVO).</w:t>
            </w:r>
          </w:p>
          <w:p w14:paraId="00000D3B"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3C"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Most of the imports (94%) were destined for the US West Coast, where most of the country's HVO is consumed.</w:t>
            </w:r>
            <w:r w:rsidRPr="007C60AF">
              <w:rPr>
                <w:rFonts w:eastAsia="Arial"/>
                <w:color w:val="4472C4"/>
                <w:vertAlign w:val="superscript"/>
              </w:rPr>
              <w:footnoteReference w:id="166"/>
            </w:r>
            <w:r w:rsidRPr="007C60AF">
              <w:rPr>
                <w:rFonts w:eastAsia="Arial"/>
                <w:color w:val="4472C4"/>
              </w:rPr>
              <w:t xml:space="preserve"> As mentioned in our response to question F.2. above, California is the largest and the most lucrative market for HVO producers and sellers in the US due to the blending mandate and the "revenue stack" that they can receive (which is made up in part of the credits that they can receive). </w:t>
            </w:r>
          </w:p>
          <w:p w14:paraId="00000D3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3E"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production, production capacity, and imports have been growing faster than the actual demand in the US, and US producer margins for California have decreased significantly, </w:t>
            </w:r>
            <w:proofErr w:type="gramStart"/>
            <w:r w:rsidRPr="007C60AF">
              <w:rPr>
                <w:rFonts w:eastAsia="Arial"/>
                <w:color w:val="4472C4"/>
              </w:rPr>
              <w:t>it is clear that the</w:t>
            </w:r>
            <w:proofErr w:type="gramEnd"/>
            <w:r w:rsidRPr="007C60AF">
              <w:rPr>
                <w:rFonts w:eastAsia="Arial"/>
                <w:color w:val="4472C4"/>
              </w:rPr>
              <w:t xml:space="preserve"> US producers needed to find accessible foreign markets to which they can sell their goods at a better profitability. At the same time, the overall biofuel demand worldwide has also been growing precisely because of the blending mandates to reduce GHG emissions. This increase in production and production capacity in the US of HVO, and the subsequent surge in imports of US HVO into the UK, correspond to the period after which the TRA announced the revocation of anti-dumping measures and countervailing duties on US HVO on 10 November 2022 (in the TRA's Final Determinations for the UK Transition Reviews).</w:t>
            </w:r>
          </w:p>
          <w:p w14:paraId="00000D3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40"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Moreover, the US EIA expects HVO production to increase by approximately 30% annually in both 2024 and 2025. This forecast reflects an average of approximately 230,000 barrels per day in 2024, expanding to 290,000 barrels per day in 2025. This is due to Phillips 66's Rodeo conversion and other scheduled capacity expansions in the next two years.</w:t>
            </w:r>
            <w:r w:rsidRPr="007C60AF">
              <w:rPr>
                <w:rFonts w:eastAsia="Arial"/>
                <w:color w:val="4472C4"/>
                <w:vertAlign w:val="superscript"/>
              </w:rPr>
              <w:footnoteReference w:id="167"/>
            </w:r>
            <w:r w:rsidRPr="007C60AF">
              <w:rPr>
                <w:rFonts w:eastAsia="Arial"/>
                <w:color w:val="4472C4"/>
              </w:rPr>
              <w:t xml:space="preserve"> </w:t>
            </w:r>
          </w:p>
          <w:p w14:paraId="00000D4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42" w14:textId="77777777" w:rsidR="00416D85" w:rsidRPr="007C60AF" w:rsidRDefault="00130320">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color w:val="4472C4"/>
              </w:rPr>
              <w:t>According to the USDA, the dramatic US HVO production and capacity growth is causing significant, market-altering shifts both domestically and to foreign feedstock trade.</w:t>
            </w:r>
            <w:r w:rsidRPr="007C60AF">
              <w:rPr>
                <w:rFonts w:eastAsia="Arial"/>
                <w:color w:val="4472C4"/>
                <w:vertAlign w:val="superscript"/>
              </w:rPr>
              <w:footnoteReference w:id="168"/>
            </w:r>
            <w:r w:rsidRPr="007C60AF">
              <w:rPr>
                <w:rFonts w:eastAsia="Arial"/>
                <w:color w:val="4472C4"/>
              </w:rPr>
              <w:t xml:space="preserve"> </w:t>
            </w:r>
          </w:p>
          <w:p w14:paraId="00000D4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D44" w14:textId="77777777" w:rsidR="00416D85" w:rsidRPr="007C60AF" w:rsidRDefault="00130320">
            <w:pPr>
              <w:numPr>
                <w:ilvl w:val="6"/>
                <w:numId w:val="43"/>
              </w:numPr>
              <w:pBdr>
                <w:top w:val="nil"/>
                <w:left w:val="nil"/>
                <w:bottom w:val="nil"/>
                <w:right w:val="nil"/>
                <w:between w:val="nil"/>
              </w:pBdr>
              <w:spacing w:line="276" w:lineRule="auto"/>
              <w:jc w:val="both"/>
              <w:rPr>
                <w:rFonts w:eastAsia="Arial"/>
                <w:color w:val="4472C4"/>
              </w:rPr>
            </w:pPr>
            <w:r w:rsidRPr="007C60AF">
              <w:rPr>
                <w:rFonts w:eastAsia="Arial"/>
                <w:color w:val="4472C4"/>
              </w:rPr>
              <w:lastRenderedPageBreak/>
              <w:t>In June 2023, the US Environmental Protection Agency ("</w:t>
            </w:r>
            <w:r w:rsidRPr="007C60AF">
              <w:rPr>
                <w:rFonts w:eastAsia="Arial"/>
                <w:b/>
                <w:color w:val="4472C4"/>
              </w:rPr>
              <w:t>EPA</w:t>
            </w:r>
            <w:r w:rsidRPr="007C60AF">
              <w:rPr>
                <w:rFonts w:eastAsia="Arial"/>
                <w:color w:val="4472C4"/>
              </w:rPr>
              <w:t>") finalised regulations to steadily raise the amount of renewable fuel that US refiners must annually mix with gasoline and diesel over the next three years as part of the RFS program. However, the final regulations mandated an increase in renewable fuels that was far lower than anticipated, meaning that US demand will continue to lag far behind production:</w:t>
            </w:r>
            <w:r w:rsidRPr="007C60AF">
              <w:rPr>
                <w:rFonts w:eastAsia="Arial"/>
                <w:color w:val="4472C4"/>
                <w:vertAlign w:val="superscript"/>
              </w:rPr>
              <w:footnoteReference w:id="169"/>
            </w:r>
            <w:r w:rsidRPr="007C60AF">
              <w:rPr>
                <w:rFonts w:eastAsia="Arial"/>
                <w:color w:val="4472C4"/>
              </w:rPr>
              <w:t xml:space="preserve"> </w:t>
            </w:r>
          </w:p>
          <w:p w14:paraId="00000D45" w14:textId="29EA66FD" w:rsidR="00416D85" w:rsidRPr="007C60AF" w:rsidRDefault="00130320">
            <w:pPr>
              <w:numPr>
                <w:ilvl w:val="0"/>
                <w:numId w:val="46"/>
              </w:numPr>
              <w:pBdr>
                <w:top w:val="nil"/>
                <w:left w:val="nil"/>
                <w:bottom w:val="nil"/>
                <w:right w:val="nil"/>
                <w:between w:val="nil"/>
              </w:pBdr>
              <w:spacing w:before="240" w:after="0"/>
              <w:jc w:val="both"/>
              <w:rPr>
                <w:rFonts w:eastAsia="Arial"/>
                <w:color w:val="4472C4"/>
              </w:rPr>
            </w:pPr>
            <w:r w:rsidRPr="007C60AF">
              <w:rPr>
                <w:rFonts w:eastAsia="Arial"/>
                <w:color w:val="4472C4"/>
              </w:rPr>
              <w:t>"[B]</w:t>
            </w:r>
            <w:proofErr w:type="spellStart"/>
            <w:r w:rsidR="00ED2C9A" w:rsidRPr="007C60AF">
              <w:rPr>
                <w:rFonts w:eastAsia="Arial"/>
                <w:color w:val="4472C4"/>
              </w:rPr>
              <w:t>iofuel</w:t>
            </w:r>
            <w:proofErr w:type="spellEnd"/>
            <w:r w:rsidRPr="007C60AF">
              <w:rPr>
                <w:rFonts w:eastAsia="Arial"/>
                <w:color w:val="4472C4"/>
              </w:rPr>
              <w:t xml:space="preserve"> groups expressed disappointment as well as shock over the direction the EPA took in the final rule", as the EPA lowered its ambitions for conventional biofuels. </w:t>
            </w:r>
          </w:p>
          <w:p w14:paraId="00000D46" w14:textId="77777777" w:rsidR="00416D85" w:rsidRPr="007C60AF" w:rsidRDefault="00130320">
            <w:pPr>
              <w:numPr>
                <w:ilvl w:val="0"/>
                <w:numId w:val="4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final rule continues to undercut biodiesel and renewable diesel capacity, given new investments in production capacity and distribution infrastructure". </w:t>
            </w:r>
          </w:p>
          <w:p w14:paraId="00000D47" w14:textId="77777777" w:rsidR="00416D85" w:rsidRPr="007C60AF" w:rsidRDefault="00130320">
            <w:pPr>
              <w:numPr>
                <w:ilvl w:val="0"/>
                <w:numId w:val="4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"Worst of all, EPA ignores the hundreds of millions of gallons of biodiesel, renewable diesel and sustainable aviation fuel generated in the first half of 2023". </w:t>
            </w:r>
          </w:p>
          <w:p w14:paraId="00000D48" w14:textId="77777777" w:rsidR="00416D85" w:rsidRPr="007C60AF" w:rsidRDefault="00130320">
            <w:pPr>
              <w:numPr>
                <w:ilvl w:val="0"/>
                <w:numId w:val="46"/>
              </w:numPr>
              <w:pBdr>
                <w:top w:val="nil"/>
                <w:left w:val="nil"/>
                <w:bottom w:val="nil"/>
                <w:right w:val="nil"/>
                <w:between w:val="nil"/>
              </w:pBdr>
              <w:spacing w:before="240" w:after="0"/>
              <w:jc w:val="both"/>
              <w:rPr>
                <w:rFonts w:eastAsia="Arial"/>
                <w:color w:val="4472C4"/>
                <w:sz w:val="20"/>
                <w:szCs w:val="20"/>
              </w:rPr>
            </w:pPr>
            <w:r w:rsidRPr="007C60AF">
              <w:rPr>
                <w:rFonts w:eastAsia="Arial"/>
                <w:color w:val="4472C4"/>
              </w:rPr>
              <w:t>"Further, the [US EIA] has projected US biodiesel and renewable diesel output to increase by more than 800 million gallons in 2023 and 900 million gallons in 2024, whereas the final RFS rule increases mandates for these fuels by only 590 million gallons over the three-year period."</w:t>
            </w:r>
          </w:p>
          <w:p w14:paraId="00000D49"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D4A" w14:textId="77777777" w:rsidR="00416D85" w:rsidRPr="007C60AF" w:rsidRDefault="00130320">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color w:val="4472C4"/>
              </w:rPr>
              <w:t>Based on these forecasts, there will continue to be significant spare capacity and excess production in the US market, and if measures are not imposed on imports of US HVO, then US producers and exporters will continue to flood the UK market with their goods. </w:t>
            </w:r>
          </w:p>
          <w:p w14:paraId="00000D4B"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D4C" w14:textId="77777777" w:rsidR="00416D85" w:rsidRPr="007C60AF" w:rsidRDefault="00130320">
            <w:pPr>
              <w:numPr>
                <w:ilvl w:val="0"/>
                <w:numId w:val="80"/>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Volumes and prices of dumped and subsidised imports of US HVO in the UK</w:t>
            </w:r>
          </w:p>
          <w:p w14:paraId="00000D4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4E"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Imports of US HVO into the UK sharply increased between 2022 and the POI. Please refer to the responses to questions E.1.3. and F.1.3. above and the graph below (dated 18 September 2024).</w:t>
            </w:r>
          </w:p>
          <w:p w14:paraId="00000D4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5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b/>
                <w:color w:val="4472C4"/>
              </w:rPr>
              <w:t>[SENSITIVE – GRAPH DETAILING UK HVO CONSUMPTION AGAINST US IMPORTS - REMOVED AS THE DATA HAS BEEN OBTAINED FROM A SUBSCRIPTION SERVICE]</w:t>
            </w:r>
          </w:p>
          <w:p w14:paraId="00000D5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52"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As noted in the response to question F.1.1. above, based on the RTFO statistics the total consumption of HVO in the UK during the POI was 407,358 MT. </w:t>
            </w:r>
          </w:p>
          <w:p w14:paraId="00000D5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54" w14:textId="2A909DD2"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have calculated the market share of imports of US HVO by expressing the volume of imports of US HVO during the POI (according to </w:t>
            </w:r>
            <w:r w:rsidRPr="007C60AF">
              <w:rPr>
                <w:rFonts w:eastAsia="Arial"/>
                <w:b/>
                <w:color w:val="4472C4"/>
              </w:rPr>
              <w:t>[SENSITIVE – INFORMATION OBTAINED FROM SUBSCRIPTION SERVICE]</w:t>
            </w:r>
            <w:r w:rsidRPr="007C60AF">
              <w:rPr>
                <w:rFonts w:eastAsia="Arial"/>
                <w:color w:val="4472C4"/>
              </w:rPr>
              <w:t xml:space="preserve">) as a percentage of consumption during the POI (according to RTFO statistics). The Applicants have done this for the two methodologies (conservative and liberal) that were used to calculate the volume of imports during the POI based on </w:t>
            </w:r>
            <w:r w:rsidRPr="007C60AF">
              <w:rPr>
                <w:rFonts w:eastAsia="Arial"/>
                <w:b/>
                <w:color w:val="4472C4"/>
              </w:rPr>
              <w:t>[SENSITIVE – INFORMATION OBTAINED FROM SUBSCRIPTION SERVICE]</w:t>
            </w:r>
            <w:r w:rsidRPr="007C60AF">
              <w:rPr>
                <w:rFonts w:eastAsia="Arial"/>
                <w:color w:val="4472C4"/>
              </w:rPr>
              <w:t xml:space="preserve"> (</w:t>
            </w:r>
            <w:r w:rsidRPr="007C60AF">
              <w:rPr>
                <w:rFonts w:eastAsia="Arial"/>
                <w:i/>
                <w:color w:val="4472C4"/>
              </w:rPr>
              <w:t>see</w:t>
            </w:r>
            <w:r w:rsidRPr="007C60AF">
              <w:rPr>
                <w:rFonts w:eastAsia="Arial"/>
                <w:color w:val="4472C4"/>
              </w:rPr>
              <w:t xml:space="preserve"> the response to question E.1.3 above and Appendix E.11 for the calculations).</w:t>
            </w:r>
            <w:r w:rsidRPr="007C60AF">
              <w:rPr>
                <w:rFonts w:eastAsia="Arial"/>
                <w:color w:val="4472C4"/>
                <w:vertAlign w:val="superscript"/>
              </w:rPr>
              <w:footnoteReference w:id="170"/>
            </w:r>
          </w:p>
          <w:p w14:paraId="00000D5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56"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As shown in table 2 below, the market share of imports of US HVO in the UK during the POI is:</w:t>
            </w:r>
          </w:p>
          <w:p w14:paraId="00000D57" w14:textId="36B3CB17" w:rsidR="00416D85" w:rsidRPr="007C60AF" w:rsidRDefault="00130320">
            <w:pPr>
              <w:numPr>
                <w:ilvl w:val="0"/>
                <w:numId w:val="52"/>
              </w:numPr>
              <w:pBdr>
                <w:top w:val="nil"/>
                <w:left w:val="nil"/>
                <w:bottom w:val="nil"/>
                <w:right w:val="nil"/>
                <w:between w:val="nil"/>
              </w:pBdr>
              <w:spacing w:before="240" w:after="0"/>
              <w:jc w:val="both"/>
              <w:rPr>
                <w:rFonts w:eastAsia="Arial"/>
                <w:color w:val="4472C4"/>
              </w:rPr>
            </w:pPr>
            <w:r w:rsidRPr="007C60AF">
              <w:rPr>
                <w:rFonts w:eastAsia="Arial"/>
                <w:b/>
                <w:color w:val="4472C4"/>
              </w:rPr>
              <w:t>[30-</w:t>
            </w:r>
            <w:r w:rsidR="00785EBF" w:rsidRPr="007C60AF">
              <w:rPr>
                <w:rFonts w:eastAsia="Arial"/>
                <w:b/>
                <w:color w:val="4472C4"/>
              </w:rPr>
              <w:t>50]</w:t>
            </w:r>
            <w:r w:rsidR="00785EBF" w:rsidRPr="007C60AF">
              <w:rPr>
                <w:rFonts w:eastAsia="Arial"/>
                <w:color w:val="4472C4"/>
              </w:rPr>
              <w:t xml:space="preserve"> %</w:t>
            </w:r>
            <w:r w:rsidRPr="007C60AF">
              <w:rPr>
                <w:rFonts w:eastAsia="Arial"/>
                <w:color w:val="4472C4"/>
              </w:rPr>
              <w:t xml:space="preserve"> based on the first (conservative) methodology of volume of imports from </w:t>
            </w:r>
            <w:r w:rsidRPr="007C60AF">
              <w:rPr>
                <w:rFonts w:eastAsia="Arial"/>
                <w:b/>
                <w:color w:val="4472C4"/>
              </w:rPr>
              <w:t>[SENSITIVE – INFORMATION OBTAINED FROM</w:t>
            </w:r>
            <w:r w:rsidR="00785EBF" w:rsidRPr="007C60AF">
              <w:rPr>
                <w:rFonts w:eastAsia="Arial"/>
                <w:b/>
                <w:color w:val="4472C4"/>
              </w:rPr>
              <w:t xml:space="preserve"> </w:t>
            </w:r>
            <w:r w:rsidRPr="007C60AF">
              <w:rPr>
                <w:rFonts w:eastAsia="Arial"/>
                <w:b/>
                <w:color w:val="4472C4"/>
              </w:rPr>
              <w:t>SUBSCRIPTION SERVICE]</w:t>
            </w:r>
            <w:r w:rsidRPr="007C60AF">
              <w:rPr>
                <w:rFonts w:eastAsia="Arial"/>
                <w:color w:val="4472C4"/>
              </w:rPr>
              <w:t xml:space="preserve"> (i.e. </w:t>
            </w:r>
            <w:r w:rsidRPr="007C60AF">
              <w:rPr>
                <w:rFonts w:eastAsia="Arial"/>
                <w:b/>
                <w:color w:val="4472C4"/>
              </w:rPr>
              <w:t>[</w:t>
            </w:r>
            <w:r w:rsidR="00E75745" w:rsidRPr="007C60AF">
              <w:rPr>
                <w:rFonts w:eastAsia="Arial"/>
                <w:b/>
                <w:color w:val="4472C4"/>
              </w:rPr>
              <w:t>150,000-200,000</w:t>
            </w:r>
            <w:r w:rsidRPr="007C60AF">
              <w:rPr>
                <w:rFonts w:eastAsia="Arial"/>
                <w:b/>
                <w:color w:val="4472C4"/>
              </w:rPr>
              <w:t>]</w:t>
            </w:r>
            <w:r w:rsidRPr="007C60AF">
              <w:rPr>
                <w:rFonts w:eastAsia="Arial"/>
                <w:color w:val="4472C4"/>
              </w:rPr>
              <w:t xml:space="preserve"> MT of imports of US HVO into the UK during the POI); and </w:t>
            </w:r>
          </w:p>
          <w:p w14:paraId="00000D58" w14:textId="1962107C" w:rsidR="00416D85" w:rsidRPr="007C60AF" w:rsidRDefault="00130320">
            <w:pPr>
              <w:numPr>
                <w:ilvl w:val="0"/>
                <w:numId w:val="52"/>
              </w:numPr>
              <w:pBdr>
                <w:top w:val="nil"/>
                <w:left w:val="nil"/>
                <w:bottom w:val="nil"/>
                <w:right w:val="nil"/>
                <w:between w:val="nil"/>
              </w:pBdr>
              <w:spacing w:before="240" w:after="0"/>
              <w:jc w:val="both"/>
              <w:rPr>
                <w:rFonts w:eastAsia="Arial"/>
                <w:color w:val="4472C4"/>
              </w:rPr>
            </w:pPr>
            <w:r w:rsidRPr="007C60AF">
              <w:rPr>
                <w:rFonts w:eastAsia="Arial"/>
                <w:b/>
                <w:color w:val="4472C4"/>
              </w:rPr>
              <w:t>[75-95]</w:t>
            </w:r>
            <w:r w:rsidRPr="007C60AF">
              <w:rPr>
                <w:rFonts w:eastAsia="Arial"/>
                <w:color w:val="4472C4"/>
              </w:rPr>
              <w:t xml:space="preserve">% based on the second (liberal) methodology of volume of imports from </w:t>
            </w:r>
            <w:r w:rsidRPr="007C60AF">
              <w:rPr>
                <w:rFonts w:eastAsia="Arial"/>
                <w:b/>
                <w:color w:val="4472C4"/>
              </w:rPr>
              <w:t>[SENSITIVE – INFORMATION OBTAINED FROM</w:t>
            </w:r>
            <w:r w:rsidR="00785EBF" w:rsidRPr="007C60AF">
              <w:rPr>
                <w:rFonts w:eastAsia="Arial"/>
                <w:b/>
                <w:color w:val="4472C4"/>
              </w:rPr>
              <w:t xml:space="preserve"> </w:t>
            </w:r>
            <w:r w:rsidRPr="007C60AF">
              <w:rPr>
                <w:rFonts w:eastAsia="Arial"/>
                <w:b/>
                <w:color w:val="4472C4"/>
              </w:rPr>
              <w:t>SUBSCRIPTION SERVICE]</w:t>
            </w:r>
            <w:r w:rsidRPr="007C60AF">
              <w:rPr>
                <w:rFonts w:eastAsia="Arial"/>
                <w:color w:val="4472C4"/>
              </w:rPr>
              <w:t xml:space="preserve"> (i.e. </w:t>
            </w:r>
            <w:r w:rsidRPr="007C60AF">
              <w:rPr>
                <w:rFonts w:eastAsia="Arial"/>
                <w:b/>
                <w:color w:val="4472C4"/>
              </w:rPr>
              <w:t>[</w:t>
            </w:r>
            <w:r w:rsidR="00E75745" w:rsidRPr="007C60AF">
              <w:rPr>
                <w:rFonts w:eastAsia="Arial"/>
                <w:b/>
                <w:color w:val="4472C4"/>
              </w:rPr>
              <w:t>300,000-350,000</w:t>
            </w:r>
            <w:r w:rsidRPr="007C60AF">
              <w:rPr>
                <w:rFonts w:eastAsia="Arial"/>
                <w:b/>
                <w:color w:val="4472C4"/>
              </w:rPr>
              <w:t>]</w:t>
            </w:r>
            <w:r w:rsidRPr="007C60AF">
              <w:rPr>
                <w:rFonts w:eastAsia="Arial"/>
                <w:color w:val="4472C4"/>
              </w:rPr>
              <w:t xml:space="preserve"> MT of imports of US HVO into the UK during the POI).</w:t>
            </w:r>
          </w:p>
          <w:p w14:paraId="00000D59"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D5A" w14:textId="28DE87B7" w:rsidR="00416D85" w:rsidRPr="007C60AF" w:rsidRDefault="00130320">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Based on the conservative methodology, actual imports of US HVO into the UK began in Q1 2023 (noting that there was </w:t>
            </w:r>
            <w:r w:rsidR="00E75745" w:rsidRPr="007C60AF">
              <w:rPr>
                <w:rFonts w:eastAsia="Arial"/>
                <w:b/>
                <w:bCs/>
                <w:color w:val="4472C4"/>
              </w:rPr>
              <w:t>[</w:t>
            </w:r>
            <w:r w:rsidRPr="007C60AF">
              <w:rPr>
                <w:rFonts w:eastAsia="Arial"/>
                <w:b/>
                <w:bCs/>
                <w:color w:val="4472C4"/>
              </w:rPr>
              <w:t>3,000</w:t>
            </w:r>
            <w:r w:rsidR="00E75745" w:rsidRPr="007C60AF">
              <w:rPr>
                <w:rFonts w:eastAsia="Arial"/>
                <w:b/>
                <w:bCs/>
                <w:color w:val="4472C4"/>
              </w:rPr>
              <w:t>-4,000]</w:t>
            </w:r>
            <w:r w:rsidRPr="007C60AF">
              <w:rPr>
                <w:rFonts w:eastAsia="Arial"/>
                <w:color w:val="4472C4"/>
              </w:rPr>
              <w:t xml:space="preserve"> MT imported in Q3 2022). This is the period after which the TRA announced the revocation of anti-dumping measures and countervailing duties on US HVO. </w:t>
            </w:r>
          </w:p>
          <w:p w14:paraId="00000D5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D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 Share of imports of US HVO during the POI</w:t>
            </w:r>
          </w:p>
          <w:p w14:paraId="00000D5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f1"/>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416D85" w:rsidRPr="007C60AF" w14:paraId="2EF9FA50" w14:textId="77777777">
              <w:tc>
                <w:tcPr>
                  <w:tcW w:w="4460" w:type="dxa"/>
                  <w:shd w:val="clear" w:color="auto" w:fill="D0CECE"/>
                </w:tcPr>
                <w:p w14:paraId="00000D5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4461" w:type="dxa"/>
                  <w:shd w:val="clear" w:color="auto" w:fill="D0CECE"/>
                </w:tcPr>
                <w:p w14:paraId="00000D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Share</w:t>
                  </w:r>
                </w:p>
              </w:tc>
            </w:tr>
            <w:tr w:rsidR="00416D85" w:rsidRPr="007C60AF" w14:paraId="4704890F" w14:textId="77777777">
              <w:tc>
                <w:tcPr>
                  <w:tcW w:w="4460" w:type="dxa"/>
                  <w:shd w:val="clear" w:color="auto" w:fill="D0CECE"/>
                </w:tcPr>
                <w:p w14:paraId="00000D6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 xml:space="preserve">Based on the first (conservative) methodology of volume of imports from [SENSITIVE – INFORMATION </w:t>
                  </w:r>
                  <w:r w:rsidRPr="007C60AF">
                    <w:rPr>
                      <w:rFonts w:eastAsia="Arial"/>
                      <w:b/>
                      <w:color w:val="4472C4"/>
                    </w:rPr>
                    <w:lastRenderedPageBreak/>
                    <w:t>OBTAINED FROM A SUBSCRIPTION SERVICE]</w:t>
                  </w:r>
                </w:p>
              </w:tc>
              <w:tc>
                <w:tcPr>
                  <w:tcW w:w="4461" w:type="dxa"/>
                </w:tcPr>
                <w:p w14:paraId="00000D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lastRenderedPageBreak/>
                    <w:t>[30-50]</w:t>
                  </w:r>
                  <w:r w:rsidRPr="007C60AF">
                    <w:rPr>
                      <w:rFonts w:eastAsia="Arial"/>
                      <w:color w:val="4472C4"/>
                    </w:rPr>
                    <w:t>%</w:t>
                  </w:r>
                </w:p>
              </w:tc>
            </w:tr>
            <w:tr w:rsidR="00416D85" w:rsidRPr="007C60AF" w14:paraId="140ACE8E" w14:textId="77777777">
              <w:tc>
                <w:tcPr>
                  <w:tcW w:w="4460" w:type="dxa"/>
                  <w:shd w:val="clear" w:color="auto" w:fill="D0CECE"/>
                </w:tcPr>
                <w:p w14:paraId="00000D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Based on the second (liberal) methodology of volume of imports from [SENSITIVE – INFORMATION OBTAINED FROM A SUBSCRIPTION SERVICE]</w:t>
                  </w:r>
                </w:p>
              </w:tc>
              <w:tc>
                <w:tcPr>
                  <w:tcW w:w="4461" w:type="dxa"/>
                </w:tcPr>
                <w:p w14:paraId="00000D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[75-95]</w:t>
                  </w:r>
                  <w:r w:rsidRPr="007C60AF">
                    <w:rPr>
                      <w:rFonts w:eastAsia="Arial"/>
                      <w:color w:val="4472C4"/>
                    </w:rPr>
                    <w:t>%</w:t>
                  </w:r>
                </w:p>
              </w:tc>
            </w:tr>
          </w:tbl>
          <w:p w14:paraId="00000D6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D65"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UK market share of US HVO during the POI increased because of the unfair price practices by US exporters.</w:t>
            </w:r>
          </w:p>
          <w:p w14:paraId="00000D6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67" w14:textId="4D2FFE60"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based on the conservative methodology of volume of imports of US HVO from </w:t>
            </w:r>
            <w:r w:rsidRPr="007C60AF">
              <w:rPr>
                <w:rFonts w:eastAsia="Arial"/>
                <w:b/>
                <w:color w:val="4472C4"/>
              </w:rPr>
              <w:t xml:space="preserve">[SENSITIVE – INFORMATION OBTAINED FROM  </w:t>
            </w:r>
            <w:sdt>
              <w:sdtPr>
                <w:tag w:val="goog_rdk_146"/>
                <w:id w:val="-79373352"/>
                <w:showingPlcHdr/>
              </w:sdtPr>
              <w:sdtContent>
                <w:r w:rsidR="00785EBF" w:rsidRPr="007C60AF">
                  <w:t xml:space="preserve">     </w:t>
                </w:r>
              </w:sdtContent>
            </w:sdt>
            <w:r w:rsidRPr="007C60AF">
              <w:rPr>
                <w:rFonts w:eastAsia="Arial"/>
                <w:b/>
                <w:color w:val="4472C4"/>
              </w:rPr>
              <w:t>SUBSCRIPTION SERVICE]</w:t>
            </w:r>
            <w:r w:rsidRPr="007C60AF">
              <w:rPr>
                <w:rFonts w:eastAsia="Arial"/>
                <w:color w:val="4472C4"/>
              </w:rPr>
              <w:t xml:space="preserve">, the UK market share of US HVO was 0% in the first and second years of the injury period, increasing to </w:t>
            </w:r>
            <w:r w:rsidRPr="007C60AF">
              <w:rPr>
                <w:rFonts w:eastAsia="Arial"/>
                <w:b/>
                <w:color w:val="4472C4"/>
              </w:rPr>
              <w:t>[10-15]</w:t>
            </w:r>
            <w:r w:rsidRPr="007C60AF">
              <w:rPr>
                <w:rFonts w:eastAsia="Arial"/>
                <w:color w:val="4472C4"/>
              </w:rPr>
              <w:t xml:space="preserve">% in the third year of the injury period. As such, there has been a dramatic increase in the UK market share of US HVO from zero to (at least) over </w:t>
            </w:r>
            <w:r w:rsidRPr="007C60AF">
              <w:rPr>
                <w:rFonts w:eastAsia="Arial"/>
                <w:b/>
                <w:color w:val="4472C4"/>
              </w:rPr>
              <w:t>[30-50]</w:t>
            </w:r>
            <w:r w:rsidRPr="007C60AF">
              <w:rPr>
                <w:rFonts w:eastAsia="Arial"/>
                <w:color w:val="4472C4"/>
              </w:rPr>
              <w:t>% (</w:t>
            </w:r>
            <w:r w:rsidRPr="007C60AF">
              <w:rPr>
                <w:rFonts w:eastAsia="Arial"/>
                <w:i/>
                <w:color w:val="4472C4"/>
              </w:rPr>
              <w:t xml:space="preserve">see </w:t>
            </w:r>
            <w:r w:rsidRPr="007C60AF">
              <w:rPr>
                <w:rFonts w:eastAsia="Arial"/>
                <w:color w:val="4472C4"/>
              </w:rPr>
              <w:t xml:space="preserve">Appendix E.11 for the calculations). </w:t>
            </w:r>
          </w:p>
          <w:p w14:paraId="00000D6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69"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55" w:name="_heading=h.8ftmqxgpl932" w:colFirst="0" w:colLast="0"/>
            <w:bookmarkEnd w:id="55"/>
            <w:r w:rsidRPr="007C60AF">
              <w:rPr>
                <w:rFonts w:eastAsia="Arial"/>
                <w:color w:val="4472C4"/>
              </w:rPr>
              <w:t>In the UK Transition Review of TS0005, the TRA stated that:</w:t>
            </w:r>
            <w:r w:rsidRPr="007C60AF">
              <w:rPr>
                <w:rFonts w:eastAsia="Arial"/>
                <w:color w:val="4472C4"/>
                <w:vertAlign w:val="superscript"/>
              </w:rPr>
              <w:footnoteReference w:id="171"/>
            </w:r>
          </w:p>
          <w:p w14:paraId="00000D6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6B" w14:textId="77777777" w:rsidR="00416D85" w:rsidRPr="007C60AF" w:rsidRDefault="00130320">
            <w:pPr>
              <w:pBdr>
                <w:top w:val="nil"/>
                <w:left w:val="nil"/>
                <w:bottom w:val="nil"/>
                <w:right w:val="nil"/>
                <w:between w:val="nil"/>
              </w:pBdr>
              <w:spacing w:after="0" w:line="276" w:lineRule="auto"/>
              <w:ind w:left="720"/>
              <w:jc w:val="both"/>
              <w:rPr>
                <w:rFonts w:eastAsia="Arial"/>
                <w:color w:val="4472C4"/>
                <w:sz w:val="20"/>
                <w:szCs w:val="20"/>
              </w:rPr>
            </w:pPr>
            <w:r w:rsidRPr="007C60AF">
              <w:rPr>
                <w:rFonts w:eastAsia="Arial"/>
                <w:color w:val="4472C4"/>
                <w:sz w:val="20"/>
                <w:szCs w:val="20"/>
              </w:rPr>
              <w:t>HVO sells both in third countries and in the US at a higher price than UK FAME. This price is approximately 38-45% higher. The risk of injury from underselling or undercutting is therefore low in respect of HVO, due to a positive price difference, GBP 304mT.</w:t>
            </w:r>
          </w:p>
          <w:p w14:paraId="00000D6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p>
          <w:p w14:paraId="00000D6D" w14:textId="77777777" w:rsidR="00416D85" w:rsidRPr="007C60AF" w:rsidRDefault="00130320">
            <w:pPr>
              <w:pBdr>
                <w:top w:val="nil"/>
                <w:left w:val="nil"/>
                <w:bottom w:val="nil"/>
                <w:right w:val="nil"/>
                <w:between w:val="nil"/>
              </w:pBdr>
              <w:spacing w:after="0" w:line="276" w:lineRule="auto"/>
              <w:ind w:left="720"/>
              <w:jc w:val="both"/>
              <w:rPr>
                <w:rFonts w:eastAsia="Arial"/>
                <w:color w:val="4472C4"/>
                <w:sz w:val="20"/>
                <w:szCs w:val="20"/>
              </w:rPr>
            </w:pPr>
            <w:r w:rsidRPr="007C60AF">
              <w:rPr>
                <w:rFonts w:eastAsia="Arial"/>
                <w:color w:val="4472C4"/>
                <w:sz w:val="20"/>
                <w:szCs w:val="20"/>
              </w:rPr>
              <w:t xml:space="preserve">US exporters would need to reduce the US HVO market price by GBP 304 mT to compete with the UK market price of GBP 810 mT. Confidential pricing data presented by contributors show that US exporters can obtain a price </w:t>
            </w:r>
            <w:proofErr w:type="gramStart"/>
            <w:r w:rsidRPr="007C60AF">
              <w:rPr>
                <w:rFonts w:eastAsia="Arial"/>
                <w:color w:val="4472C4"/>
                <w:sz w:val="20"/>
                <w:szCs w:val="20"/>
              </w:rPr>
              <w:t>in excess of</w:t>
            </w:r>
            <w:proofErr w:type="gramEnd"/>
            <w:r w:rsidRPr="007C60AF">
              <w:rPr>
                <w:rFonts w:eastAsia="Arial"/>
                <w:color w:val="4472C4"/>
                <w:sz w:val="20"/>
                <w:szCs w:val="20"/>
              </w:rPr>
              <w:t xml:space="preserve"> the UK market price in other export markets. It is therefore not likely that they would sell HVO in the UK market at a price undercutting UK producers.</w:t>
            </w:r>
          </w:p>
          <w:p w14:paraId="00000D6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6F" w14:textId="73B472C5"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56" w:name="_heading=h.yrjqy3hyii7n" w:colFirst="0" w:colLast="0"/>
            <w:bookmarkEnd w:id="56"/>
            <w:r w:rsidRPr="007C60AF">
              <w:rPr>
                <w:rFonts w:eastAsia="Arial"/>
                <w:color w:val="4472C4"/>
              </w:rPr>
              <w:t xml:space="preserve">The scenario considered not likely a short time ago has in fact now occurred. As indicated by Appendix E.2, the price of US HVO fell below the price of UCOME </w:t>
            </w:r>
            <w:r w:rsidR="00E75745" w:rsidRPr="007C60AF">
              <w:rPr>
                <w:color w:val="4472C4" w:themeColor="accent1"/>
              </w:rPr>
              <w:t>in Q1 2024 and Q2 2024 in the UK</w:t>
            </w:r>
            <w:r w:rsidRPr="007C60AF">
              <w:rPr>
                <w:rFonts w:eastAsia="Arial"/>
                <w:color w:val="4472C4"/>
              </w:rPr>
              <w:t xml:space="preserve">. This sharp price drop coincides with the major increase in imports of US HVO, and clearly confirms the US producers' strategy to drive down the price to gain more market share in the UK, thereby inflicting material injury on the UK industry. Looking at US HVO producers' UK margins, </w:t>
            </w:r>
            <w:proofErr w:type="gramStart"/>
            <w:r w:rsidRPr="007C60AF">
              <w:rPr>
                <w:rFonts w:eastAsia="Arial"/>
                <w:color w:val="4472C4"/>
              </w:rPr>
              <w:t>it is clear that the</w:t>
            </w:r>
            <w:proofErr w:type="gramEnd"/>
            <w:r w:rsidRPr="007C60AF">
              <w:rPr>
                <w:rFonts w:eastAsia="Arial"/>
                <w:color w:val="4472C4"/>
              </w:rPr>
              <w:t xml:space="preserve"> price drop of HVO sold in the UK has been financed by the BTC, as there is no other way that US producers could sell their HVO at such a low price while continuing </w:t>
            </w:r>
            <w:r w:rsidRPr="007C60AF">
              <w:rPr>
                <w:rFonts w:eastAsia="Arial"/>
                <w:color w:val="4472C4"/>
              </w:rPr>
              <w:lastRenderedPageBreak/>
              <w:t xml:space="preserve">to profit. In addition, US producers' UK margins are higher than the California margin – this indicates that exporting to the UK at prices below UCOME remains a better option for US producers than selling to California (the main domestic market). </w:t>
            </w:r>
          </w:p>
          <w:p w14:paraId="00000D7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71" w14:textId="46ABFB8A"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prices of US HVO sold in the UK are much below the prices of US HVO sold in the EU. Based on </w:t>
            </w:r>
            <w:r w:rsidR="00E75745" w:rsidRPr="007C60AF">
              <w:rPr>
                <w:color w:val="4472C4" w:themeColor="accent1"/>
              </w:rPr>
              <w:t xml:space="preserve">Q2 2024 </w:t>
            </w:r>
            <w:r w:rsidRPr="007C60AF">
              <w:rPr>
                <w:rFonts w:eastAsia="Arial"/>
                <w:color w:val="4472C4"/>
              </w:rPr>
              <w:t>averages, HVO in the UK is selling at</w:t>
            </w:r>
            <w:r w:rsidR="00E75745" w:rsidRPr="007C60AF">
              <w:rPr>
                <w:rFonts w:eastAsia="Arial"/>
                <w:color w:val="4472C4"/>
              </w:rPr>
              <w:t xml:space="preserve"> nearly a </w:t>
            </w:r>
            <w:r w:rsidR="00E75745" w:rsidRPr="007C60AF">
              <w:rPr>
                <w:rFonts w:eastAsia="Arial"/>
                <w:b/>
                <w:bCs/>
                <w:color w:val="4472C4"/>
              </w:rPr>
              <w:t>[0-250]</w:t>
            </w:r>
            <w:r w:rsidRPr="007C60AF">
              <w:rPr>
                <w:rFonts w:eastAsia="Arial"/>
                <w:color w:val="4472C4"/>
              </w:rPr>
              <w:t xml:space="preserve"> </w:t>
            </w:r>
            <w:r w:rsidRPr="007C60AF">
              <w:rPr>
                <w:rFonts w:eastAsia="Arial"/>
                <w:bCs/>
                <w:color w:val="4472C4"/>
              </w:rPr>
              <w:t>USD/cbm</w:t>
            </w:r>
            <w:r w:rsidRPr="007C60AF">
              <w:rPr>
                <w:rFonts w:eastAsia="Arial"/>
                <w:color w:val="4472C4"/>
              </w:rPr>
              <w:t xml:space="preserve"> discount to HVO sold in the EU (see Appendix E.2).</w:t>
            </w:r>
          </w:p>
          <w:p w14:paraId="00000D7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73"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57" w:name="_heading=h.ube94s335rsz" w:colFirst="0" w:colLast="0"/>
            <w:bookmarkEnd w:id="57"/>
            <w:r w:rsidRPr="007C60AF">
              <w:rPr>
                <w:rFonts w:eastAsia="Arial"/>
                <w:color w:val="4472C4"/>
              </w:rPr>
              <w:t>Although the prices of HVO have at some points been above the prices of FAME during the period concerned (as they should be given that the cost to produce HVO is higher than the cost to produce UCOME), this is not unusual given that there is a spread in prices among types of the same biofuel (whether HVO or FAME). In addition, it is normal that there are fluctuations in the spread of prices between HVO and FAME, because prices of HVO and FAME fluctuate independently from each other. This was recognised by the European Commission in its imposition of provisional anti-dumping duties on imports of biodiesel originating in the PRC: "</w:t>
            </w:r>
            <w:r w:rsidRPr="007C60AF">
              <w:rPr>
                <w:rFonts w:eastAsia="Arial"/>
                <w:i/>
                <w:color w:val="4472C4"/>
              </w:rPr>
              <w:t>Consequently, the statement that the price difference between HVO and FAME is significant is taken out of context and misleading</w:t>
            </w:r>
            <w:r w:rsidRPr="007C60AF">
              <w:rPr>
                <w:rFonts w:eastAsia="Arial"/>
                <w:color w:val="4472C4"/>
              </w:rPr>
              <w:t>".</w:t>
            </w:r>
            <w:r w:rsidRPr="007C60AF">
              <w:rPr>
                <w:rFonts w:eastAsia="Arial"/>
                <w:color w:val="4472C4"/>
                <w:vertAlign w:val="superscript"/>
              </w:rPr>
              <w:footnoteReference w:id="172"/>
            </w:r>
            <w:r w:rsidRPr="007C60AF">
              <w:rPr>
                <w:rFonts w:eastAsia="Arial"/>
                <w:color w:val="4472C4"/>
              </w:rPr>
              <w:t xml:space="preserve"> Most relevant is the fact that the prices of HVO imports from the US have fallen substantially and coincide with the material injury of the UK industry.</w:t>
            </w:r>
          </w:p>
          <w:p w14:paraId="00000D74" w14:textId="77777777" w:rsidR="00416D85" w:rsidRPr="007C60AF" w:rsidRDefault="00416D85">
            <w:pPr>
              <w:pBdr>
                <w:top w:val="nil"/>
                <w:left w:val="nil"/>
                <w:bottom w:val="nil"/>
                <w:right w:val="nil"/>
                <w:between w:val="nil"/>
              </w:pBdr>
              <w:spacing w:after="0" w:line="276" w:lineRule="auto"/>
              <w:ind w:left="567" w:hanging="567"/>
              <w:rPr>
                <w:rFonts w:eastAsia="Arial"/>
                <w:b/>
                <w:color w:val="4472C4"/>
              </w:rPr>
            </w:pPr>
          </w:p>
          <w:p w14:paraId="4C60514D" w14:textId="77777777" w:rsidR="00CA6C7E" w:rsidRPr="007C60AF" w:rsidRDefault="00CA6C7E" w:rsidP="00CA6C7E">
            <w:pPr>
              <w:numPr>
                <w:ilvl w:val="6"/>
                <w:numId w:val="43"/>
              </w:numPr>
              <w:spacing w:after="0" w:line="276" w:lineRule="auto"/>
              <w:jc w:val="both"/>
              <w:rPr>
                <w:rFonts w:eastAsia="MS Gothic"/>
                <w:color w:val="4472C4" w:themeColor="accent1"/>
              </w:rPr>
            </w:pPr>
            <w:r w:rsidRPr="007C60AF">
              <w:rPr>
                <w:rFonts w:eastAsia="MS Gothic"/>
                <w:color w:val="4472C4" w:themeColor="accent1"/>
              </w:rPr>
              <w:t>Zemo Partnership also references the drop in the price of HVO to the level of FAME due to increased imports of US HVO into the UK, and the variation in HVO prices:</w:t>
            </w:r>
            <w:r w:rsidRPr="007C60AF">
              <w:rPr>
                <w:rStyle w:val="FootnoteReference"/>
                <w:rFonts w:eastAsia="MS Gothic"/>
                <w:color w:val="4472C4" w:themeColor="accent1"/>
              </w:rPr>
              <w:footnoteReference w:id="173"/>
            </w:r>
          </w:p>
          <w:p w14:paraId="261BD9CE" w14:textId="77777777" w:rsidR="00CA6C7E" w:rsidRPr="007C60AF" w:rsidRDefault="00CA6C7E" w:rsidP="00CA6C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 w:val="20"/>
                <w:szCs w:val="20"/>
              </w:rPr>
            </w:pPr>
          </w:p>
          <w:p w14:paraId="157F7DB8" w14:textId="77777777" w:rsidR="00CA6C7E" w:rsidRPr="007C60AF" w:rsidRDefault="00CA6C7E" w:rsidP="00CA6C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7C60AF">
              <w:rPr>
                <w:rFonts w:eastAsia="MS Gothic"/>
                <w:color w:val="4472C4" w:themeColor="accent1"/>
                <w:sz w:val="20"/>
                <w:szCs w:val="20"/>
              </w:rPr>
              <w:t>HVO has traditionally commanded a premium price, although the price differential between higher blends of FAME and HVO has reduced with increasing volumes of US HVO coming into the market. The price of biodiesel and HVO varies across fuel traders who supply these biofuels to HDV fleet operators. The price of HVO is more variable than high blend biodiesel due to the fact there are significantly more distributors of HVO in the downstream supply chain.</w:t>
            </w:r>
          </w:p>
          <w:p w14:paraId="00000D7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D77"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The current market situation favours US produced HVO which is heavily subsidised at the very minimum level of ~264 USD/cbm. This is causing RTFC prices in the UK to be negatively impacted. There have been several occasions during 2024 where it has been more expensive to blend UCOME into diesel than to buy RTFCs from imported US HVO. </w:t>
            </w:r>
          </w:p>
          <w:p w14:paraId="00000D78"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79"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such, the significant volume of imports of US HVO into the UK are causing injury to the domestic FAME producers, as there is a clear correlation between an increase of dumped and subsidised imports and price undercutting by such imports.</w:t>
            </w:r>
          </w:p>
          <w:p w14:paraId="00000D7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7B" w14:textId="77777777" w:rsidR="00416D85" w:rsidRPr="007C60AF" w:rsidRDefault="00130320">
            <w:pPr>
              <w:numPr>
                <w:ilvl w:val="0"/>
                <w:numId w:val="80"/>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How the volumes and prices of dumped and subsidised imports of US HVO in the UK have affected the UK industry</w:t>
            </w:r>
          </w:p>
          <w:p w14:paraId="00000D7C" w14:textId="77777777" w:rsidR="00416D85" w:rsidRPr="007C60AF" w:rsidRDefault="00416D85">
            <w:pPr>
              <w:pBdr>
                <w:top w:val="nil"/>
                <w:left w:val="nil"/>
                <w:bottom w:val="nil"/>
                <w:right w:val="nil"/>
                <w:between w:val="nil"/>
              </w:pBdr>
              <w:spacing w:after="0" w:line="276" w:lineRule="auto"/>
              <w:rPr>
                <w:rFonts w:eastAsia="Arial"/>
                <w:color w:val="4472C4"/>
              </w:rPr>
            </w:pPr>
          </w:p>
          <w:p w14:paraId="00000D7D"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increased volume of dumped and subsidised imports of US HVO, especially since the beginning of 2023, caused a downward trend in the UK industry's injury indicators as set out in section G.1. As evidenced above, the injury indicators of the Applicants have significantly deteriorated since the US increased its HVO exports to the UK market at dumped and subsidised prices.  </w:t>
            </w:r>
          </w:p>
          <w:p w14:paraId="00000D7E"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D7F" w14:textId="77777777" w:rsidR="00416D85" w:rsidRPr="007C60AF" w:rsidRDefault="00130320">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significant undercutting by HVO imports from the US exercised price pressure on the UK industry throughout the injury period and the POI. Due to the increase in dumped and subsidised imports of US HVO, the UK industry lost sales and market share, and experienced a serious drop in profitability. </w:t>
            </w:r>
          </w:p>
          <w:p w14:paraId="00000D80"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81" w14:textId="77777777" w:rsidR="00416D85" w:rsidRPr="007C60AF" w:rsidRDefault="00130320">
            <w:pPr>
              <w:numPr>
                <w:ilvl w:val="6"/>
                <w:numId w:val="43"/>
              </w:numPr>
              <w:pBdr>
                <w:top w:val="nil"/>
                <w:left w:val="nil"/>
                <w:bottom w:val="nil"/>
                <w:right w:val="nil"/>
                <w:between w:val="nil"/>
              </w:pBdr>
              <w:spacing w:line="276" w:lineRule="auto"/>
              <w:jc w:val="both"/>
              <w:rPr>
                <w:rFonts w:eastAsia="Arial"/>
                <w:color w:val="4472C4"/>
              </w:rPr>
            </w:pPr>
            <w:r w:rsidRPr="007C60AF">
              <w:rPr>
                <w:rFonts w:eastAsia="Arial"/>
                <w:color w:val="4472C4"/>
              </w:rPr>
              <w:t>As such, it is evident that imports of the dumped and subsidised imports of US HVO to the UK have caused material injury to the UK industry.</w:t>
            </w:r>
          </w:p>
        </w:tc>
      </w:tr>
    </w:tbl>
    <w:p w14:paraId="00000D82"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D83" w14:textId="77777777" w:rsidR="00416D85" w:rsidRPr="007C60AF" w:rsidRDefault="00130320">
      <w:pPr>
        <w:numPr>
          <w:ilvl w:val="3"/>
          <w:numId w:val="15"/>
        </w:numPr>
        <w:pBdr>
          <w:top w:val="nil"/>
          <w:left w:val="nil"/>
          <w:bottom w:val="nil"/>
          <w:right w:val="nil"/>
          <w:between w:val="nil"/>
        </w:pBdr>
        <w:spacing w:line="276" w:lineRule="auto"/>
        <w:jc w:val="both"/>
      </w:pPr>
      <w:r w:rsidRPr="007C60AF">
        <w:rPr>
          <w:rFonts w:eastAsia="Arial"/>
          <w:color w:val="000000"/>
        </w:rPr>
        <w:t>Please indicate if the injury to your industry could be attributable in part or in full to any factors other than dumped or subsidised imports, for example:</w:t>
      </w:r>
    </w:p>
    <w:p w14:paraId="00000D8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volume and prices of imports not sold at dumped </w:t>
      </w:r>
      <w:proofErr w:type="gramStart"/>
      <w:r w:rsidRPr="007C60AF">
        <w:rPr>
          <w:rFonts w:eastAsia="Arial"/>
          <w:color w:val="000000"/>
        </w:rPr>
        <w:t>prices;</w:t>
      </w:r>
      <w:proofErr w:type="gramEnd"/>
    </w:p>
    <w:p w14:paraId="00000D8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contraction in demand or changes in patterns of </w:t>
      </w:r>
      <w:proofErr w:type="gramStart"/>
      <w:r w:rsidRPr="007C60AF">
        <w:rPr>
          <w:rFonts w:eastAsia="Arial"/>
          <w:color w:val="000000"/>
        </w:rPr>
        <w:t>consumption;</w:t>
      </w:r>
      <w:proofErr w:type="gramEnd"/>
    </w:p>
    <w:p w14:paraId="00000D8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restrictive trade practices of, and competition between, third country and UK </w:t>
      </w:r>
      <w:proofErr w:type="gramStart"/>
      <w:r w:rsidRPr="007C60AF">
        <w:rPr>
          <w:rFonts w:eastAsia="Arial"/>
          <w:color w:val="000000"/>
        </w:rPr>
        <w:t>producers;</w:t>
      </w:r>
      <w:proofErr w:type="gramEnd"/>
    </w:p>
    <w:p w14:paraId="00000D8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developments in technology; and </w:t>
      </w:r>
    </w:p>
    <w:p w14:paraId="00000D8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export performance and the productivity of the UK industry. </w:t>
      </w:r>
    </w:p>
    <w:p w14:paraId="00000D8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This may be relevant as an industry weakened by other events may be more susceptible to injury from dumped or subsidised goods.</w:t>
      </w:r>
    </w:p>
    <w:p w14:paraId="00000D8A"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D8B" w14:textId="77777777" w:rsidR="00416D85" w:rsidRPr="007C60AF" w:rsidRDefault="00130320">
      <w:pPr>
        <w:numPr>
          <w:ilvl w:val="3"/>
          <w:numId w:val="15"/>
        </w:numPr>
        <w:pBdr>
          <w:top w:val="nil"/>
          <w:left w:val="nil"/>
          <w:bottom w:val="nil"/>
          <w:right w:val="nil"/>
          <w:between w:val="nil"/>
        </w:pBdr>
        <w:spacing w:line="276" w:lineRule="auto"/>
        <w:jc w:val="both"/>
        <w:rPr>
          <w:rFonts w:eastAsia="Arial"/>
          <w:color w:val="000000"/>
        </w:rPr>
      </w:pPr>
      <w:r w:rsidRPr="007C60AF">
        <w:rPr>
          <w:rFonts w:eastAsia="Arial"/>
          <w:color w:val="000000"/>
        </w:rPr>
        <w:t>Please provide evidence to support this information.</w:t>
      </w:r>
    </w:p>
    <w:tbl>
      <w:tblPr>
        <w:tblStyle w:val="affffff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16D85" w:rsidRPr="007C60AF" w14:paraId="73920FB1" w14:textId="77777777">
        <w:tc>
          <w:tcPr>
            <w:tcW w:w="9016" w:type="dxa"/>
          </w:tcPr>
          <w:p w14:paraId="00000D8C"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before="120" w:after="160" w:line="276" w:lineRule="auto"/>
              <w:jc w:val="both"/>
              <w:rPr>
                <w:rFonts w:eastAsia="Arial"/>
                <w:color w:val="4472C4"/>
              </w:rPr>
            </w:pPr>
            <w:r w:rsidRPr="007C60AF">
              <w:rPr>
                <w:rFonts w:eastAsia="Arial"/>
                <w:color w:val="4472C4"/>
              </w:rPr>
              <w:t xml:space="preserve">The Applicants have assessed whether other known factors, individually or collectively, </w:t>
            </w:r>
            <w:proofErr w:type="gramStart"/>
            <w:r w:rsidRPr="007C60AF">
              <w:rPr>
                <w:rFonts w:eastAsia="Arial"/>
                <w:color w:val="4472C4"/>
              </w:rPr>
              <w:t>are capable of breaking</w:t>
            </w:r>
            <w:proofErr w:type="gramEnd"/>
            <w:r w:rsidRPr="007C60AF">
              <w:rPr>
                <w:rFonts w:eastAsia="Arial"/>
                <w:color w:val="4472C4"/>
              </w:rPr>
              <w:t xml:space="preserve"> the causal link established between dumped and subsidised imports of US HVO and the injury suffered by the UK industry. Those other known factors could be as follows: </w:t>
            </w:r>
          </w:p>
          <w:p w14:paraId="00000D8D" w14:textId="77777777" w:rsidR="00416D85" w:rsidRPr="007C60AF" w:rsidRDefault="00130320">
            <w:pPr>
              <w:numPr>
                <w:ilvl w:val="0"/>
                <w:numId w:val="48"/>
              </w:numPr>
              <w:pBdr>
                <w:top w:val="nil"/>
                <w:left w:val="nil"/>
                <w:bottom w:val="nil"/>
                <w:right w:val="nil"/>
                <w:between w:val="nil"/>
              </w:pBdr>
              <w:spacing w:before="240" w:after="0" w:line="259" w:lineRule="auto"/>
              <w:jc w:val="both"/>
              <w:rPr>
                <w:rFonts w:eastAsia="Arial"/>
                <w:color w:val="4472C4"/>
              </w:rPr>
            </w:pPr>
            <w:r w:rsidRPr="007C60AF">
              <w:rPr>
                <w:rFonts w:eastAsia="Arial"/>
                <w:b/>
                <w:color w:val="4472C4"/>
              </w:rPr>
              <w:t>Part I:</w:t>
            </w:r>
            <w:r w:rsidRPr="007C60AF">
              <w:rPr>
                <w:rFonts w:eastAsia="Arial"/>
                <w:color w:val="4472C4"/>
              </w:rPr>
              <w:t xml:space="preserve"> The potential impact of HVO imports from other </w:t>
            </w:r>
            <w:proofErr w:type="gramStart"/>
            <w:r w:rsidRPr="007C60AF">
              <w:rPr>
                <w:rFonts w:eastAsia="Arial"/>
                <w:color w:val="4472C4"/>
              </w:rPr>
              <w:t>countries;</w:t>
            </w:r>
            <w:proofErr w:type="gramEnd"/>
            <w:r w:rsidRPr="007C60AF">
              <w:rPr>
                <w:rFonts w:eastAsia="Arial"/>
                <w:color w:val="4472C4"/>
              </w:rPr>
              <w:t xml:space="preserve"> </w:t>
            </w:r>
          </w:p>
          <w:p w14:paraId="00000D8E" w14:textId="77777777" w:rsidR="00416D85" w:rsidRPr="007C60AF" w:rsidRDefault="00416D85">
            <w:pPr>
              <w:pBdr>
                <w:top w:val="nil"/>
                <w:left w:val="nil"/>
                <w:bottom w:val="nil"/>
                <w:right w:val="nil"/>
                <w:between w:val="nil"/>
              </w:pBdr>
              <w:spacing w:before="240" w:after="0" w:line="259" w:lineRule="auto"/>
              <w:ind w:left="720" w:hanging="794"/>
              <w:jc w:val="both"/>
              <w:rPr>
                <w:rFonts w:eastAsia="Arial"/>
                <w:color w:val="4472C4"/>
              </w:rPr>
            </w:pPr>
          </w:p>
          <w:p w14:paraId="00000D8F" w14:textId="77777777" w:rsidR="00416D85" w:rsidRPr="007C60AF" w:rsidRDefault="00130320">
            <w:pPr>
              <w:numPr>
                <w:ilvl w:val="0"/>
                <w:numId w:val="48"/>
              </w:numPr>
              <w:pBdr>
                <w:top w:val="nil"/>
                <w:left w:val="nil"/>
                <w:bottom w:val="nil"/>
                <w:right w:val="nil"/>
                <w:between w:val="nil"/>
              </w:pBdr>
              <w:spacing w:before="240" w:after="0" w:line="259" w:lineRule="auto"/>
              <w:jc w:val="both"/>
              <w:rPr>
                <w:rFonts w:eastAsia="Arial"/>
                <w:color w:val="4472C4"/>
              </w:rPr>
            </w:pPr>
            <w:r w:rsidRPr="007C60AF">
              <w:rPr>
                <w:rFonts w:eastAsia="Arial"/>
                <w:b/>
                <w:color w:val="4472C4"/>
              </w:rPr>
              <w:t>Part II:</w:t>
            </w:r>
            <w:r w:rsidRPr="007C60AF">
              <w:rPr>
                <w:rFonts w:eastAsia="Arial"/>
                <w:color w:val="4472C4"/>
              </w:rPr>
              <w:t xml:space="preserve"> The export performance of the UK </w:t>
            </w:r>
            <w:proofErr w:type="gramStart"/>
            <w:r w:rsidRPr="007C60AF">
              <w:rPr>
                <w:rFonts w:eastAsia="Arial"/>
                <w:color w:val="4472C4"/>
              </w:rPr>
              <w:t>industry;</w:t>
            </w:r>
            <w:proofErr w:type="gramEnd"/>
            <w:r w:rsidRPr="007C60AF">
              <w:rPr>
                <w:rFonts w:eastAsia="Arial"/>
                <w:color w:val="4472C4"/>
              </w:rPr>
              <w:t xml:space="preserve"> </w:t>
            </w:r>
          </w:p>
          <w:p w14:paraId="00000D90" w14:textId="77777777" w:rsidR="00416D85" w:rsidRPr="007C60AF" w:rsidRDefault="00416D85">
            <w:pPr>
              <w:pBdr>
                <w:top w:val="nil"/>
                <w:left w:val="nil"/>
                <w:bottom w:val="nil"/>
                <w:right w:val="nil"/>
                <w:between w:val="nil"/>
              </w:pBdr>
              <w:spacing w:before="240" w:after="0" w:line="259" w:lineRule="auto"/>
              <w:ind w:left="1588" w:hanging="794"/>
              <w:jc w:val="both"/>
              <w:rPr>
                <w:rFonts w:eastAsia="Arial"/>
                <w:color w:val="4472C4"/>
              </w:rPr>
            </w:pPr>
          </w:p>
          <w:p w14:paraId="00000D91" w14:textId="77777777" w:rsidR="00416D85" w:rsidRPr="007C60AF" w:rsidRDefault="00130320">
            <w:pPr>
              <w:numPr>
                <w:ilvl w:val="0"/>
                <w:numId w:val="48"/>
              </w:numPr>
              <w:pBdr>
                <w:top w:val="nil"/>
                <w:left w:val="nil"/>
                <w:bottom w:val="nil"/>
                <w:right w:val="nil"/>
                <w:between w:val="nil"/>
              </w:pBdr>
              <w:spacing w:before="240" w:after="0" w:line="259" w:lineRule="auto"/>
              <w:jc w:val="both"/>
              <w:rPr>
                <w:rFonts w:eastAsia="Arial"/>
                <w:color w:val="4472C4"/>
              </w:rPr>
            </w:pPr>
            <w:r w:rsidRPr="007C60AF">
              <w:rPr>
                <w:rFonts w:eastAsia="Arial"/>
                <w:b/>
                <w:color w:val="4472C4"/>
              </w:rPr>
              <w:t>Part III:</w:t>
            </w:r>
            <w:r w:rsidRPr="007C60AF">
              <w:rPr>
                <w:rFonts w:eastAsia="Arial"/>
                <w:color w:val="4472C4"/>
              </w:rPr>
              <w:t xml:space="preserve"> A potential contraction in demand (or changes in the patterns of consumption); and</w:t>
            </w:r>
          </w:p>
          <w:p w14:paraId="00000D92" w14:textId="77777777" w:rsidR="00416D85" w:rsidRPr="007C60AF" w:rsidRDefault="00416D85">
            <w:pPr>
              <w:pBdr>
                <w:top w:val="nil"/>
                <w:left w:val="nil"/>
                <w:bottom w:val="nil"/>
                <w:right w:val="nil"/>
                <w:between w:val="nil"/>
              </w:pBdr>
              <w:spacing w:before="240" w:after="0" w:line="259" w:lineRule="auto"/>
              <w:ind w:left="1588" w:hanging="794"/>
              <w:jc w:val="both"/>
              <w:rPr>
                <w:rFonts w:eastAsia="Arial"/>
                <w:color w:val="4472C4"/>
              </w:rPr>
            </w:pPr>
          </w:p>
          <w:p w14:paraId="00000D93" w14:textId="77777777" w:rsidR="00416D85" w:rsidRPr="007C60AF" w:rsidRDefault="00130320">
            <w:pPr>
              <w:numPr>
                <w:ilvl w:val="0"/>
                <w:numId w:val="48"/>
              </w:numPr>
              <w:pBdr>
                <w:top w:val="nil"/>
                <w:left w:val="nil"/>
                <w:bottom w:val="nil"/>
                <w:right w:val="nil"/>
                <w:between w:val="nil"/>
              </w:pBdr>
              <w:spacing w:before="240" w:after="0" w:line="259" w:lineRule="auto"/>
              <w:jc w:val="both"/>
              <w:rPr>
                <w:rFonts w:eastAsia="Arial"/>
                <w:color w:val="4472C4"/>
              </w:rPr>
            </w:pPr>
            <w:r w:rsidRPr="007C60AF">
              <w:rPr>
                <w:rFonts w:eastAsia="Arial"/>
                <w:b/>
                <w:color w:val="4472C4"/>
              </w:rPr>
              <w:t>Part IV:</w:t>
            </w:r>
            <w:r w:rsidRPr="007C60AF">
              <w:rPr>
                <w:rFonts w:eastAsia="Arial"/>
                <w:color w:val="4472C4"/>
              </w:rPr>
              <w:t xml:space="preserve"> Investments made by, and capacity of, the UK industry.</w:t>
            </w:r>
          </w:p>
          <w:p w14:paraId="00000D9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D95"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For the reasons explained below, the Applicants are convinced that dumped and subsidised imports of US HVO are the main cause of the injury suffered by the UK industry and that other factors do not break that causal link.</w:t>
            </w:r>
          </w:p>
          <w:p w14:paraId="00000D9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97" w14:textId="77777777" w:rsidR="00416D85" w:rsidRPr="007C60AF" w:rsidRDefault="00130320">
            <w:pPr>
              <w:numPr>
                <w:ilvl w:val="6"/>
                <w:numId w:val="47"/>
              </w:numPr>
              <w:pBdr>
                <w:top w:val="nil"/>
                <w:left w:val="nil"/>
                <w:bottom w:val="nil"/>
                <w:right w:val="nil"/>
                <w:between w:val="nil"/>
              </w:pBdr>
              <w:spacing w:after="0" w:line="276" w:lineRule="auto"/>
              <w:jc w:val="both"/>
              <w:rPr>
                <w:rFonts w:eastAsia="Arial"/>
                <w:i/>
                <w:color w:val="4472C4"/>
              </w:rPr>
            </w:pPr>
            <w:r w:rsidRPr="007C60AF">
              <w:rPr>
                <w:rFonts w:eastAsia="Arial"/>
                <w:color w:val="4472C4"/>
              </w:rPr>
              <w:t xml:space="preserve">The injury suffered by the UK industry is not self-inflicted. The UK producers are doing whatever they can to offset the losses that have occurred and continue to occur to maintain the viability of their operations. For instance, they have shifted a large portion of their sales to exports. At the same time, while they were investing heavily in production, these investments had to slow down because of the price pressure that imports of US HVO have exerted on the UK industry and the general market issues caused by dumped and subsidised imports of US HVO. </w:t>
            </w:r>
          </w:p>
          <w:p w14:paraId="00000D9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99" w14:textId="77777777" w:rsidR="00416D85" w:rsidRPr="007C60AF" w:rsidRDefault="00130320">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Potential impact of HVO imports from other countries</w:t>
            </w:r>
          </w:p>
          <w:p w14:paraId="00000D9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D9B"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As noted in the response to question A.1.4. above, on 5 June 2024 the TRA initiated an anti-dumping investigation concerning imports of biodiesel originating in the PRC (AD0058). </w:t>
            </w:r>
          </w:p>
          <w:p w14:paraId="00000D9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9D"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While imports of HVO from China are partly contributing to the injury of the UK industry, they in no way break the causal link established between dumped and subsidised imports of US HVO and the injury suffered by the UK industry. </w:t>
            </w:r>
          </w:p>
          <w:p w14:paraId="00000D9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9F"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Today, China is not having as much of an impact on the UK market as it was under inward processing relief, which was removed in April 2024.</w:t>
            </w:r>
            <w:r w:rsidRPr="007C60AF">
              <w:rPr>
                <w:rFonts w:eastAsia="Arial"/>
                <w:color w:val="4472C4"/>
                <w:vertAlign w:val="superscript"/>
              </w:rPr>
              <w:footnoteReference w:id="174"/>
            </w:r>
            <w:r w:rsidRPr="007C60AF">
              <w:rPr>
                <w:rFonts w:eastAsia="Arial"/>
                <w:color w:val="4472C4"/>
              </w:rPr>
              <w:t xml:space="preserve"> Imports of US HVO are increasing year on year and currently outweigh Chinese biodiesel imports. </w:t>
            </w:r>
          </w:p>
          <w:p w14:paraId="00000DA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1"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the product scope of the anti-dumping investigation concerning imports of biodiesel originating in the PRC covers not only HVO, but also FAME. As such, that investigation is much broader in scope. Imports of FAME are generally much higher than imports of HVO. </w:t>
            </w:r>
          </w:p>
          <w:p w14:paraId="00000DA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3"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any event, the fact that there are several cases ongoing or being opened in part relating to the same goods concerned does not break the causal link. </w:t>
            </w:r>
          </w:p>
          <w:p w14:paraId="00000DA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5"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set out in the response to question E.1. above, it is not possible to calculate the volume and value of HVO imports from third countries other than the US based on data from the UK Trade Info website. This is because the UK Trade Info website shows data at the 8-digit level and considering that the commodity codes under which HVO imports can be declared apply not only to neat but also blended HVO and FAME, it is not possible to isolate the exact volume of HVO imports using that database. </w:t>
            </w:r>
          </w:p>
          <w:p w14:paraId="00000DA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7"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eastAsia="Arial"/>
                <w:color w:val="4472C4"/>
              </w:rPr>
            </w:pPr>
            <w:r w:rsidRPr="007C60AF">
              <w:rPr>
                <w:rFonts w:eastAsia="Arial"/>
                <w:color w:val="4472C4"/>
              </w:rPr>
              <w:t>However, it is sufficient to attribute injury to dumped and subsidised imports of US HVO given that:</w:t>
            </w:r>
          </w:p>
          <w:p w14:paraId="00000DA8" w14:textId="760D40D5" w:rsidR="00416D85" w:rsidRPr="007C60AF" w:rsidRDefault="00130320">
            <w:pPr>
              <w:numPr>
                <w:ilvl w:val="0"/>
                <w:numId w:val="65"/>
              </w:numPr>
              <w:pBdr>
                <w:top w:val="nil"/>
                <w:left w:val="nil"/>
                <w:bottom w:val="nil"/>
                <w:right w:val="nil"/>
                <w:between w:val="nil"/>
              </w:pBdr>
              <w:spacing w:before="240" w:after="0" w:line="259" w:lineRule="auto"/>
              <w:jc w:val="both"/>
              <w:rPr>
                <w:rFonts w:eastAsia="Arial"/>
                <w:color w:val="4472C4"/>
              </w:rPr>
            </w:pPr>
            <w:r w:rsidRPr="007C60AF">
              <w:rPr>
                <w:rFonts w:eastAsia="Arial"/>
                <w:color w:val="4472C4"/>
              </w:rPr>
              <w:t xml:space="preserve">the level of imports of US HVO represent </w:t>
            </w:r>
            <w:r w:rsidRPr="007C60AF">
              <w:rPr>
                <w:rFonts w:eastAsia="Arial"/>
                <w:b/>
                <w:color w:val="4472C4"/>
              </w:rPr>
              <w:t>[</w:t>
            </w:r>
            <w:r w:rsidR="005A2BAD" w:rsidRPr="007C60AF">
              <w:rPr>
                <w:rFonts w:eastAsia="Arial"/>
                <w:b/>
                <w:color w:val="4472C4"/>
              </w:rPr>
              <w:t>25-50</w:t>
            </w:r>
            <w:r w:rsidRPr="007C60AF">
              <w:rPr>
                <w:rFonts w:eastAsia="Arial"/>
                <w:b/>
                <w:color w:val="4472C4"/>
              </w:rPr>
              <w:t>]</w:t>
            </w:r>
            <w:r w:rsidRPr="007C60AF">
              <w:rPr>
                <w:rFonts w:eastAsia="Arial"/>
                <w:color w:val="4472C4"/>
              </w:rPr>
              <w:t>% (based on the conservative methodology used to calculate market share in the response to question H.1. above (</w:t>
            </w:r>
            <w:r w:rsidRPr="007C60AF">
              <w:rPr>
                <w:rFonts w:eastAsia="Arial"/>
                <w:i/>
                <w:color w:val="4472C4"/>
              </w:rPr>
              <w:t xml:space="preserve">see </w:t>
            </w:r>
            <w:r w:rsidRPr="007C60AF">
              <w:rPr>
                <w:rFonts w:eastAsia="Arial"/>
                <w:color w:val="4472C4"/>
              </w:rPr>
              <w:t>Appendix E.11 for the calculations)) of HVO consumption in the UK during the POI; and</w:t>
            </w:r>
          </w:p>
          <w:p w14:paraId="00000DA9" w14:textId="77777777" w:rsidR="00416D85" w:rsidRPr="007C60AF" w:rsidRDefault="00416D85">
            <w:pPr>
              <w:pBdr>
                <w:top w:val="nil"/>
                <w:left w:val="nil"/>
                <w:bottom w:val="nil"/>
                <w:right w:val="nil"/>
                <w:between w:val="nil"/>
              </w:pBdr>
              <w:spacing w:before="240" w:after="0" w:line="259" w:lineRule="auto"/>
              <w:ind w:left="720" w:hanging="794"/>
              <w:jc w:val="both"/>
              <w:rPr>
                <w:rFonts w:eastAsia="Arial"/>
                <w:color w:val="4472C4"/>
              </w:rPr>
            </w:pPr>
          </w:p>
          <w:p w14:paraId="00000DAA" w14:textId="77777777" w:rsidR="00416D85" w:rsidRPr="007C60AF" w:rsidRDefault="00130320">
            <w:pPr>
              <w:numPr>
                <w:ilvl w:val="0"/>
                <w:numId w:val="65"/>
              </w:numPr>
              <w:pBdr>
                <w:top w:val="nil"/>
                <w:left w:val="nil"/>
                <w:bottom w:val="nil"/>
                <w:right w:val="nil"/>
                <w:between w:val="nil"/>
              </w:pBdr>
              <w:spacing w:before="240" w:after="0" w:line="259" w:lineRule="auto"/>
              <w:jc w:val="both"/>
              <w:rPr>
                <w:rFonts w:eastAsia="Arial"/>
                <w:color w:val="4472C4"/>
                <w:sz w:val="20"/>
                <w:szCs w:val="20"/>
              </w:rPr>
            </w:pPr>
            <w:r w:rsidRPr="007C60AF">
              <w:rPr>
                <w:rFonts w:eastAsia="Arial"/>
                <w:color w:val="4472C4"/>
              </w:rPr>
              <w:lastRenderedPageBreak/>
              <w:t>the volume of dumped and subsidised imports of US HVO have surged since the TRA announced the revocation of anti-dumping measures and countervailing duties on US HVO on 10 November 2022 (in the TRA's Final Determinations for the UK Transition Reviews) (</w:t>
            </w:r>
            <w:r w:rsidRPr="007C60AF">
              <w:rPr>
                <w:rFonts w:eastAsia="Arial"/>
                <w:i/>
                <w:color w:val="4472C4"/>
              </w:rPr>
              <w:t xml:space="preserve">see </w:t>
            </w:r>
            <w:r w:rsidRPr="007C60AF">
              <w:rPr>
                <w:rFonts w:eastAsia="Arial"/>
                <w:color w:val="4472C4"/>
              </w:rPr>
              <w:t>Appendix E.1 for import data of US HVO in the UK).</w:t>
            </w:r>
          </w:p>
          <w:p w14:paraId="00000DA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DAC"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such, dumped and subsidised imports of US HVO are clearly the most significant cause of injury to the UK industry, and imports of HVO of other origins are incapable of breaking the causal link between dumped and subsidised imports of US HVO and the injury suffered by the UK industry.</w:t>
            </w:r>
          </w:p>
          <w:p w14:paraId="00000DA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E" w14:textId="77777777" w:rsidR="00416D85" w:rsidRPr="007C60AF" w:rsidRDefault="00130320">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Export performance of the UK industry</w:t>
            </w:r>
          </w:p>
          <w:p w14:paraId="00000DA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p>
          <w:p w14:paraId="00000DB0" w14:textId="703C958D"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shown in table 15 of the response to question G.1.1. above, the volume of exports of the UK industry to unrelated companies increased by </w:t>
            </w:r>
            <w:r w:rsidRPr="007C60AF">
              <w:rPr>
                <w:rFonts w:eastAsia="Arial"/>
                <w:b/>
                <w:color w:val="4472C4"/>
              </w:rPr>
              <w:t>[</w:t>
            </w:r>
            <w:r w:rsidR="005A2BAD" w:rsidRPr="007C60AF">
              <w:rPr>
                <w:rFonts w:eastAsia="Arial"/>
                <w:b/>
                <w:color w:val="4472C4"/>
              </w:rPr>
              <w:t>0-15%</w:t>
            </w:r>
            <w:r w:rsidRPr="007C60AF">
              <w:rPr>
                <w:rFonts w:eastAsia="Arial"/>
                <w:b/>
                <w:color w:val="4472C4"/>
              </w:rPr>
              <w:t>]</w:t>
            </w:r>
            <w:r w:rsidRPr="007C60AF">
              <w:rPr>
                <w:rFonts w:eastAsia="Arial"/>
                <w:color w:val="4472C4"/>
              </w:rPr>
              <w:t xml:space="preserve"> between the start of the injury period and the POI, from </w:t>
            </w:r>
            <w:r w:rsidRPr="007C60AF">
              <w:rPr>
                <w:rFonts w:eastAsia="Arial"/>
                <w:b/>
                <w:color w:val="4472C4"/>
              </w:rPr>
              <w:t>[5</w:t>
            </w:r>
            <w:r w:rsidR="003D274D" w:rsidRPr="007C60AF">
              <w:rPr>
                <w:rFonts w:eastAsia="Arial"/>
                <w:b/>
                <w:color w:val="4472C4"/>
              </w:rPr>
              <w:t>0</w:t>
            </w:r>
            <w:r w:rsidRPr="007C60AF">
              <w:rPr>
                <w:rFonts w:eastAsia="Arial"/>
                <w:b/>
                <w:color w:val="4472C4"/>
              </w:rPr>
              <w:t>,</w:t>
            </w:r>
            <w:r w:rsidR="003D274D" w:rsidRPr="007C60AF">
              <w:rPr>
                <w:rFonts w:eastAsia="Arial"/>
                <w:b/>
                <w:color w:val="4472C4"/>
              </w:rPr>
              <w:t>0</w:t>
            </w:r>
            <w:r w:rsidRPr="007C60AF">
              <w:rPr>
                <w:rFonts w:eastAsia="Arial"/>
                <w:b/>
                <w:color w:val="4472C4"/>
              </w:rPr>
              <w:t>00 – 7</w:t>
            </w:r>
            <w:r w:rsidR="003D274D" w:rsidRPr="007C60AF">
              <w:rPr>
                <w:rFonts w:eastAsia="Arial"/>
                <w:b/>
                <w:color w:val="4472C4"/>
              </w:rPr>
              <w:t>5</w:t>
            </w:r>
            <w:r w:rsidRPr="007C60AF">
              <w:rPr>
                <w:rFonts w:eastAsia="Arial"/>
                <w:b/>
                <w:color w:val="4472C4"/>
              </w:rPr>
              <w:t>,000]</w:t>
            </w:r>
            <w:r w:rsidRPr="007C60AF">
              <w:rPr>
                <w:rFonts w:eastAsia="Arial"/>
                <w:color w:val="4472C4"/>
              </w:rPr>
              <w:t xml:space="preserve"> MT to </w:t>
            </w:r>
            <w:r w:rsidRPr="007C60AF">
              <w:rPr>
                <w:rFonts w:eastAsia="Arial"/>
                <w:b/>
                <w:color w:val="4472C4"/>
              </w:rPr>
              <w:t>[5</w:t>
            </w:r>
            <w:r w:rsidR="003D274D" w:rsidRPr="007C60AF">
              <w:rPr>
                <w:rFonts w:eastAsia="Arial"/>
                <w:b/>
                <w:color w:val="4472C4"/>
              </w:rPr>
              <w:t>0</w:t>
            </w:r>
            <w:r w:rsidRPr="007C60AF">
              <w:rPr>
                <w:rFonts w:eastAsia="Arial"/>
                <w:b/>
                <w:color w:val="4472C4"/>
              </w:rPr>
              <w:t>,</w:t>
            </w:r>
            <w:r w:rsidR="003D274D" w:rsidRPr="007C60AF">
              <w:rPr>
                <w:rFonts w:eastAsia="Arial"/>
                <w:b/>
                <w:color w:val="4472C4"/>
              </w:rPr>
              <w:t>0</w:t>
            </w:r>
            <w:r w:rsidRPr="007C60AF">
              <w:rPr>
                <w:rFonts w:eastAsia="Arial"/>
                <w:b/>
                <w:color w:val="4472C4"/>
              </w:rPr>
              <w:t xml:space="preserve">00 </w:t>
            </w:r>
            <w:r w:rsidR="003D274D" w:rsidRPr="007C60AF">
              <w:rPr>
                <w:rFonts w:eastAsia="Arial"/>
                <w:b/>
                <w:color w:val="4472C4"/>
              </w:rPr>
              <w:t>–</w:t>
            </w:r>
            <w:r w:rsidRPr="007C60AF">
              <w:rPr>
                <w:rFonts w:eastAsia="Arial"/>
                <w:b/>
                <w:color w:val="4472C4"/>
              </w:rPr>
              <w:t xml:space="preserve"> 7</w:t>
            </w:r>
            <w:r w:rsidR="003D274D" w:rsidRPr="007C60AF">
              <w:rPr>
                <w:rFonts w:eastAsia="Arial"/>
                <w:b/>
                <w:color w:val="4472C4"/>
              </w:rPr>
              <w:t>5,0</w:t>
            </w:r>
            <w:r w:rsidRPr="007C60AF">
              <w:rPr>
                <w:rFonts w:eastAsia="Arial"/>
                <w:b/>
                <w:color w:val="4472C4"/>
              </w:rPr>
              <w:t>00]</w:t>
            </w:r>
            <w:r w:rsidRPr="007C60AF">
              <w:rPr>
                <w:rFonts w:eastAsia="Arial"/>
                <w:color w:val="4472C4"/>
              </w:rPr>
              <w:t xml:space="preserve"> MT. Export sales of the UK industry have increased because it is not viable for the UK industry to sell their goods domestically due to the dumped and subsidised imports of US HVO.  </w:t>
            </w:r>
          </w:p>
          <w:p w14:paraId="00000DB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B2"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increase in the value of exports and the unit price of exports of the UK industry to unrelated companies between the start of the injury period and the POI (</w:t>
            </w:r>
            <w:r w:rsidRPr="007C60AF">
              <w:rPr>
                <w:rFonts w:eastAsia="Arial"/>
                <w:i/>
                <w:color w:val="4472C4"/>
              </w:rPr>
              <w:t>see</w:t>
            </w:r>
            <w:r w:rsidRPr="007C60AF">
              <w:rPr>
                <w:rFonts w:eastAsia="Arial"/>
                <w:color w:val="4472C4"/>
              </w:rPr>
              <w:t xml:space="preserve"> tables 17 and 19 of the response to question G.1.1. above) demonstrate that the exports were not sold at prices below cost. </w:t>
            </w:r>
          </w:p>
          <w:p w14:paraId="00000DB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B4"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Exports helped the UK producers maintain their levels of production and contributed to lessening the negative impact of dumped and subsidised imports of US HVO. The export performance of the UK industry therefore could not have broken the causal link between the dumped and subsidised imports of US HVO and the injury suffered by the UK industry.</w:t>
            </w:r>
          </w:p>
          <w:p w14:paraId="00000DB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B6" w14:textId="77777777" w:rsidR="00416D85" w:rsidRPr="007C60AF" w:rsidRDefault="00130320">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Evolution of UK consumption</w:t>
            </w:r>
          </w:p>
          <w:p w14:paraId="00000DB7"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B8"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evolution of UK consumption during the period considered did not break the causal link between dumped and subsidised imports of US HVO and the injury suffered by the UK industry.</w:t>
            </w:r>
          </w:p>
          <w:p w14:paraId="00000DB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BA"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As shown in the table below, UK consumption of HVO based on RTFO statistics increased over the period considered:</w:t>
            </w:r>
            <w:r w:rsidRPr="007C60AF">
              <w:rPr>
                <w:rFonts w:eastAsia="Arial"/>
                <w:color w:val="4472C4"/>
                <w:vertAlign w:val="superscript"/>
              </w:rPr>
              <w:footnoteReference w:id="175"/>
            </w:r>
          </w:p>
          <w:p w14:paraId="00000DBB" w14:textId="77777777" w:rsidR="00416D85" w:rsidRPr="007C60AF" w:rsidRDefault="00416D85">
            <w:pPr>
              <w:pBdr>
                <w:top w:val="nil"/>
                <w:left w:val="nil"/>
                <w:bottom w:val="nil"/>
                <w:right w:val="nil"/>
                <w:between w:val="nil"/>
              </w:pBdr>
              <w:spacing w:after="160" w:line="276" w:lineRule="auto"/>
              <w:ind w:left="567" w:hanging="567"/>
              <w:rPr>
                <w:rFonts w:eastAsia="Arial"/>
                <w:color w:val="4472C4"/>
              </w:rPr>
            </w:pPr>
          </w:p>
          <w:tbl>
            <w:tblPr>
              <w:tblStyle w:val="afffffffff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4FB99B2" w14:textId="77777777">
              <w:tc>
                <w:tcPr>
                  <w:tcW w:w="1784" w:type="dxa"/>
                  <w:shd w:val="clear" w:color="auto" w:fill="D0CECE"/>
                </w:tcPr>
                <w:p w14:paraId="00000DB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D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D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D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D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344160A" w14:textId="77777777">
              <w:tc>
                <w:tcPr>
                  <w:tcW w:w="1784" w:type="dxa"/>
                  <w:shd w:val="clear" w:color="auto" w:fill="D0CECE"/>
                </w:tcPr>
                <w:p w14:paraId="00000D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FAME consumption (MT)</w:t>
                  </w:r>
                </w:p>
              </w:tc>
              <w:tc>
                <w:tcPr>
                  <w:tcW w:w="1784" w:type="dxa"/>
                </w:tcPr>
                <w:p w14:paraId="00000D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1,320,361</w:t>
                  </w:r>
                </w:p>
              </w:tc>
              <w:tc>
                <w:tcPr>
                  <w:tcW w:w="1784" w:type="dxa"/>
                </w:tcPr>
                <w:p w14:paraId="00000DC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1,142,435</w:t>
                  </w:r>
                </w:p>
              </w:tc>
              <w:tc>
                <w:tcPr>
                  <w:tcW w:w="1784" w:type="dxa"/>
                </w:tcPr>
                <w:p w14:paraId="00000DC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1,271,766</w:t>
                  </w:r>
                </w:p>
              </w:tc>
              <w:tc>
                <w:tcPr>
                  <w:tcW w:w="1785" w:type="dxa"/>
                </w:tcPr>
                <w:p w14:paraId="00000DC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1,035,053</w:t>
                  </w:r>
                </w:p>
              </w:tc>
            </w:tr>
            <w:tr w:rsidR="00416D85" w:rsidRPr="007C60AF" w14:paraId="660E1EF9" w14:textId="77777777">
              <w:tc>
                <w:tcPr>
                  <w:tcW w:w="1784" w:type="dxa"/>
                  <w:shd w:val="clear" w:color="auto" w:fill="D0CECE"/>
                </w:tcPr>
                <w:p w14:paraId="00000D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HVO consumption (MT)</w:t>
                  </w:r>
                </w:p>
              </w:tc>
              <w:tc>
                <w:tcPr>
                  <w:tcW w:w="1784" w:type="dxa"/>
                </w:tcPr>
                <w:p w14:paraId="00000DC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34,420</w:t>
                  </w:r>
                </w:p>
              </w:tc>
              <w:tc>
                <w:tcPr>
                  <w:tcW w:w="1784" w:type="dxa"/>
                </w:tcPr>
                <w:p w14:paraId="00000D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88,081</w:t>
                  </w:r>
                </w:p>
              </w:tc>
              <w:tc>
                <w:tcPr>
                  <w:tcW w:w="1784" w:type="dxa"/>
                </w:tcPr>
                <w:p w14:paraId="00000DC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252,254</w:t>
                  </w:r>
                </w:p>
              </w:tc>
              <w:tc>
                <w:tcPr>
                  <w:tcW w:w="1785" w:type="dxa"/>
                </w:tcPr>
                <w:p w14:paraId="00000DC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357,435</w:t>
                  </w:r>
                </w:p>
              </w:tc>
            </w:tr>
            <w:tr w:rsidR="00416D85" w:rsidRPr="007C60AF" w14:paraId="46C73025" w14:textId="77777777">
              <w:tc>
                <w:tcPr>
                  <w:tcW w:w="1784" w:type="dxa"/>
                  <w:shd w:val="clear" w:color="auto" w:fill="D0CECE"/>
                </w:tcPr>
                <w:p w14:paraId="00000D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Total UK FAME/HVO consumption (MT)</w:t>
                  </w:r>
                </w:p>
              </w:tc>
              <w:tc>
                <w:tcPr>
                  <w:tcW w:w="1784" w:type="dxa"/>
                </w:tcPr>
                <w:p w14:paraId="00000D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1,354,781</w:t>
                  </w:r>
                </w:p>
              </w:tc>
              <w:tc>
                <w:tcPr>
                  <w:tcW w:w="1784" w:type="dxa"/>
                </w:tcPr>
                <w:p w14:paraId="00000D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1,230,516</w:t>
                  </w:r>
                </w:p>
              </w:tc>
              <w:tc>
                <w:tcPr>
                  <w:tcW w:w="1784" w:type="dxa"/>
                </w:tcPr>
                <w:p w14:paraId="00000D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1,524,020</w:t>
                  </w:r>
                </w:p>
              </w:tc>
              <w:tc>
                <w:tcPr>
                  <w:tcW w:w="1785" w:type="dxa"/>
                </w:tcPr>
                <w:p w14:paraId="00000D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1,392,488</w:t>
                  </w:r>
                </w:p>
              </w:tc>
            </w:tr>
            <w:tr w:rsidR="00416D85" w:rsidRPr="007C60AF" w14:paraId="628EC552" w14:textId="77777777">
              <w:tc>
                <w:tcPr>
                  <w:tcW w:w="1784" w:type="dxa"/>
                  <w:shd w:val="clear" w:color="auto" w:fill="D0CECE"/>
                </w:tcPr>
                <w:p w14:paraId="00000D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Sales of UK industry (MT)</w:t>
                  </w:r>
                </w:p>
              </w:tc>
              <w:tc>
                <w:tcPr>
                  <w:tcW w:w="1784" w:type="dxa"/>
                </w:tcPr>
                <w:p w14:paraId="00000DD1" w14:textId="5F4239CE"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5D16C0" w:rsidRPr="007C60AF">
                    <w:rPr>
                      <w:rFonts w:eastAsia="Arial"/>
                      <w:b/>
                      <w:color w:val="4472C4"/>
                    </w:rPr>
                    <w:t>100,000 – 150,000]</w:t>
                  </w:r>
                  <w:r w:rsidRPr="007C60AF">
                    <w:rPr>
                      <w:rFonts w:eastAsia="Arial"/>
                      <w:color w:val="4472C4"/>
                    </w:rPr>
                    <w:t xml:space="preserve"> </w:t>
                  </w:r>
                </w:p>
              </w:tc>
              <w:tc>
                <w:tcPr>
                  <w:tcW w:w="1784" w:type="dxa"/>
                </w:tcPr>
                <w:p w14:paraId="00000DD2" w14:textId="0AB09025"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w:t>
                  </w:r>
                  <w:r w:rsidR="005D16C0" w:rsidRPr="007C60AF">
                    <w:rPr>
                      <w:rFonts w:eastAsia="Arial"/>
                      <w:b/>
                      <w:color w:val="4472C4"/>
                    </w:rPr>
                    <w:t>00,000 – 150,000]</w:t>
                  </w:r>
                </w:p>
              </w:tc>
              <w:tc>
                <w:tcPr>
                  <w:tcW w:w="1784" w:type="dxa"/>
                </w:tcPr>
                <w:p w14:paraId="00000DD3" w14:textId="32969C08"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 – 150,000]</w:t>
                  </w:r>
                  <w:r w:rsidRPr="007C60AF" w:rsidDel="005D16C0">
                    <w:rPr>
                      <w:rFonts w:eastAsia="Arial"/>
                      <w:b/>
                      <w:color w:val="4472C4"/>
                    </w:rPr>
                    <w:t xml:space="preserve"> </w:t>
                  </w:r>
                </w:p>
              </w:tc>
              <w:tc>
                <w:tcPr>
                  <w:tcW w:w="1785" w:type="dxa"/>
                </w:tcPr>
                <w:p w14:paraId="00000DD5" w14:textId="045D8458" w:rsidR="00416D85" w:rsidRPr="007C60AF" w:rsidRDefault="005D16C0" w:rsidP="00785EBF">
                  <w:pPr>
                    <w:pBdr>
                      <w:top w:val="none" w:sz="0" w:space="0" w:color="000000"/>
                      <w:left w:val="none" w:sz="0" w:space="0" w:color="000000"/>
                      <w:bottom w:val="none" w:sz="0" w:space="0" w:color="000000"/>
                      <w:right w:val="none" w:sz="0" w:space="0" w:color="000000"/>
                      <w:between w:val="none" w:sz="0" w:space="0" w:color="000000"/>
                    </w:pBdr>
                    <w:spacing w:before="60" w:after="0" w:line="276" w:lineRule="auto"/>
                    <w:jc w:val="both"/>
                    <w:rPr>
                      <w:rFonts w:eastAsia="Arial"/>
                      <w:color w:val="4472C4"/>
                    </w:rPr>
                  </w:pPr>
                  <w:r w:rsidRPr="007C60AF">
                    <w:rPr>
                      <w:rFonts w:eastAsia="Arial"/>
                      <w:b/>
                      <w:color w:val="4472C4"/>
                    </w:rPr>
                    <w:t>[100,000 – 150,000]</w:t>
                  </w:r>
                </w:p>
              </w:tc>
            </w:tr>
            <w:tr w:rsidR="00416D85" w:rsidRPr="007C60AF" w14:paraId="1A34B861" w14:textId="77777777">
              <w:tc>
                <w:tcPr>
                  <w:tcW w:w="1784" w:type="dxa"/>
                  <w:shd w:val="clear" w:color="auto" w:fill="D0CECE"/>
                </w:tcPr>
                <w:p w14:paraId="00000D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 xml:space="preserve">UK industry market share (%) </w:t>
                  </w:r>
                </w:p>
              </w:tc>
              <w:tc>
                <w:tcPr>
                  <w:tcW w:w="1784" w:type="dxa"/>
                </w:tcPr>
                <w:p w14:paraId="00000DD7" w14:textId="6DFE1631"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[0 – 15%]</w:t>
                  </w:r>
                </w:p>
              </w:tc>
              <w:tc>
                <w:tcPr>
                  <w:tcW w:w="1784" w:type="dxa"/>
                </w:tcPr>
                <w:p w14:paraId="00000DD8" w14:textId="47A64B5D"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 – 25%]</w:t>
                  </w:r>
                </w:p>
              </w:tc>
              <w:tc>
                <w:tcPr>
                  <w:tcW w:w="1784" w:type="dxa"/>
                </w:tcPr>
                <w:p w14:paraId="00000DD9" w14:textId="6E1024B8"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 – 15%]</w:t>
                  </w:r>
                  <w:r w:rsidRPr="007C60AF" w:rsidDel="005D16C0">
                    <w:rPr>
                      <w:rFonts w:eastAsia="Arial"/>
                      <w:b/>
                      <w:color w:val="4472C4"/>
                    </w:rPr>
                    <w:t xml:space="preserve"> </w:t>
                  </w:r>
                </w:p>
              </w:tc>
              <w:tc>
                <w:tcPr>
                  <w:tcW w:w="1785" w:type="dxa"/>
                </w:tcPr>
                <w:p w14:paraId="00000DDA" w14:textId="2E0160B6"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 – 15%]</w:t>
                  </w:r>
                  <w:r w:rsidRPr="007C60AF" w:rsidDel="005D16C0">
                    <w:rPr>
                      <w:rFonts w:eastAsia="Arial"/>
                      <w:b/>
                      <w:color w:val="4472C4"/>
                    </w:rPr>
                    <w:t xml:space="preserve"> </w:t>
                  </w:r>
                </w:p>
              </w:tc>
            </w:tr>
          </w:tbl>
          <w:p w14:paraId="00000DDB" w14:textId="77777777" w:rsidR="00416D85" w:rsidRPr="007C60AF" w:rsidRDefault="00416D85">
            <w:pPr>
              <w:rPr>
                <w:color w:val="4472C4"/>
              </w:rPr>
            </w:pPr>
          </w:p>
          <w:p w14:paraId="00000DDC" w14:textId="77777777" w:rsidR="00416D85" w:rsidRPr="007C60AF" w:rsidRDefault="00130320">
            <w:pPr>
              <w:numPr>
                <w:ilvl w:val="6"/>
                <w:numId w:val="47"/>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The table above clearly indicates that market share has been shifting from FAME to HVO (</w:t>
            </w:r>
            <w:r w:rsidRPr="007C60AF">
              <w:rPr>
                <w:rFonts w:eastAsia="Arial"/>
                <w:i/>
                <w:color w:val="4472C4"/>
              </w:rPr>
              <w:t xml:space="preserve">see </w:t>
            </w:r>
            <w:r w:rsidRPr="007C60AF">
              <w:rPr>
                <w:rFonts w:eastAsia="Arial"/>
                <w:color w:val="4472C4"/>
              </w:rPr>
              <w:t xml:space="preserve">Appendix G.2 for detailed calculations), but this merely reflects the injury inflicted by the increasing HVO imports from the US. It is further evidenced in table 9 in the response to question G.1.1. above, which clearly shows that the UK industry's volume of domestic sales to unrelated companies decreased over the same period. </w:t>
            </w:r>
          </w:p>
          <w:p w14:paraId="00000DD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DDE" w14:textId="77777777" w:rsidR="00416D85" w:rsidRPr="007C60AF" w:rsidRDefault="00130320">
            <w:pPr>
              <w:numPr>
                <w:ilvl w:val="6"/>
                <w:numId w:val="4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In 2020 and 2021, the RTFO obligation was 9.6%. On 1 January 2022 the obligation increased to 11.10%, and it will increase by 0.35% each year until 2032. This explains the increase in the use of biofuels in the UK. </w:t>
            </w:r>
          </w:p>
          <w:p w14:paraId="00000DD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0"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Overall, UK consumption increased during the period under consideration. Given the magnitude of subsidisation and dumping, the development of UK consumption could not have broken the causal link between the dumped and subsidised imports of US HVO and the injury suffered by the UK industry.</w:t>
            </w:r>
          </w:p>
          <w:p w14:paraId="00000DE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2" w14:textId="77777777" w:rsidR="00416D85" w:rsidRPr="007C60AF" w:rsidRDefault="00130320">
            <w:pPr>
              <w:numPr>
                <w:ilvl w:val="6"/>
                <w:numId w:val="4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main reason for the drop in consumption in 2020 and 2021 was due to the COVID-19 pandemic. There was less use of road fuel, so whilst the RTFO obligation increased, the absolute consumption of fuel decreased. Consumption then increased again when lockdowns stopped in 2022. </w:t>
            </w:r>
          </w:p>
          <w:p w14:paraId="00000DE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4"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Any (temporary) decrease in UK consumption in the POI is insignificant compared to the overall trend of UK consumption and the increasing blending mandate, especially given that consumption is subject to seasonal fluctuations.</w:t>
            </w:r>
          </w:p>
          <w:p w14:paraId="00000DE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0000"/>
              </w:rPr>
            </w:pPr>
          </w:p>
          <w:p w14:paraId="00000DE6" w14:textId="77777777" w:rsidR="00416D85" w:rsidRPr="007C60AF" w:rsidRDefault="00130320">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Investments made by, and capacity of, the UK industry</w:t>
            </w:r>
          </w:p>
          <w:p w14:paraId="00000DE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DE8"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demonstrated in the response to question G.1.1. above, the UK industry has been unable to generate ROI despite continuous investment. Investment is therefore decreasing over the injury period and the POI. The downward trend also continues after the POI in Q2 2024.</w:t>
            </w:r>
          </w:p>
          <w:p w14:paraId="00000D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A"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the production capacity of the UK industry has remained relatively stable, marginally increasing between the start of the injury period and the POI. The insignificant capacity increase over the years can be explained by the fact that adjustments have been made to existing plant machinery and operating processes. </w:t>
            </w:r>
          </w:p>
          <w:p w14:paraId="00000DE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C"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production capacity in Q2 2024 is lower because </w:t>
            </w:r>
            <w:r w:rsidRPr="007C60AF">
              <w:rPr>
                <w:rFonts w:eastAsia="Arial"/>
                <w:b/>
                <w:color w:val="4472C4"/>
              </w:rPr>
              <w:t>[SENSITIVE – INFORMATION ABOUT OPERATIONS OF ONE OR MORE UK PRODUCERS]</w:t>
            </w:r>
            <w:r w:rsidRPr="007C60AF">
              <w:rPr>
                <w:rFonts w:eastAsia="Arial"/>
                <w:color w:val="4472C4"/>
              </w:rPr>
              <w:t>.</w:t>
            </w:r>
          </w:p>
          <w:p w14:paraId="00000DE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E"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eastAsia="Arial"/>
                <w:color w:val="4472C4"/>
              </w:rPr>
            </w:pPr>
            <w:r w:rsidRPr="007C60AF">
              <w:rPr>
                <w:rFonts w:eastAsia="Arial"/>
                <w:color w:val="4472C4"/>
              </w:rPr>
              <w:t xml:space="preserve">It was not possible for the UK industry to increase production capacity due to the uncertain investment environment created by price pressure from dumped and subsidised imports of US HVO. As such, investments made by, and capacity of, the UK industry could not have broken the causal link between the dumped and subsidised imports of US HVO and the injury suffered by the UK industry. </w:t>
            </w:r>
          </w:p>
          <w:p w14:paraId="00000DEF" w14:textId="77777777" w:rsidR="00416D85" w:rsidRPr="007C60AF" w:rsidRDefault="00416D85">
            <w:pPr>
              <w:jc w:val="both"/>
            </w:pPr>
          </w:p>
        </w:tc>
      </w:tr>
    </w:tbl>
    <w:p w14:paraId="00000DF0" w14:textId="77777777" w:rsidR="00416D85" w:rsidRPr="007C60AF" w:rsidRDefault="00416D85">
      <w:pPr>
        <w:keepNext/>
        <w:keepLines/>
        <w:widowControl w:val="0"/>
        <w:spacing w:after="0" w:line="276" w:lineRule="auto"/>
        <w:jc w:val="both"/>
      </w:pPr>
    </w:p>
    <w:p w14:paraId="00000DF1" w14:textId="77777777" w:rsidR="00416D85" w:rsidRPr="007C60AF" w:rsidRDefault="00130320">
      <w:pPr>
        <w:jc w:val="both"/>
        <w:rPr>
          <w:b/>
          <w:color w:val="000000"/>
          <w:u w:val="single"/>
        </w:rPr>
      </w:pPr>
      <w:r w:rsidRPr="007C60AF">
        <w:br w:type="page"/>
      </w:r>
    </w:p>
    <w:p w14:paraId="00000DF2" w14:textId="77777777" w:rsidR="00416D85" w:rsidRPr="007C60AF" w:rsidRDefault="00130320">
      <w:pPr>
        <w:pBdr>
          <w:top w:val="nil"/>
          <w:left w:val="nil"/>
          <w:bottom w:val="nil"/>
          <w:right w:val="nil"/>
          <w:between w:val="nil"/>
        </w:pBdr>
        <w:spacing w:before="360" w:after="120" w:line="360" w:lineRule="auto"/>
        <w:jc w:val="center"/>
        <w:rPr>
          <w:rFonts w:eastAsia="Arial"/>
          <w:b/>
          <w:color w:val="4472C4"/>
          <w:sz w:val="36"/>
          <w:szCs w:val="36"/>
        </w:rPr>
      </w:pPr>
      <w:bookmarkStart w:id="58" w:name="_heading=h.1pktd1gyt4el" w:colFirst="0" w:colLast="0"/>
      <w:bookmarkEnd w:id="58"/>
      <w:r w:rsidRPr="007C60AF">
        <w:rPr>
          <w:rFonts w:eastAsia="Arial"/>
          <w:b/>
          <w:color w:val="4472C4"/>
          <w:sz w:val="36"/>
          <w:szCs w:val="36"/>
        </w:rPr>
        <w:lastRenderedPageBreak/>
        <w:t>SECTION I: Request for registration of imports</w:t>
      </w:r>
    </w:p>
    <w:tbl>
      <w:tblPr>
        <w:tblStyle w:val="affffffff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16D85" w:rsidRPr="007C60AF" w14:paraId="0D7AE546" w14:textId="77777777">
        <w:tc>
          <w:tcPr>
            <w:tcW w:w="9016" w:type="dxa"/>
          </w:tcPr>
          <w:p w14:paraId="00000DF3"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Applicants hereby request that the Secretary of State publishes a notice requiring HMRC to register imports of US HVO from the date of initiation of the investigation.</w:t>
            </w:r>
            <w:r w:rsidRPr="007C60AF">
              <w:rPr>
                <w:rFonts w:eastAsia="Arial"/>
                <w:color w:val="4472C4"/>
                <w:vertAlign w:val="superscript"/>
              </w:rPr>
              <w:footnoteReference w:id="176"/>
            </w:r>
          </w:p>
          <w:p w14:paraId="00000DF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F5"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are suffering material injury. This injury is amplified due to the revocation of measures on US HVO </w:t>
            </w:r>
            <w:proofErr w:type="gramStart"/>
            <w:r w:rsidRPr="007C60AF">
              <w:rPr>
                <w:rFonts w:eastAsia="Arial"/>
                <w:color w:val="4472C4"/>
              </w:rPr>
              <w:t>as a result of</w:t>
            </w:r>
            <w:proofErr w:type="gramEnd"/>
            <w:r w:rsidRPr="007C60AF">
              <w:rPr>
                <w:rFonts w:eastAsia="Arial"/>
                <w:color w:val="4472C4"/>
              </w:rPr>
              <w:t xml:space="preserve"> the UK Transition Reviews, and the extension of EU anti-dumping measures and countervailing duties on US HVO until August 2026,</w:t>
            </w:r>
            <w:r w:rsidRPr="007C60AF">
              <w:rPr>
                <w:rFonts w:eastAsia="Arial"/>
                <w:color w:val="4472C4"/>
                <w:vertAlign w:val="superscript"/>
              </w:rPr>
              <w:footnoteReference w:id="177"/>
            </w:r>
            <w:r w:rsidRPr="007C60AF">
              <w:rPr>
                <w:rFonts w:eastAsia="Arial"/>
                <w:color w:val="4472C4"/>
              </w:rPr>
              <w:t xml:space="preserve"> which combined has resulted in a flood of dumped and subsidised imports of US HVO into the UK.</w:t>
            </w:r>
          </w:p>
          <w:p w14:paraId="00000DF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F7"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demonstrated in this Application, the surge in imports of dumped and subsidised US HVO into the UK has resulted in a strong shift of market share from FAME to HVO, further amplifying the injury suffered by the UK industry.  </w:t>
            </w:r>
          </w:p>
          <w:p w14:paraId="00000DF8"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F9"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EU and the UK still operate in the same markets in the biofuel space – Brexit has added paperwork to importing/exporting biofuels but fundamentally the trade flows have not changed much.</w:t>
            </w:r>
          </w:p>
          <w:p w14:paraId="00000DF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FB"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as mentioned in our response to question A.3.1. above, </w:t>
            </w:r>
            <w:proofErr w:type="gramStart"/>
            <w:r w:rsidRPr="007C60AF">
              <w:rPr>
                <w:rFonts w:eastAsia="Arial"/>
                <w:color w:val="4472C4"/>
              </w:rPr>
              <w:t>the majority of</w:t>
            </w:r>
            <w:proofErr w:type="gramEnd"/>
            <w:r w:rsidRPr="007C60AF">
              <w:rPr>
                <w:rFonts w:eastAsia="Arial"/>
                <w:color w:val="4472C4"/>
              </w:rPr>
              <w:t xml:space="preserve"> commodity codes used to import HVO can also be used to import FAME, as it is not possible in certain instances to fully separate them.</w:t>
            </w:r>
          </w:p>
          <w:p w14:paraId="00000DF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FD"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eastAsia="Arial"/>
                <w:color w:val="4472C4"/>
              </w:rPr>
            </w:pPr>
            <w:r w:rsidRPr="007C60AF">
              <w:rPr>
                <w:rFonts w:eastAsia="Arial"/>
                <w:color w:val="4472C4"/>
              </w:rPr>
              <w:t>Real-time monitoring of imports by way of registration is therefore key to enabling the TRA to monitor imports, avoid potential circumvention and impose anti-dumping and/or anti-subsidy duties retroactively.</w:t>
            </w:r>
            <w:r w:rsidRPr="007C60AF">
              <w:rPr>
                <w:rFonts w:eastAsia="Arial"/>
                <w:color w:val="4472C4"/>
                <w:vertAlign w:val="superscript"/>
              </w:rPr>
              <w:footnoteReference w:id="178"/>
            </w:r>
          </w:p>
        </w:tc>
      </w:tr>
    </w:tbl>
    <w:p w14:paraId="00000DFE" w14:textId="77777777" w:rsidR="00416D85" w:rsidRPr="007C60AF" w:rsidRDefault="00130320">
      <w:pPr>
        <w:pBdr>
          <w:top w:val="nil"/>
          <w:left w:val="nil"/>
          <w:bottom w:val="nil"/>
          <w:right w:val="nil"/>
          <w:between w:val="nil"/>
        </w:pBdr>
        <w:spacing w:before="360" w:after="120" w:line="360" w:lineRule="auto"/>
        <w:jc w:val="both"/>
        <w:rPr>
          <w:rFonts w:eastAsia="Arial"/>
          <w:b/>
          <w:color w:val="4472C4"/>
          <w:sz w:val="36"/>
          <w:szCs w:val="36"/>
        </w:rPr>
      </w:pPr>
      <w:r w:rsidRPr="007C60AF">
        <w:br w:type="page"/>
      </w:r>
    </w:p>
    <w:p w14:paraId="00000DFF"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2"/>
          <w:szCs w:val="32"/>
        </w:rPr>
      </w:pPr>
      <w:bookmarkStart w:id="59" w:name="_heading=h.wn57vbat220g" w:colFirst="0" w:colLast="0"/>
      <w:bookmarkEnd w:id="59"/>
      <w:r w:rsidRPr="007C60AF">
        <w:rPr>
          <w:rFonts w:eastAsia="Arial"/>
          <w:b/>
          <w:color w:val="4472C4"/>
          <w:sz w:val="36"/>
          <w:szCs w:val="36"/>
        </w:rPr>
        <w:lastRenderedPageBreak/>
        <w:t xml:space="preserve">SECTION J: </w:t>
      </w:r>
      <w:r w:rsidRPr="007C60AF">
        <w:rPr>
          <w:rFonts w:eastAsia="Arial"/>
          <w:b/>
          <w:color w:val="000000"/>
          <w:sz w:val="36"/>
          <w:szCs w:val="36"/>
        </w:rPr>
        <w:t>Declaration</w:t>
      </w:r>
    </w:p>
    <w:p w14:paraId="00000E00"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application is made by, or on behalf of, a UK industry that produces like goods to those that are the subject of this application. </w:t>
      </w:r>
    </w:p>
    <w:p w14:paraId="00000E01"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UK industry has at least 1% market share, </w:t>
      </w:r>
      <w:proofErr w:type="gramStart"/>
      <w:r w:rsidRPr="007C60AF">
        <w:rPr>
          <w:rFonts w:eastAsia="Arial"/>
          <w:color w:val="000000"/>
        </w:rPr>
        <w:t>taking into account</w:t>
      </w:r>
      <w:proofErr w:type="gramEnd"/>
      <w:r w:rsidRPr="007C60AF">
        <w:rPr>
          <w:rFonts w:eastAsia="Arial"/>
          <w:color w:val="000000"/>
        </w:rPr>
        <w:t xml:space="preserve"> the goods and particular market for those goods.</w:t>
      </w:r>
    </w:p>
    <w:p w14:paraId="00000E02"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application has the support of that UK industry as required in the Trade Remedies (Dumping and Subsidisation) (EU Exit) Regulations 2019. Specifically, producer support for this application is greater than producer opposition and represents at least 25% of all UK production of the like goods. </w:t>
      </w:r>
    </w:p>
    <w:p w14:paraId="00000E03"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information contained in this application:</w:t>
      </w:r>
    </w:p>
    <w:p w14:paraId="00000E0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provides evidence that goods have been or are being dumped and/or evidence that subsidised goods have been or are being imported into the UK (as per schedule 1(g) and 2(g) of the Trade Remedies (Dumping and Subsidisation) (EU Exit) Regulations 2019</w:t>
      </w:r>
      <w:proofErr w:type="gramStart"/>
      <w:r w:rsidRPr="007C60AF">
        <w:rPr>
          <w:rFonts w:eastAsia="Arial"/>
          <w:color w:val="000000"/>
        </w:rPr>
        <w:t>);</w:t>
      </w:r>
      <w:proofErr w:type="gramEnd"/>
    </w:p>
    <w:p w14:paraId="00000E0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provides evidence that the dumped and/or subsidised goods are causing injury to the UK industry (as per schedule 1(i) and 2(i) of the Trade Remedies (Dumping and Subsidisation) (EU Exit) Regulations 2019</w:t>
      </w:r>
      <w:proofErr w:type="gramStart"/>
      <w:r w:rsidRPr="007C60AF">
        <w:rPr>
          <w:rFonts w:eastAsia="Arial"/>
          <w:color w:val="000000"/>
        </w:rPr>
        <w:t>);</w:t>
      </w:r>
      <w:proofErr w:type="gramEnd"/>
    </w:p>
    <w:p w14:paraId="00000E0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is sufficient to initiate an anti-dumping and/or subsidy investigation as per schedule 4 paragraph 9(1)(b) of the Taxation (Cross-border Trade) Act 2018; and</w:t>
      </w:r>
    </w:p>
    <w:p w14:paraId="00000E0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is accurate and complete.</w:t>
      </w:r>
    </w:p>
    <w:p w14:paraId="00000E08" w14:textId="77777777" w:rsidR="00416D85" w:rsidRPr="007C60AF" w:rsidRDefault="00416D85">
      <w:pPr>
        <w:pBdr>
          <w:top w:val="nil"/>
          <w:left w:val="nil"/>
          <w:bottom w:val="nil"/>
          <w:right w:val="nil"/>
          <w:between w:val="nil"/>
        </w:pBdr>
        <w:spacing w:after="0" w:line="276" w:lineRule="auto"/>
        <w:ind w:left="720"/>
        <w:jc w:val="both"/>
      </w:pPr>
    </w:p>
    <w:tbl>
      <w:tblPr>
        <w:tblStyle w:val="afffffffff5"/>
        <w:tblpPr w:leftFromText="180" w:rightFromText="180" w:vertAnchor="text"/>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86"/>
        <w:gridCol w:w="6330"/>
      </w:tblGrid>
      <w:tr w:rsidR="00416D85" w:rsidRPr="007C60AF" w14:paraId="3EBA53E6" w14:textId="77777777">
        <w:tc>
          <w:tcPr>
            <w:tcW w:w="2686" w:type="dxa"/>
          </w:tcPr>
          <w:p w14:paraId="00000E09" w14:textId="77777777" w:rsidR="00416D85" w:rsidRPr="007C60AF" w:rsidRDefault="00130320">
            <w:pPr>
              <w:spacing w:line="276" w:lineRule="auto"/>
              <w:jc w:val="both"/>
            </w:pPr>
            <w:r w:rsidRPr="007C60AF">
              <w:t>Name:</w:t>
            </w:r>
          </w:p>
        </w:tc>
        <w:tc>
          <w:tcPr>
            <w:tcW w:w="6330" w:type="dxa"/>
          </w:tcPr>
          <w:p w14:paraId="00000E0A" w14:textId="77777777" w:rsidR="00416D85" w:rsidRPr="007C60AF" w:rsidRDefault="00130320">
            <w:pPr>
              <w:spacing w:line="276" w:lineRule="auto"/>
              <w:jc w:val="both"/>
              <w:rPr>
                <w:b/>
                <w:color w:val="4472C4"/>
              </w:rPr>
            </w:pPr>
            <w:r w:rsidRPr="007C60AF">
              <w:rPr>
                <w:b/>
                <w:color w:val="4472C4"/>
              </w:rPr>
              <w:t>[SENSITIVE – CONTAINS PERSONAL INFORMATION]</w:t>
            </w:r>
          </w:p>
        </w:tc>
      </w:tr>
      <w:tr w:rsidR="00416D85" w:rsidRPr="007C60AF" w14:paraId="0D316225" w14:textId="77777777">
        <w:tc>
          <w:tcPr>
            <w:tcW w:w="2686" w:type="dxa"/>
          </w:tcPr>
          <w:p w14:paraId="00000E0B" w14:textId="77777777" w:rsidR="00416D85" w:rsidRPr="007C60AF" w:rsidRDefault="00130320">
            <w:pPr>
              <w:spacing w:line="276" w:lineRule="auto"/>
              <w:jc w:val="both"/>
            </w:pPr>
            <w:r w:rsidRPr="007C60AF">
              <w:t>Company/Association:</w:t>
            </w:r>
          </w:p>
        </w:tc>
        <w:tc>
          <w:tcPr>
            <w:tcW w:w="6330" w:type="dxa"/>
          </w:tcPr>
          <w:p w14:paraId="00000E0C" w14:textId="77777777" w:rsidR="00416D85" w:rsidRPr="007C60AF" w:rsidRDefault="00130320">
            <w:pPr>
              <w:spacing w:line="276" w:lineRule="auto"/>
              <w:jc w:val="both"/>
              <w:rPr>
                <w:color w:val="4472C4"/>
              </w:rPr>
            </w:pPr>
            <w:r w:rsidRPr="007C60AF">
              <w:rPr>
                <w:color w:val="4472C4"/>
              </w:rPr>
              <w:t>Fieldfisher LLP</w:t>
            </w:r>
          </w:p>
        </w:tc>
      </w:tr>
      <w:tr w:rsidR="00416D85" w:rsidRPr="007C60AF" w14:paraId="3A8ED2C6" w14:textId="77777777">
        <w:tc>
          <w:tcPr>
            <w:tcW w:w="2686" w:type="dxa"/>
          </w:tcPr>
          <w:p w14:paraId="00000E0D" w14:textId="77777777" w:rsidR="00416D85" w:rsidRPr="007C60AF" w:rsidRDefault="00130320">
            <w:pPr>
              <w:spacing w:line="276" w:lineRule="auto"/>
              <w:jc w:val="both"/>
            </w:pPr>
            <w:r w:rsidRPr="007C60AF">
              <w:t>Position:</w:t>
            </w:r>
          </w:p>
        </w:tc>
        <w:tc>
          <w:tcPr>
            <w:tcW w:w="6330" w:type="dxa"/>
          </w:tcPr>
          <w:p w14:paraId="00000E0E" w14:textId="77777777" w:rsidR="00416D85" w:rsidRPr="007C60AF" w:rsidRDefault="00130320">
            <w:pPr>
              <w:spacing w:line="276" w:lineRule="auto"/>
              <w:jc w:val="both"/>
              <w:rPr>
                <w:b/>
                <w:color w:val="4472C4"/>
              </w:rPr>
            </w:pPr>
            <w:r w:rsidRPr="007C60AF">
              <w:rPr>
                <w:b/>
                <w:color w:val="4472C4"/>
              </w:rPr>
              <w:t>[SENSITIVE – CONTAINS PERSONAL INFORMATION]</w:t>
            </w:r>
          </w:p>
        </w:tc>
      </w:tr>
      <w:tr w:rsidR="00416D85" w:rsidRPr="007C60AF" w14:paraId="1438CBA7" w14:textId="77777777">
        <w:tc>
          <w:tcPr>
            <w:tcW w:w="2686" w:type="dxa"/>
          </w:tcPr>
          <w:p w14:paraId="00000E0F" w14:textId="77777777" w:rsidR="00416D85" w:rsidRPr="007C60AF" w:rsidRDefault="00130320">
            <w:pPr>
              <w:spacing w:line="276" w:lineRule="auto"/>
              <w:jc w:val="both"/>
            </w:pPr>
            <w:r w:rsidRPr="007C60AF">
              <w:t>Company Registration number (if applicable):</w:t>
            </w:r>
          </w:p>
        </w:tc>
        <w:tc>
          <w:tcPr>
            <w:tcW w:w="6330" w:type="dxa"/>
          </w:tcPr>
          <w:p w14:paraId="00000E10" w14:textId="77777777" w:rsidR="00416D85" w:rsidRPr="007C60AF" w:rsidRDefault="00130320">
            <w:pPr>
              <w:spacing w:line="276" w:lineRule="auto"/>
              <w:jc w:val="both"/>
              <w:rPr>
                <w:color w:val="4472C4"/>
              </w:rPr>
            </w:pPr>
            <w:r w:rsidRPr="007C60AF">
              <w:rPr>
                <w:color w:val="4472C4"/>
              </w:rPr>
              <w:t>OC318472</w:t>
            </w:r>
          </w:p>
        </w:tc>
      </w:tr>
      <w:tr w:rsidR="00416D85" w:rsidRPr="007C60AF" w14:paraId="61E97159" w14:textId="77777777">
        <w:tc>
          <w:tcPr>
            <w:tcW w:w="2686" w:type="dxa"/>
          </w:tcPr>
          <w:p w14:paraId="00000E11" w14:textId="77777777" w:rsidR="00416D85" w:rsidRPr="007C60AF" w:rsidRDefault="00130320">
            <w:pPr>
              <w:spacing w:line="276" w:lineRule="auto"/>
              <w:jc w:val="both"/>
            </w:pPr>
            <w:r w:rsidRPr="007C60AF">
              <w:t>Date:</w:t>
            </w:r>
          </w:p>
        </w:tc>
        <w:tc>
          <w:tcPr>
            <w:tcW w:w="6330" w:type="dxa"/>
          </w:tcPr>
          <w:p w14:paraId="00000E12" w14:textId="77777777" w:rsidR="00416D85" w:rsidRPr="007C60AF" w:rsidRDefault="00130320">
            <w:pPr>
              <w:spacing w:line="276" w:lineRule="auto"/>
              <w:jc w:val="both"/>
              <w:rPr>
                <w:color w:val="4472C4"/>
              </w:rPr>
            </w:pPr>
            <w:r w:rsidRPr="007C60AF">
              <w:rPr>
                <w:color w:val="4472C4"/>
              </w:rPr>
              <w:t>28 November 2024</w:t>
            </w:r>
          </w:p>
        </w:tc>
      </w:tr>
      <w:tr w:rsidR="00416D85" w:rsidRPr="007C60AF" w14:paraId="53AE5F90" w14:textId="77777777">
        <w:tc>
          <w:tcPr>
            <w:tcW w:w="2686" w:type="dxa"/>
          </w:tcPr>
          <w:p w14:paraId="00000E13" w14:textId="77777777" w:rsidR="00416D85" w:rsidRPr="007C60AF" w:rsidRDefault="00130320">
            <w:pPr>
              <w:spacing w:line="276" w:lineRule="auto"/>
              <w:jc w:val="both"/>
            </w:pPr>
            <w:r w:rsidRPr="007C60AF">
              <w:t>Signature:</w:t>
            </w:r>
          </w:p>
        </w:tc>
        <w:tc>
          <w:tcPr>
            <w:tcW w:w="6330" w:type="dxa"/>
          </w:tcPr>
          <w:p w14:paraId="00000E14" w14:textId="77777777" w:rsidR="00416D85" w:rsidRPr="007C60AF" w:rsidRDefault="00416D85">
            <w:pPr>
              <w:spacing w:line="276" w:lineRule="auto"/>
              <w:jc w:val="both"/>
              <w:rPr>
                <w:color w:val="4472C4"/>
              </w:rPr>
            </w:pPr>
          </w:p>
          <w:p w14:paraId="00000E15" w14:textId="77777777" w:rsidR="00416D85" w:rsidRPr="007C60AF" w:rsidRDefault="00130320">
            <w:pPr>
              <w:spacing w:line="276" w:lineRule="auto"/>
              <w:jc w:val="both"/>
              <w:rPr>
                <w:b/>
                <w:color w:val="4472C4"/>
              </w:rPr>
            </w:pPr>
            <w:r w:rsidRPr="007C60AF">
              <w:rPr>
                <w:b/>
                <w:color w:val="4472C4"/>
              </w:rPr>
              <w:t>[SENSITIVE – SIGNATURE]</w:t>
            </w:r>
          </w:p>
          <w:p w14:paraId="00000E16" w14:textId="77777777" w:rsidR="00416D85" w:rsidRPr="007C60AF" w:rsidRDefault="00416D85">
            <w:pPr>
              <w:spacing w:line="276" w:lineRule="auto"/>
              <w:jc w:val="both"/>
              <w:rPr>
                <w:color w:val="4472C4"/>
              </w:rPr>
            </w:pPr>
          </w:p>
        </w:tc>
      </w:tr>
    </w:tbl>
    <w:p w14:paraId="00000E17"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60" w:name="_heading=h.m38nor22ztaz" w:colFirst="0" w:colLast="0"/>
      <w:bookmarkEnd w:id="60"/>
      <w:r w:rsidRPr="007C60AF">
        <w:rPr>
          <w:rFonts w:eastAsia="Arial"/>
          <w:b/>
          <w:color w:val="4472C4"/>
          <w:sz w:val="36"/>
          <w:szCs w:val="36"/>
        </w:rPr>
        <w:lastRenderedPageBreak/>
        <w:t xml:space="preserve">SECTION K: </w:t>
      </w:r>
      <w:r w:rsidRPr="007C60AF">
        <w:rPr>
          <w:rFonts w:eastAsia="Arial"/>
          <w:b/>
          <w:color w:val="000000"/>
          <w:sz w:val="36"/>
          <w:szCs w:val="36"/>
        </w:rPr>
        <w:t>Checklist</w:t>
      </w:r>
    </w:p>
    <w:p w14:paraId="00000E18" w14:textId="77777777" w:rsidR="00416D85" w:rsidRPr="007C60AF" w:rsidRDefault="00130320">
      <w:pPr>
        <w:widowControl w:val="0"/>
        <w:pBdr>
          <w:top w:val="nil"/>
          <w:left w:val="nil"/>
          <w:bottom w:val="nil"/>
          <w:right w:val="nil"/>
          <w:between w:val="nil"/>
        </w:pBdr>
        <w:tabs>
          <w:tab w:val="left" w:pos="1701"/>
        </w:tabs>
        <w:spacing w:after="0" w:line="276" w:lineRule="auto"/>
        <w:jc w:val="both"/>
        <w:rPr>
          <w:b/>
          <w:color w:val="000000"/>
          <w:sz w:val="28"/>
          <w:szCs w:val="28"/>
        </w:rPr>
      </w:pPr>
      <w:r w:rsidRPr="007C60AF">
        <w:rPr>
          <w:b/>
          <w:color w:val="000000"/>
          <w:sz w:val="28"/>
          <w:szCs w:val="28"/>
        </w:rPr>
        <w:t>Important</w:t>
      </w:r>
    </w:p>
    <w:p w14:paraId="00000E1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Please ensure that you have completed this application fully and refer to any attached documents using the corresponding appendix reference.</w:t>
      </w:r>
    </w:p>
    <w:p w14:paraId="00000E1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Complete the checklist above, to demonstrate you have covered </w:t>
      </w:r>
      <w:proofErr w:type="gramStart"/>
      <w:r w:rsidRPr="007C60AF">
        <w:rPr>
          <w:rFonts w:eastAsia="Arial"/>
          <w:color w:val="000000"/>
        </w:rPr>
        <w:t>all of</w:t>
      </w:r>
      <w:proofErr w:type="gramEnd"/>
      <w:r w:rsidRPr="007C60AF">
        <w:rPr>
          <w:rFonts w:eastAsia="Arial"/>
          <w:color w:val="000000"/>
        </w:rPr>
        <w:t xml:space="preserve"> the points, and attach evidence to support your claims and calculations. </w:t>
      </w:r>
    </w:p>
    <w:p w14:paraId="00000E1B" w14:textId="77777777" w:rsidR="00416D85" w:rsidRPr="007C60AF" w:rsidRDefault="00130320">
      <w:pPr>
        <w:pBdr>
          <w:top w:val="nil"/>
          <w:left w:val="nil"/>
          <w:bottom w:val="nil"/>
          <w:right w:val="nil"/>
          <w:between w:val="nil"/>
        </w:pBdr>
        <w:spacing w:before="120" w:line="276" w:lineRule="auto"/>
        <w:jc w:val="both"/>
        <w:rPr>
          <w:rFonts w:eastAsia="Arial"/>
          <w:color w:val="000000"/>
          <w:sz w:val="22"/>
          <w:szCs w:val="22"/>
        </w:rPr>
      </w:pPr>
      <w:r w:rsidRPr="007C60AF">
        <w:rPr>
          <w:rFonts w:eastAsia="Arial"/>
          <w:color w:val="000000"/>
        </w:rPr>
        <w:t xml:space="preserve">Keep a copy of this application for your reference in case any queries arise when we are assessing the application. You will also need to refer to it if we initiate an investigation.  </w:t>
      </w:r>
    </w:p>
    <w:p w14:paraId="00000E1C" w14:textId="77777777" w:rsidR="00416D85" w:rsidRPr="007C60AF" w:rsidRDefault="00130320">
      <w:pPr>
        <w:ind w:left="1080"/>
        <w:jc w:val="both"/>
        <w:rPr>
          <w:b/>
        </w:rPr>
      </w:pPr>
      <w:r w:rsidRPr="007C60AF">
        <w:rPr>
          <w:sz w:val="28"/>
          <w:szCs w:val="28"/>
        </w:rPr>
        <w:t>X</w:t>
      </w:r>
      <w:r w:rsidRPr="007C60AF">
        <w:rPr>
          <w:b/>
          <w:sz w:val="28"/>
          <w:szCs w:val="28"/>
        </w:rPr>
        <w:t xml:space="preserve"> </w:t>
      </w:r>
      <w:r w:rsidRPr="007C60AF">
        <w:t>The details of the UK producers making the application and level of UK industry support for the application</w:t>
      </w:r>
    </w:p>
    <w:p w14:paraId="00000E1D" w14:textId="77777777" w:rsidR="00416D85" w:rsidRPr="007C60AF" w:rsidRDefault="00130320">
      <w:pPr>
        <w:ind w:left="1080"/>
        <w:jc w:val="both"/>
        <w:rPr>
          <w:b/>
        </w:rPr>
      </w:pPr>
      <w:r w:rsidRPr="007C60AF">
        <w:t xml:space="preserve">X The details of all known UK producers/associations of UK producers of like goods </w:t>
      </w:r>
    </w:p>
    <w:p w14:paraId="00000E1E" w14:textId="77777777" w:rsidR="00416D85" w:rsidRPr="007C60AF" w:rsidRDefault="00130320">
      <w:pPr>
        <w:ind w:left="1080"/>
        <w:jc w:val="both"/>
        <w:rPr>
          <w:b/>
        </w:rPr>
      </w:pPr>
      <w:r w:rsidRPr="007C60AF">
        <w:t>X The volume and value of the domestic production of the like goods both by producers making the application and all other known UK producers</w:t>
      </w:r>
    </w:p>
    <w:p w14:paraId="00000E1F" w14:textId="77777777" w:rsidR="00416D85" w:rsidRPr="007C60AF" w:rsidRDefault="00130320">
      <w:pPr>
        <w:ind w:left="1080"/>
        <w:jc w:val="both"/>
        <w:rPr>
          <w:b/>
        </w:rPr>
      </w:pPr>
      <w:r w:rsidRPr="007C60AF">
        <w:t xml:space="preserve">X  Information that the market share requirement is met </w:t>
      </w:r>
    </w:p>
    <w:p w14:paraId="00000E20" w14:textId="77777777" w:rsidR="00416D85" w:rsidRPr="007C60AF" w:rsidRDefault="00130320">
      <w:pPr>
        <w:ind w:left="1080"/>
        <w:jc w:val="both"/>
        <w:rPr>
          <w:b/>
        </w:rPr>
      </w:pPr>
      <w:r w:rsidRPr="007C60AF">
        <w:t>X A complete description of the imported</w:t>
      </w:r>
      <w:r w:rsidRPr="007C60AF">
        <w:rPr>
          <w:color w:val="000000"/>
        </w:rPr>
        <w:t xml:space="preserve"> </w:t>
      </w:r>
      <w:r w:rsidRPr="007C60AF">
        <w:t>goods</w:t>
      </w:r>
    </w:p>
    <w:p w14:paraId="00000E21" w14:textId="77777777" w:rsidR="00416D85" w:rsidRPr="007C60AF" w:rsidRDefault="00130320">
      <w:pPr>
        <w:ind w:left="1080"/>
        <w:jc w:val="both"/>
        <w:rPr>
          <w:b/>
        </w:rPr>
      </w:pPr>
      <w:r w:rsidRPr="007C60AF">
        <w:t>X The names of countries/territories of origin and export of the imported</w:t>
      </w:r>
      <w:r w:rsidRPr="007C60AF">
        <w:rPr>
          <w:color w:val="000000"/>
        </w:rPr>
        <w:t xml:space="preserve"> </w:t>
      </w:r>
      <w:r w:rsidRPr="007C60AF">
        <w:t>goods</w:t>
      </w:r>
    </w:p>
    <w:p w14:paraId="00000E22" w14:textId="77777777" w:rsidR="00416D85" w:rsidRPr="007C60AF" w:rsidRDefault="00130320">
      <w:pPr>
        <w:ind w:left="1080"/>
        <w:jc w:val="both"/>
        <w:rPr>
          <w:b/>
        </w:rPr>
      </w:pPr>
      <w:r w:rsidRPr="007C60AF">
        <w:t>X The details of the exporters or overseas producers of the imported goods</w:t>
      </w:r>
    </w:p>
    <w:p w14:paraId="00000E23" w14:textId="77777777" w:rsidR="00416D85" w:rsidRPr="007C60AF" w:rsidRDefault="00130320">
      <w:pPr>
        <w:ind w:left="1080"/>
        <w:jc w:val="both"/>
        <w:rPr>
          <w:b/>
        </w:rPr>
      </w:pPr>
      <w:r w:rsidRPr="007C60AF">
        <w:t>X The details of the companies or individuals known to be importing the goods</w:t>
      </w:r>
    </w:p>
    <w:p w14:paraId="00000E24" w14:textId="77777777" w:rsidR="00416D85" w:rsidRPr="007C60AF" w:rsidRDefault="00130320">
      <w:pPr>
        <w:ind w:left="1080"/>
        <w:jc w:val="both"/>
      </w:pPr>
      <w:r w:rsidRPr="007C60AF">
        <w:t xml:space="preserve">X Normal values of the goods </w:t>
      </w:r>
      <w:r w:rsidRPr="007C60AF">
        <w:rPr>
          <w:b/>
          <w:i/>
        </w:rPr>
        <w:t>Dumping applications only</w:t>
      </w:r>
    </w:p>
    <w:p w14:paraId="00000E25" w14:textId="77777777" w:rsidR="00416D85" w:rsidRPr="007C60AF" w:rsidRDefault="00130320">
      <w:pPr>
        <w:ind w:left="1080"/>
        <w:jc w:val="both"/>
        <w:rPr>
          <w:b/>
        </w:rPr>
      </w:pPr>
      <w:r w:rsidRPr="007C60AF">
        <w:t xml:space="preserve">X Export prices of the goods </w:t>
      </w:r>
      <w:r w:rsidRPr="007C60AF">
        <w:rPr>
          <w:b/>
          <w:i/>
        </w:rPr>
        <w:t>Dumping applications only</w:t>
      </w:r>
    </w:p>
    <w:p w14:paraId="00000E26" w14:textId="77777777" w:rsidR="00416D85" w:rsidRPr="007C60AF" w:rsidRDefault="00130320">
      <w:pPr>
        <w:ind w:left="1080"/>
        <w:jc w:val="both"/>
      </w:pPr>
      <w:r w:rsidRPr="007C60AF">
        <w:t xml:space="preserve">X Details of subsidy programmes associated with the imported goods </w:t>
      </w:r>
      <w:r w:rsidRPr="007C60AF">
        <w:rPr>
          <w:b/>
          <w:i/>
        </w:rPr>
        <w:t>Subsidy applications only</w:t>
      </w:r>
    </w:p>
    <w:p w14:paraId="00000E27" w14:textId="77777777" w:rsidR="00416D85" w:rsidRPr="007C60AF" w:rsidRDefault="00130320">
      <w:pPr>
        <w:ind w:left="1080"/>
        <w:jc w:val="both"/>
        <w:rPr>
          <w:b/>
        </w:rPr>
      </w:pPr>
      <w:r w:rsidRPr="007C60AF">
        <w:t xml:space="preserve">X The amount of countervailable subsidy attributable to the alleged subsidised goods imported into the UK </w:t>
      </w:r>
      <w:r w:rsidRPr="007C60AF">
        <w:rPr>
          <w:b/>
          <w:i/>
        </w:rPr>
        <w:t>Subsidy applications only</w:t>
      </w:r>
    </w:p>
    <w:p w14:paraId="00000E28" w14:textId="77777777" w:rsidR="00416D85" w:rsidRPr="007C60AF" w:rsidRDefault="00130320">
      <w:pPr>
        <w:ind w:left="1080"/>
        <w:jc w:val="both"/>
        <w:rPr>
          <w:b/>
        </w:rPr>
      </w:pPr>
      <w:r w:rsidRPr="007C60AF">
        <w:t>X Changes in import volumes of the</w:t>
      </w:r>
      <w:r w:rsidRPr="007C60AF">
        <w:rPr>
          <w:color w:val="000000"/>
        </w:rPr>
        <w:t xml:space="preserve"> </w:t>
      </w:r>
      <w:r w:rsidRPr="007C60AF">
        <w:t>goods</w:t>
      </w:r>
    </w:p>
    <w:p w14:paraId="00000E29" w14:textId="77777777" w:rsidR="00416D85" w:rsidRPr="007C60AF" w:rsidRDefault="00130320">
      <w:pPr>
        <w:ind w:left="1080"/>
        <w:jc w:val="both"/>
        <w:rPr>
          <w:b/>
        </w:rPr>
      </w:pPr>
      <w:r w:rsidRPr="007C60AF">
        <w:t>X Effects of the imported goods on prices of like goods produced in the UK</w:t>
      </w:r>
    </w:p>
    <w:p w14:paraId="00000E2A" w14:textId="77777777" w:rsidR="00416D85" w:rsidRDefault="00130320">
      <w:pPr>
        <w:ind w:left="1080"/>
        <w:jc w:val="both"/>
        <w:rPr>
          <w:b/>
        </w:rPr>
      </w:pPr>
      <w:r w:rsidRPr="007C60AF">
        <w:t>X Impact of the imports have caused to the UK industry</w:t>
      </w:r>
    </w:p>
    <w:sectPr w:rsidR="00416D85">
      <w:headerReference w:type="default" r:id="rId48"/>
      <w:footerReference w:type="default" r:id="rId4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4A6BA" w14:textId="77777777" w:rsidR="001F555C" w:rsidRDefault="001F555C">
      <w:pPr>
        <w:spacing w:after="0" w:line="240" w:lineRule="auto"/>
      </w:pPr>
      <w:r>
        <w:separator/>
      </w:r>
    </w:p>
  </w:endnote>
  <w:endnote w:type="continuationSeparator" w:id="0">
    <w:p w14:paraId="0370B890" w14:textId="77777777" w:rsidR="001F555C" w:rsidRDefault="001F555C">
      <w:pPr>
        <w:spacing w:after="0" w:line="240" w:lineRule="auto"/>
      </w:pPr>
      <w:r>
        <w:continuationSeparator/>
      </w:r>
    </w:p>
  </w:endnote>
  <w:endnote w:type="continuationNotice" w:id="1">
    <w:p w14:paraId="4250253C" w14:textId="77777777" w:rsidR="001F555C" w:rsidRDefault="001F55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9BC17F7-944D-4DC7-8AB9-DDE6D4E60AE9}"/>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2" w:fontKey="{20204DB3-90CE-465F-9E16-BBE9C4985EF7}"/>
    <w:embedItalic r:id="rId3" w:fontKey="{0A2BBE0A-2D5D-487B-B141-82296CE51655}"/>
  </w:font>
  <w:font w:name="Segoe UI">
    <w:panose1 w:val="020B0502040204020203"/>
    <w:charset w:val="00"/>
    <w:family w:val="swiss"/>
    <w:pitch w:val="variable"/>
    <w:sig w:usb0="E4002EFF" w:usb1="C000E47F" w:usb2="00000009" w:usb3="00000000" w:csb0="000001FF" w:csb1="00000000"/>
    <w:embedRegular r:id="rId4" w:fontKey="{DE194845-F16F-4C69-B867-6699648E7600}"/>
  </w:font>
  <w:font w:name="Calibri">
    <w:panose1 w:val="020F0502020204030204"/>
    <w:charset w:val="00"/>
    <w:family w:val="swiss"/>
    <w:pitch w:val="variable"/>
    <w:sig w:usb0="E4002EFF" w:usb1="C000247B" w:usb2="00000009" w:usb3="00000000" w:csb0="000001FF" w:csb1="00000000"/>
    <w:embedRegular r:id="rId5" w:fontKey="{B211E09B-B308-4D25-8A05-6461F12A2211}"/>
    <w:embedBold r:id="rId6" w:fontKey="{DCE0A5FA-26FA-4F50-8B47-BDFE41C4AE7A}"/>
  </w:font>
  <w:font w:name="Calibri Light">
    <w:panose1 w:val="020F0302020204030204"/>
    <w:charset w:val="00"/>
    <w:family w:val="swiss"/>
    <w:pitch w:val="variable"/>
    <w:sig w:usb0="E4002EFF" w:usb1="C000247B" w:usb2="00000009" w:usb3="00000000" w:csb0="000001FF" w:csb1="00000000"/>
    <w:embedRegular r:id="rId7" w:fontKey="{2271CAB5-23AD-4495-A4A5-E281BB9D7200}"/>
  </w:font>
  <w:font w:name="Cambria">
    <w:panose1 w:val="02040503050406030204"/>
    <w:charset w:val="00"/>
    <w:family w:val="roman"/>
    <w:pitch w:val="variable"/>
    <w:sig w:usb0="E00006FF" w:usb1="420024FF" w:usb2="02000000" w:usb3="00000000" w:csb0="0000019F" w:csb1="00000000"/>
    <w:embedRegular r:id="rId8" w:fontKey="{F5FFFC83-2069-4F7C-A5ED-5E0D344FDEA8}"/>
  </w:font>
  <w:font w:name="MS Gothic">
    <w:altName w:val="ＭＳ ゴシック"/>
    <w:panose1 w:val="020B0609070205080204"/>
    <w:charset w:val="80"/>
    <w:family w:val="modern"/>
    <w:pitch w:val="fixed"/>
    <w:sig w:usb0="E00002FF" w:usb1="6AC7FDFB" w:usb2="08000012" w:usb3="00000000" w:csb0="0002009F" w:csb1="00000000"/>
    <w:embedBold r:id="rId9" w:subsetted="1" w:fontKey="{6A1271BE-ACBE-487F-B4D9-9DE7DDDB257E}"/>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10" w:fontKey="{E7BB1BEF-B024-4401-8E40-7ABD37BF3893}"/>
    <w:embedBold r:id="rId11" w:fontKey="{B1AE7AC1-AF49-4955-93FD-8CEA6A9CE421}"/>
  </w:font>
  <w:font w:name="Cambria Math">
    <w:panose1 w:val="02040503050406030204"/>
    <w:charset w:val="00"/>
    <w:family w:val="roman"/>
    <w:pitch w:val="variable"/>
    <w:sig w:usb0="E00006FF" w:usb1="420024FF" w:usb2="02000000" w:usb3="00000000" w:csb0="0000019F" w:csb1="00000000"/>
    <w:embedRegular r:id="rId12" w:fontKey="{BF35E4B8-968D-4C88-98BE-3182AFFD9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E1" w14:textId="43F02DFF" w:rsidR="00416D85" w:rsidRDefault="00130320">
    <w:pPr>
      <w:pBdr>
        <w:top w:val="nil"/>
        <w:left w:val="nil"/>
        <w:bottom w:val="nil"/>
        <w:right w:val="nil"/>
        <w:between w:val="nil"/>
      </w:pBdr>
      <w:tabs>
        <w:tab w:val="center" w:pos="4513"/>
        <w:tab w:val="right" w:pos="9026"/>
      </w:tabs>
      <w:spacing w:after="0" w:line="240" w:lineRule="auto"/>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sidR="003C4A7C">
      <w:rPr>
        <w:rFonts w:eastAsia="Arial"/>
        <w:noProof/>
        <w:color w:val="000000"/>
      </w:rPr>
      <w:t>1</w:t>
    </w:r>
    <w:r>
      <w:rPr>
        <w:rFonts w:eastAsia="Arial"/>
        <w:color w:val="000000"/>
      </w:rPr>
      <w:fldChar w:fldCharType="end"/>
    </w:r>
  </w:p>
  <w:p w14:paraId="00000EE2" w14:textId="77777777" w:rsidR="00416D85" w:rsidRDefault="00416D8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DBCFA" w14:textId="77777777" w:rsidR="001F555C" w:rsidRDefault="001F555C">
      <w:pPr>
        <w:spacing w:after="0" w:line="240" w:lineRule="auto"/>
      </w:pPr>
      <w:r>
        <w:separator/>
      </w:r>
    </w:p>
  </w:footnote>
  <w:footnote w:type="continuationSeparator" w:id="0">
    <w:p w14:paraId="6438D45B" w14:textId="77777777" w:rsidR="001F555C" w:rsidRDefault="001F555C">
      <w:pPr>
        <w:spacing w:after="0" w:line="240" w:lineRule="auto"/>
      </w:pPr>
      <w:r>
        <w:continuationSeparator/>
      </w:r>
    </w:p>
  </w:footnote>
  <w:footnote w:type="continuationNotice" w:id="1">
    <w:p w14:paraId="3743FC18" w14:textId="77777777" w:rsidR="001F555C" w:rsidRDefault="001F555C">
      <w:pPr>
        <w:spacing w:after="0" w:line="240" w:lineRule="auto"/>
      </w:pPr>
    </w:p>
  </w:footnote>
  <w:footnote w:id="2">
    <w:p w14:paraId="00000E2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Trade Remedies Authority, </w:t>
      </w:r>
      <w:r>
        <w:rPr>
          <w:rFonts w:eastAsia="Arial"/>
          <w:i/>
          <w:color w:val="4472C4"/>
          <w:sz w:val="20"/>
          <w:szCs w:val="20"/>
        </w:rPr>
        <w:t>TD0004 - Biodiesel from United States and Canada</w:t>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G, paras 305-306, available: </w:t>
      </w:r>
      <w:hyperlink r:id="rId1">
        <w:r>
          <w:rPr>
            <w:rFonts w:eastAsia="Arial"/>
            <w:color w:val="4472C4"/>
            <w:sz w:val="20"/>
            <w:szCs w:val="20"/>
            <w:u w:val="single"/>
          </w:rPr>
          <w:t>here</w:t>
        </w:r>
      </w:hyperlink>
      <w:r>
        <w:rPr>
          <w:rFonts w:eastAsia="Arial"/>
          <w:color w:val="4472C4"/>
          <w:sz w:val="20"/>
          <w:szCs w:val="20"/>
        </w:rPr>
        <w:t xml:space="preserve">; and Trade Remedies Authority, </w:t>
      </w:r>
      <w:r>
        <w:rPr>
          <w:rFonts w:eastAsia="Arial"/>
          <w:i/>
          <w:color w:val="4472C4"/>
          <w:sz w:val="20"/>
          <w:szCs w:val="20"/>
        </w:rPr>
        <w:t xml:space="preserve">TS0005 - Biodiesel from United States and Canada </w:t>
      </w:r>
      <w:r>
        <w:rPr>
          <w:rFonts w:eastAsia="Arial"/>
          <w:color w:val="4472C4"/>
          <w:sz w:val="20"/>
          <w:szCs w:val="20"/>
        </w:rPr>
        <w:t>(</w:t>
      </w:r>
      <w:r>
        <w:rPr>
          <w:rFonts w:eastAsia="Arial"/>
          <w:i/>
          <w:color w:val="4472C4"/>
          <w:sz w:val="20"/>
          <w:szCs w:val="20"/>
        </w:rPr>
        <w:t>TS0005</w:t>
      </w:r>
      <w:r>
        <w:rPr>
          <w:rFonts w:eastAsia="Arial"/>
          <w:color w:val="4472C4"/>
          <w:sz w:val="20"/>
          <w:szCs w:val="20"/>
        </w:rPr>
        <w:t>)</w:t>
      </w:r>
      <w:r>
        <w:rPr>
          <w:rFonts w:eastAsia="Arial"/>
          <w:i/>
          <w:color w:val="4472C4"/>
          <w:sz w:val="20"/>
          <w:szCs w:val="20"/>
        </w:rPr>
        <w:t>,</w:t>
      </w:r>
      <w:r>
        <w:rPr>
          <w:rFonts w:eastAsia="Arial"/>
          <w:color w:val="4472C4"/>
          <w:sz w:val="20"/>
          <w:szCs w:val="20"/>
        </w:rPr>
        <w:t xml:space="preserve"> Final Determination, Section G, paras 271-272, available: </w:t>
      </w:r>
      <w:hyperlink r:id="rId2">
        <w:r>
          <w:rPr>
            <w:rFonts w:eastAsia="Arial"/>
            <w:color w:val="4472C4"/>
            <w:sz w:val="20"/>
            <w:szCs w:val="20"/>
            <w:u w:val="single"/>
          </w:rPr>
          <w:t>here</w:t>
        </w:r>
      </w:hyperlink>
      <w:r>
        <w:rPr>
          <w:rFonts w:eastAsia="Arial"/>
          <w:color w:val="4472C4"/>
          <w:sz w:val="20"/>
          <w:szCs w:val="20"/>
        </w:rPr>
        <w:t>.</w:t>
      </w:r>
    </w:p>
  </w:footnote>
  <w:footnote w:id="3">
    <w:p w14:paraId="00000E2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Council Implementing Regulation (EU) No 444/2011 of 5 May 2011 extending the definitive anti-dumping duty imposed by Regulation (EC) No 599/2009 on imports of biodiesel originating in the United States of America to imports of biodiesel consigned from Canada, whether declared as originating in Canada or not, and extending the definitive anti-dumping duty imposed by Regulation (EC) No 599/2009 to imports of biodiesel in a blend containing by weight 20 % or less of biodiesel originating in the United States of America, and terminating the investigation in respect of imports consigned from Singapore, OJ L 122, 11.5.2011, available: </w:t>
      </w:r>
      <w:hyperlink r:id="rId3">
        <w:r>
          <w:rPr>
            <w:rFonts w:eastAsia="Arial"/>
            <w:color w:val="4472C4"/>
            <w:sz w:val="20"/>
            <w:szCs w:val="20"/>
            <w:u w:val="single"/>
          </w:rPr>
          <w:t>here</w:t>
        </w:r>
      </w:hyperlink>
      <w:r>
        <w:rPr>
          <w:rFonts w:eastAsia="Arial"/>
          <w:color w:val="4472C4"/>
          <w:sz w:val="20"/>
          <w:szCs w:val="20"/>
        </w:rPr>
        <w:t xml:space="preserve">; and Council Implementing Regulation (EU) No 443/2011 of 5 May 2011 extending the definitive countervailing duty imposed by Regulation (EC) No 598/2009 on imports of biodiesel originating in the United States of America to imports of biodiesel consigned from Canada, whether declared as originating in Canada or not, and extending the definitive countervailing duty imposed by Regulation (EC) No 598/2009 to imports of biodiesel in a blend containing by weight 20 % or less of biodiesel originating in the United States of America, and terminating the investigation in respect of imports consigned from Singapore, OJ L 122, 11.5.2011, available: </w:t>
      </w:r>
      <w:hyperlink r:id="rId4">
        <w:r>
          <w:rPr>
            <w:rFonts w:eastAsia="Arial"/>
            <w:color w:val="4472C4"/>
            <w:sz w:val="20"/>
            <w:szCs w:val="20"/>
            <w:u w:val="single"/>
          </w:rPr>
          <w:t>here</w:t>
        </w:r>
      </w:hyperlink>
      <w:r>
        <w:rPr>
          <w:rFonts w:eastAsia="Arial"/>
          <w:color w:val="4472C4"/>
          <w:sz w:val="20"/>
          <w:szCs w:val="20"/>
        </w:rPr>
        <w:t>.</w:t>
      </w:r>
    </w:p>
  </w:footnote>
  <w:footnote w:id="4">
    <w:p w14:paraId="00000E2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Council Regulation (EC) No 599/2009 of 7 July 2009 imposing a definitive anti-dumping duty and collecting definitively the provisional duty imposed on imports of biodiesel originating in the United States of America, OJ L 179, 10.7.2009 (</w:t>
      </w:r>
      <w:r>
        <w:rPr>
          <w:rFonts w:eastAsia="Arial"/>
          <w:i/>
          <w:color w:val="4472C4"/>
          <w:sz w:val="20"/>
          <w:szCs w:val="20"/>
        </w:rPr>
        <w:t>Council Regulation (EC) No 599/2009</w:t>
      </w:r>
      <w:r>
        <w:rPr>
          <w:rFonts w:eastAsia="Arial"/>
          <w:color w:val="4472C4"/>
          <w:sz w:val="20"/>
          <w:szCs w:val="20"/>
        </w:rPr>
        <w:t xml:space="preserve">), available: </w:t>
      </w:r>
      <w:hyperlink r:id="rId5">
        <w:r>
          <w:rPr>
            <w:rFonts w:eastAsia="Arial"/>
            <w:color w:val="4472C4"/>
            <w:sz w:val="20"/>
            <w:szCs w:val="20"/>
            <w:u w:val="single"/>
          </w:rPr>
          <w:t>here</w:t>
        </w:r>
      </w:hyperlink>
      <w:r>
        <w:rPr>
          <w:rFonts w:eastAsia="Arial"/>
          <w:color w:val="4472C4"/>
          <w:sz w:val="20"/>
          <w:szCs w:val="20"/>
        </w:rPr>
        <w:t>. Council Regulation (EC) No 598/2009 of 7 July 2009 imposing a definitive countervailing duty and collecting definitively the provisional duty imposed on imports of biodiesel originating in the United States of America, OJ L 179, 10.7.2009 (</w:t>
      </w:r>
      <w:r>
        <w:rPr>
          <w:rFonts w:eastAsia="Arial"/>
          <w:i/>
          <w:color w:val="4472C4"/>
          <w:sz w:val="20"/>
          <w:szCs w:val="20"/>
        </w:rPr>
        <w:t>Council Regulation (EC) No 598/2009</w:t>
      </w:r>
      <w:r>
        <w:rPr>
          <w:rFonts w:eastAsia="Arial"/>
          <w:color w:val="4472C4"/>
          <w:sz w:val="20"/>
          <w:szCs w:val="20"/>
        </w:rPr>
        <w:t xml:space="preserve">), available: </w:t>
      </w:r>
      <w:hyperlink r:id="rId6">
        <w:r>
          <w:rPr>
            <w:rFonts w:eastAsia="Arial"/>
            <w:color w:val="4472C4"/>
            <w:sz w:val="20"/>
            <w:szCs w:val="20"/>
            <w:u w:val="single"/>
          </w:rPr>
          <w:t>here</w:t>
        </w:r>
      </w:hyperlink>
      <w:r>
        <w:rPr>
          <w:rFonts w:eastAsia="Arial"/>
          <w:color w:val="4472C4"/>
          <w:sz w:val="20"/>
          <w:szCs w:val="20"/>
        </w:rPr>
        <w:t>.</w:t>
      </w:r>
    </w:p>
  </w:footnote>
  <w:footnote w:id="5">
    <w:p w14:paraId="00000E2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2021/1266 of 29 July 2021 imposing a definitive anti-dumping duty on imports of biodiesel originating in the United States of America following an expiry review pursuant to Article 11(2) of Regulation (EU) 2016/1036 of the European Parliament and of the Council, OJ L 277, 2.8.2021 (</w:t>
      </w:r>
      <w:r>
        <w:rPr>
          <w:rFonts w:eastAsia="Arial"/>
          <w:i/>
          <w:color w:val="4472C4"/>
          <w:sz w:val="20"/>
          <w:szCs w:val="20"/>
        </w:rPr>
        <w:t>Commission Implementing Regulation (EU) 2021/1266</w:t>
      </w:r>
      <w:r>
        <w:rPr>
          <w:rFonts w:eastAsia="Arial"/>
          <w:color w:val="4472C4"/>
          <w:sz w:val="20"/>
          <w:szCs w:val="20"/>
        </w:rPr>
        <w:t xml:space="preserve">), available: </w:t>
      </w:r>
      <w:hyperlink r:id="rId7">
        <w:r>
          <w:rPr>
            <w:rFonts w:eastAsia="Arial"/>
            <w:color w:val="4472C4"/>
            <w:sz w:val="20"/>
            <w:szCs w:val="20"/>
            <w:u w:val="single"/>
          </w:rPr>
          <w:t>here</w:t>
        </w:r>
      </w:hyperlink>
      <w:r>
        <w:rPr>
          <w:rFonts w:eastAsia="Arial"/>
          <w:color w:val="4472C4"/>
          <w:sz w:val="20"/>
          <w:szCs w:val="20"/>
        </w:rPr>
        <w:t>. Commission Implementing Regulation (EU) 2021/1267 of 29 July 2021 imposing definitive countervailing duties on imports of biodiesel originating in the United States of America following an expiry review pursuant to Article 18 of Regulation (EU) 2016/1037 of the European Parliament and of the Council, OJ L 277, 2.8.2021 (</w:t>
      </w:r>
      <w:r>
        <w:rPr>
          <w:rFonts w:eastAsia="Arial"/>
          <w:i/>
          <w:color w:val="4472C4"/>
          <w:sz w:val="20"/>
          <w:szCs w:val="20"/>
        </w:rPr>
        <w:t>Commission Implementing Regulation (EU) 2021/1267</w:t>
      </w:r>
      <w:r>
        <w:rPr>
          <w:rFonts w:eastAsia="Arial"/>
          <w:color w:val="4472C4"/>
          <w:sz w:val="20"/>
          <w:szCs w:val="20"/>
        </w:rPr>
        <w:t xml:space="preserve">), available: </w:t>
      </w:r>
      <w:hyperlink r:id="rId8">
        <w:r>
          <w:rPr>
            <w:rFonts w:eastAsia="Arial"/>
            <w:color w:val="4472C4"/>
            <w:sz w:val="20"/>
            <w:szCs w:val="20"/>
            <w:u w:val="single"/>
          </w:rPr>
          <w:t>here</w:t>
        </w:r>
      </w:hyperlink>
      <w:r>
        <w:rPr>
          <w:rFonts w:eastAsia="Arial"/>
          <w:color w:val="4472C4"/>
          <w:sz w:val="20"/>
          <w:szCs w:val="20"/>
        </w:rPr>
        <w:t xml:space="preserve">.  </w:t>
      </w:r>
    </w:p>
    <w:bookmarkStart w:id="5" w:name="_heading=h.9054szhjwuhx" w:colFirst="0" w:colLast="0"/>
    <w:bookmarkEnd w:id="5"/>
  </w:footnote>
  <w:footnote w:id="6">
    <w:p w14:paraId="00000E2F"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bookmarkStart w:id="6" w:name="_heading=h.9054szhjwuhx" w:colFirst="0" w:colLast="0"/>
      <w:bookmarkEnd w:id="6"/>
      <w:r>
        <w:rPr>
          <w:rStyle w:val="FootnoteReference"/>
        </w:rPr>
        <w:footnoteRef/>
      </w:r>
      <w:r>
        <w:rPr>
          <w:rFonts w:eastAsia="Arial"/>
          <w:color w:val="4472C4"/>
          <w:sz w:val="20"/>
          <w:szCs w:val="20"/>
        </w:rPr>
        <w:t xml:space="preserve"> </w:t>
      </w:r>
      <w:r>
        <w:rPr>
          <w:rFonts w:eastAsia="Arial"/>
          <w:i/>
          <w:color w:val="4472C4"/>
          <w:sz w:val="20"/>
          <w:szCs w:val="20"/>
        </w:rPr>
        <w:t xml:space="preserve">TD0004 </w:t>
      </w:r>
      <w:r>
        <w:rPr>
          <w:rFonts w:eastAsia="Arial"/>
          <w:color w:val="4472C4"/>
          <w:sz w:val="20"/>
          <w:szCs w:val="20"/>
        </w:rPr>
        <w:t xml:space="preserve">and </w:t>
      </w:r>
      <w:r>
        <w:rPr>
          <w:rFonts w:eastAsia="Arial"/>
          <w:i/>
          <w:color w:val="4472C4"/>
          <w:sz w:val="20"/>
          <w:szCs w:val="20"/>
        </w:rPr>
        <w:t xml:space="preserve">TS0005, </w:t>
      </w:r>
      <w:r>
        <w:rPr>
          <w:rFonts w:eastAsia="Arial"/>
          <w:color w:val="4472C4"/>
          <w:sz w:val="20"/>
          <w:szCs w:val="20"/>
        </w:rPr>
        <w:t xml:space="preserve">more information available: </w:t>
      </w:r>
      <w:hyperlink r:id="rId9">
        <w:r>
          <w:rPr>
            <w:rFonts w:eastAsia="Arial"/>
            <w:color w:val="4472C4"/>
            <w:sz w:val="20"/>
            <w:szCs w:val="20"/>
            <w:u w:val="single"/>
          </w:rPr>
          <w:t>here</w:t>
        </w:r>
      </w:hyperlink>
      <w:r>
        <w:rPr>
          <w:rFonts w:eastAsia="Arial"/>
          <w:color w:val="4472C4"/>
          <w:sz w:val="20"/>
          <w:szCs w:val="20"/>
        </w:rPr>
        <w:t xml:space="preserve"> and </w:t>
      </w:r>
      <w:hyperlink r:id="rId10">
        <w:r>
          <w:rPr>
            <w:rFonts w:eastAsia="Arial"/>
            <w:color w:val="4472C4"/>
            <w:sz w:val="20"/>
            <w:szCs w:val="20"/>
            <w:u w:val="single"/>
          </w:rPr>
          <w:t>here</w:t>
        </w:r>
      </w:hyperlink>
      <w:r>
        <w:rPr>
          <w:rFonts w:eastAsia="Arial"/>
          <w:color w:val="4472C4"/>
          <w:sz w:val="20"/>
          <w:szCs w:val="20"/>
        </w:rPr>
        <w:t>.</w:t>
      </w:r>
    </w:p>
  </w:footnote>
  <w:footnote w:id="7">
    <w:p w14:paraId="00000E3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Global Trade Alert, 'Peru: Extension of definitive antidumping duty on imports of biodiesel from the United States of America', available: </w:t>
      </w:r>
      <w:hyperlink r:id="rId11">
        <w:r>
          <w:rPr>
            <w:rFonts w:eastAsia="Arial"/>
            <w:color w:val="4472C4"/>
            <w:sz w:val="20"/>
            <w:szCs w:val="20"/>
            <w:u w:val="single"/>
          </w:rPr>
          <w:t>here</w:t>
        </w:r>
      </w:hyperlink>
      <w:r>
        <w:rPr>
          <w:rFonts w:eastAsia="Arial"/>
          <w:color w:val="4472C4"/>
          <w:sz w:val="20"/>
          <w:szCs w:val="20"/>
        </w:rPr>
        <w:t xml:space="preserve">. Global Trade Alert, 'Peru: Extension of definitive countervailing duty on imports of biodiesel from the United States of America', available: </w:t>
      </w:r>
      <w:hyperlink r:id="rId12">
        <w:r>
          <w:rPr>
            <w:rFonts w:eastAsia="Arial"/>
            <w:color w:val="4472C4"/>
            <w:sz w:val="20"/>
            <w:szCs w:val="20"/>
            <w:u w:val="single"/>
          </w:rPr>
          <w:t>here</w:t>
        </w:r>
      </w:hyperlink>
      <w:r>
        <w:rPr>
          <w:rFonts w:eastAsia="Arial"/>
          <w:color w:val="4472C4"/>
          <w:sz w:val="20"/>
          <w:szCs w:val="20"/>
        </w:rPr>
        <w:t xml:space="preserve">. </w:t>
      </w:r>
    </w:p>
  </w:footnote>
  <w:footnote w:id="8">
    <w:p w14:paraId="00000E3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Notice of initiation of an anti-dumping proceeding concerning imports of biodiesel originating in the People’s Republic of China, OJ C 1574, 20.12.2023, available: </w:t>
      </w:r>
      <w:hyperlink r:id="rId13">
        <w:r>
          <w:rPr>
            <w:rFonts w:eastAsia="Arial"/>
            <w:color w:val="4472C4"/>
            <w:sz w:val="20"/>
            <w:szCs w:val="20"/>
            <w:u w:val="single"/>
          </w:rPr>
          <w:t>here.</w:t>
        </w:r>
      </w:hyperlink>
      <w:r>
        <w:rPr>
          <w:rFonts w:eastAsia="Arial"/>
          <w:color w:val="4472C4"/>
          <w:sz w:val="20"/>
          <w:szCs w:val="20"/>
        </w:rPr>
        <w:t xml:space="preserve"> </w:t>
      </w:r>
    </w:p>
  </w:footnote>
  <w:footnote w:id="9">
    <w:p w14:paraId="00000E3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Trade Remedies Authority, </w:t>
      </w:r>
      <w:r>
        <w:rPr>
          <w:rFonts w:eastAsia="Arial"/>
          <w:i/>
          <w:color w:val="4472C4"/>
          <w:sz w:val="20"/>
          <w:szCs w:val="20"/>
        </w:rPr>
        <w:t>AD0058 - Biodiesel from China</w:t>
      </w:r>
      <w:r>
        <w:rPr>
          <w:rFonts w:eastAsia="Arial"/>
          <w:color w:val="4472C4"/>
          <w:sz w:val="20"/>
          <w:szCs w:val="20"/>
        </w:rPr>
        <w:t xml:space="preserve">, Notice of Initiation (5 June 2024), available: </w:t>
      </w:r>
      <w:hyperlink r:id="rId14">
        <w:r>
          <w:rPr>
            <w:rFonts w:eastAsia="Arial"/>
            <w:color w:val="4472C4"/>
            <w:sz w:val="20"/>
            <w:szCs w:val="20"/>
            <w:u w:val="single"/>
          </w:rPr>
          <w:t>here</w:t>
        </w:r>
      </w:hyperlink>
      <w:r>
        <w:rPr>
          <w:rFonts w:eastAsia="Arial"/>
          <w:color w:val="4472C4"/>
          <w:sz w:val="20"/>
          <w:szCs w:val="20"/>
        </w:rPr>
        <w:t>.</w:t>
      </w:r>
    </w:p>
  </w:footnote>
  <w:footnote w:id="10">
    <w:p w14:paraId="00000E3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Resolution 0188-2022/SDC-INDECOPI (Peru) (21 December 21 2022), see reference: </w:t>
      </w:r>
      <w:hyperlink r:id="rId15">
        <w:r>
          <w:rPr>
            <w:rFonts w:eastAsia="Arial"/>
            <w:color w:val="4472C4"/>
            <w:sz w:val="20"/>
            <w:szCs w:val="20"/>
            <w:u w:val="single"/>
          </w:rPr>
          <w:t xml:space="preserve">here. </w:t>
        </w:r>
      </w:hyperlink>
      <w:r>
        <w:rPr>
          <w:rFonts w:eastAsia="Arial"/>
          <w:color w:val="4472C4"/>
          <w:sz w:val="20"/>
          <w:szCs w:val="20"/>
        </w:rPr>
        <w:t xml:space="preserve">  </w:t>
      </w:r>
    </w:p>
  </w:footnote>
  <w:footnote w:id="11">
    <w:p w14:paraId="00000E3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Trade Remedies Authority, </w:t>
      </w:r>
      <w:r>
        <w:rPr>
          <w:rFonts w:eastAsia="Arial"/>
          <w:i/>
          <w:color w:val="4472C4"/>
          <w:sz w:val="20"/>
          <w:szCs w:val="20"/>
        </w:rPr>
        <w:t>TS0044 - Biodiesel from Argentina</w:t>
      </w:r>
      <w:r>
        <w:rPr>
          <w:rFonts w:eastAsia="Arial"/>
          <w:color w:val="4472C4"/>
          <w:sz w:val="20"/>
          <w:szCs w:val="20"/>
        </w:rPr>
        <w:t xml:space="preserve">, available: </w:t>
      </w:r>
      <w:hyperlink r:id="rId16">
        <w:r>
          <w:rPr>
            <w:rFonts w:eastAsia="Arial"/>
            <w:color w:val="4472C4"/>
            <w:sz w:val="20"/>
            <w:szCs w:val="20"/>
            <w:u w:val="single"/>
          </w:rPr>
          <w:t>here</w:t>
        </w:r>
      </w:hyperlink>
      <w:r>
        <w:rPr>
          <w:rFonts w:eastAsia="Arial"/>
          <w:color w:val="4472C4"/>
          <w:sz w:val="20"/>
          <w:szCs w:val="20"/>
        </w:rPr>
        <w:t xml:space="preserve">. </w:t>
      </w:r>
    </w:p>
  </w:footnote>
  <w:footnote w:id="12">
    <w:p w14:paraId="00000E3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2019/244 of 11 February 2019 imposing a definitive countervailing duty on imports of biodiesel originating in Argentina, OJ L 040, 12.2.2019, available: </w:t>
      </w:r>
      <w:hyperlink r:id="rId17">
        <w:r>
          <w:rPr>
            <w:rFonts w:eastAsia="Arial"/>
            <w:color w:val="4472C4"/>
            <w:sz w:val="20"/>
            <w:szCs w:val="20"/>
            <w:u w:val="single"/>
          </w:rPr>
          <w:t>here</w:t>
        </w:r>
      </w:hyperlink>
      <w:r>
        <w:rPr>
          <w:rFonts w:eastAsia="Arial"/>
          <w:color w:val="4472C4"/>
          <w:sz w:val="20"/>
          <w:szCs w:val="20"/>
        </w:rPr>
        <w:t xml:space="preserve">.  </w:t>
      </w:r>
    </w:p>
  </w:footnote>
  <w:footnote w:id="13">
    <w:p w14:paraId="00000E3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Biodiesel from Argentina and Indonesia; Inv. No. 701-TA-571-572 and 731-TA-1347-1348 (Review), US International Trade Commission, available: </w:t>
      </w:r>
      <w:hyperlink r:id="rId18">
        <w:r>
          <w:rPr>
            <w:rFonts w:eastAsia="Arial"/>
            <w:color w:val="4472C4"/>
            <w:sz w:val="20"/>
            <w:szCs w:val="20"/>
            <w:u w:val="single"/>
          </w:rPr>
          <w:t>here</w:t>
        </w:r>
      </w:hyperlink>
      <w:r>
        <w:rPr>
          <w:rFonts w:eastAsia="Arial"/>
          <w:color w:val="4472C4"/>
          <w:sz w:val="20"/>
          <w:szCs w:val="20"/>
        </w:rPr>
        <w:t xml:space="preserve">. Federal Register 88, no. 115 (15 June 2023) 39223, available: </w:t>
      </w:r>
      <w:hyperlink r:id="rId19">
        <w:r>
          <w:rPr>
            <w:rFonts w:eastAsia="Arial"/>
            <w:color w:val="4472C4"/>
            <w:sz w:val="20"/>
            <w:szCs w:val="20"/>
            <w:u w:val="single"/>
          </w:rPr>
          <w:t>here</w:t>
        </w:r>
      </w:hyperlink>
      <w:r>
        <w:rPr>
          <w:rFonts w:eastAsia="Arial"/>
          <w:color w:val="4472C4"/>
          <w:sz w:val="20"/>
          <w:szCs w:val="20"/>
        </w:rPr>
        <w:t>.</w:t>
      </w:r>
    </w:p>
  </w:footnote>
  <w:footnote w:id="14">
    <w:p w14:paraId="00000E3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Resolution 0189-2022/SDC-INDECOPI (Peru) (21 December 21 2022), see reference: </w:t>
      </w:r>
      <w:hyperlink r:id="rId20">
        <w:r>
          <w:rPr>
            <w:rFonts w:eastAsia="Arial"/>
            <w:color w:val="4472C4"/>
            <w:sz w:val="20"/>
            <w:szCs w:val="20"/>
            <w:u w:val="single"/>
          </w:rPr>
          <w:t>here.</w:t>
        </w:r>
      </w:hyperlink>
      <w:r>
        <w:rPr>
          <w:rFonts w:eastAsia="Arial"/>
          <w:color w:val="4472C4"/>
          <w:sz w:val="20"/>
          <w:szCs w:val="20"/>
        </w:rPr>
        <w:t xml:space="preserve"> </w:t>
      </w:r>
    </w:p>
  </w:footnote>
  <w:footnote w:id="15">
    <w:p w14:paraId="00000E3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Business &amp; Trade, 'Notice of determination 2020/36: countervailing duty on biodiesel originating in Indonesia' (31 December 2020), available: </w:t>
      </w:r>
      <w:hyperlink r:id="rId21">
        <w:r>
          <w:rPr>
            <w:rFonts w:eastAsia="Arial"/>
            <w:color w:val="4472C4"/>
            <w:sz w:val="20"/>
            <w:szCs w:val="20"/>
            <w:u w:val="single"/>
          </w:rPr>
          <w:t>here</w:t>
        </w:r>
      </w:hyperlink>
      <w:r>
        <w:rPr>
          <w:rFonts w:eastAsia="Arial"/>
          <w:color w:val="4472C4"/>
          <w:sz w:val="20"/>
          <w:szCs w:val="20"/>
        </w:rPr>
        <w:t xml:space="preserve">. </w:t>
      </w:r>
    </w:p>
  </w:footnote>
  <w:footnote w:id="16">
    <w:p w14:paraId="00000E39"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2019/2092 of 28 November 2019 imposing a definitive countervailing duty on imports of biodiesel originating in Indonesia, OJ L 317, 9.12.2019, available: </w:t>
      </w:r>
      <w:hyperlink r:id="rId22">
        <w:r>
          <w:rPr>
            <w:rFonts w:eastAsia="Arial"/>
            <w:color w:val="4472C4"/>
            <w:sz w:val="20"/>
            <w:szCs w:val="20"/>
            <w:u w:val="single"/>
          </w:rPr>
          <w:t>here</w:t>
        </w:r>
      </w:hyperlink>
      <w:r>
        <w:rPr>
          <w:rFonts w:eastAsia="Arial"/>
          <w:color w:val="4472C4"/>
          <w:sz w:val="20"/>
          <w:szCs w:val="20"/>
        </w:rPr>
        <w:t xml:space="preserve">. </w:t>
      </w:r>
    </w:p>
  </w:footnote>
  <w:footnote w:id="17">
    <w:p w14:paraId="00000E3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Biodiesel from Argentina and Indonesia; Inv. No. 701-TA-571-572 and 731-TA-1347-1348 (Review), US International Trade Commission, available: </w:t>
      </w:r>
      <w:hyperlink r:id="rId23">
        <w:r>
          <w:rPr>
            <w:rFonts w:eastAsia="Arial"/>
            <w:color w:val="4472C4"/>
            <w:sz w:val="20"/>
            <w:szCs w:val="20"/>
            <w:u w:val="single"/>
          </w:rPr>
          <w:t>here</w:t>
        </w:r>
      </w:hyperlink>
      <w:r>
        <w:rPr>
          <w:rFonts w:eastAsia="Arial"/>
          <w:color w:val="4472C4"/>
          <w:sz w:val="20"/>
          <w:szCs w:val="20"/>
        </w:rPr>
        <w:t xml:space="preserve">. Federal Register 88, no. 115 (15 June 2023) 39223, available: </w:t>
      </w:r>
      <w:hyperlink r:id="rId24">
        <w:r>
          <w:rPr>
            <w:rFonts w:eastAsia="Arial"/>
            <w:color w:val="4472C4"/>
            <w:sz w:val="20"/>
            <w:szCs w:val="20"/>
            <w:u w:val="single"/>
          </w:rPr>
          <w:t>here</w:t>
        </w:r>
      </w:hyperlink>
      <w:r>
        <w:rPr>
          <w:rFonts w:eastAsia="Arial"/>
          <w:color w:val="4472C4"/>
          <w:sz w:val="20"/>
          <w:szCs w:val="20"/>
          <w:u w:val="single"/>
        </w:rPr>
        <w:t>.</w:t>
      </w:r>
      <w:r>
        <w:rPr>
          <w:rFonts w:eastAsia="Arial"/>
          <w:color w:val="4472C4"/>
          <w:sz w:val="20"/>
          <w:szCs w:val="20"/>
        </w:rPr>
        <w:t xml:space="preserve">  </w:t>
      </w:r>
    </w:p>
  </w:footnote>
  <w:footnote w:id="18">
    <w:p w14:paraId="00000E3B" w14:textId="77777777" w:rsidR="00416D85" w:rsidRDefault="00130320">
      <w:pPr>
        <w:pBdr>
          <w:top w:val="nil"/>
          <w:left w:val="nil"/>
          <w:bottom w:val="nil"/>
          <w:right w:val="nil"/>
          <w:between w:val="nil"/>
        </w:pBdr>
        <w:spacing w:after="0" w:line="240" w:lineRule="auto"/>
        <w:jc w:val="both"/>
        <w:rPr>
          <w:rFonts w:eastAsia="Arial"/>
          <w:color w:val="4472C4"/>
          <w:sz w:val="16"/>
          <w:szCs w:val="16"/>
        </w:rPr>
      </w:pPr>
      <w:r>
        <w:rPr>
          <w:rStyle w:val="FootnoteReference"/>
        </w:rPr>
        <w:footnoteRef/>
      </w:r>
      <w:r>
        <w:rPr>
          <w:rFonts w:eastAsia="Arial"/>
          <w:color w:val="4472C4"/>
          <w:sz w:val="20"/>
          <w:szCs w:val="20"/>
        </w:rPr>
        <w:t xml:space="preserve"> Within the EU's framework of the like product assessment, the fact that a certain product type is not produced in the EU is irrelevant: "[The] limitation of the product coverage and eventually of anti-dumping measures to only the types produced by the Community industry… would ignore the fact that the behaviour of exporters of non-Community produced types have an influence on the Community industry because their respective products are alike. Indeed, such a limitation could ultimately lead users to switch to such types … not covered by the </w:t>
      </w:r>
      <w:r>
        <w:rPr>
          <w:rFonts w:eastAsia="Arial"/>
          <w:color w:val="4472C4"/>
          <w:sz w:val="20"/>
          <w:szCs w:val="20"/>
        </w:rPr>
        <w:t xml:space="preserve">investigation, and would thus render any anti-dumping measure inefficient." Council Regulation (EC) No 2263/2000 of 9 October 2000 imposing a definitive anti-dumping duty on imports of black colorformers originating in Japan, OJ L 259, 13.10.2000, p 1, recitals (34)-(35), available: </w:t>
      </w:r>
      <w:hyperlink r:id="rId25">
        <w:r>
          <w:rPr>
            <w:rFonts w:eastAsia="Arial"/>
            <w:color w:val="4472C4"/>
            <w:sz w:val="20"/>
            <w:szCs w:val="20"/>
            <w:u w:val="single"/>
          </w:rPr>
          <w:t>here</w:t>
        </w:r>
      </w:hyperlink>
      <w:r>
        <w:rPr>
          <w:rFonts w:eastAsia="Arial"/>
          <w:color w:val="4472C4"/>
          <w:sz w:val="20"/>
          <w:szCs w:val="20"/>
        </w:rPr>
        <w:t xml:space="preserve">. </w:t>
      </w:r>
    </w:p>
    <w:p w14:paraId="00000E3C" w14:textId="77777777" w:rsidR="00416D85" w:rsidRDefault="00130320">
      <w:pPr>
        <w:pBdr>
          <w:top w:val="nil"/>
          <w:left w:val="nil"/>
          <w:bottom w:val="nil"/>
          <w:right w:val="nil"/>
          <w:between w:val="nil"/>
        </w:pBdr>
        <w:spacing w:after="0" w:line="240" w:lineRule="auto"/>
        <w:jc w:val="both"/>
        <w:rPr>
          <w:rFonts w:eastAsia="Arial"/>
          <w:color w:val="000000"/>
          <w:sz w:val="20"/>
          <w:szCs w:val="20"/>
        </w:rPr>
      </w:pPr>
      <w:r>
        <w:rPr>
          <w:rFonts w:eastAsia="Arial"/>
          <w:color w:val="4472C4"/>
          <w:sz w:val="20"/>
          <w:szCs w:val="20"/>
        </w:rPr>
        <w:t xml:space="preserve">In the same vein, the General Court has held that the absence of EU production of a particular product type is not decisive: </w:t>
      </w:r>
      <w:r>
        <w:rPr>
          <w:rFonts w:eastAsia="Arial"/>
          <w:i/>
          <w:color w:val="4472C4"/>
          <w:sz w:val="20"/>
          <w:szCs w:val="20"/>
        </w:rPr>
        <w:t>Brosmann Footwear (HK) and Others v Council</w:t>
      </w:r>
      <w:r>
        <w:rPr>
          <w:rFonts w:eastAsia="Arial"/>
          <w:color w:val="4472C4"/>
          <w:sz w:val="20"/>
          <w:szCs w:val="20"/>
        </w:rPr>
        <w:t xml:space="preserve">, para 135, available: </w:t>
      </w:r>
      <w:hyperlink r:id="rId26">
        <w:r>
          <w:rPr>
            <w:rFonts w:eastAsia="Arial"/>
            <w:color w:val="4472C4"/>
            <w:sz w:val="20"/>
            <w:szCs w:val="20"/>
            <w:u w:val="single"/>
          </w:rPr>
          <w:t>here</w:t>
        </w:r>
      </w:hyperlink>
      <w:r>
        <w:rPr>
          <w:rFonts w:eastAsia="Arial"/>
          <w:color w:val="4472C4"/>
          <w:sz w:val="20"/>
          <w:szCs w:val="20"/>
        </w:rPr>
        <w:t>.</w:t>
      </w:r>
    </w:p>
  </w:footnote>
  <w:footnote w:id="19">
    <w:p w14:paraId="00000E3D"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Trade Remedies Authority, </w:t>
      </w:r>
      <w:r>
        <w:rPr>
          <w:rFonts w:eastAsia="Arial"/>
          <w:i/>
          <w:color w:val="4472C4"/>
          <w:sz w:val="20"/>
          <w:szCs w:val="20"/>
        </w:rPr>
        <w:t>TD0001 - Welded Tubes and Pipes from Belarus, Russia and China</w:t>
      </w:r>
      <w:r>
        <w:rPr>
          <w:rFonts w:eastAsia="Arial"/>
          <w:color w:val="4472C4"/>
          <w:sz w:val="20"/>
          <w:szCs w:val="20"/>
        </w:rPr>
        <w:t xml:space="preserve">, Final Determination, paras 4.7-4.13, available: </w:t>
      </w:r>
      <w:hyperlink r:id="rId27">
        <w:r>
          <w:rPr>
            <w:rFonts w:eastAsia="Arial"/>
            <w:color w:val="4472C4"/>
            <w:sz w:val="20"/>
            <w:szCs w:val="20"/>
            <w:u w:val="single"/>
          </w:rPr>
          <w:t>here</w:t>
        </w:r>
      </w:hyperlink>
      <w:r>
        <w:rPr>
          <w:rFonts w:eastAsia="Arial"/>
          <w:color w:val="4472C4"/>
          <w:sz w:val="20"/>
          <w:szCs w:val="20"/>
        </w:rPr>
        <w:t xml:space="preserve">. </w:t>
      </w:r>
    </w:p>
  </w:footnote>
  <w:footnote w:id="20">
    <w:p w14:paraId="00000E3E"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Trade Remedies Authority, </w:t>
      </w:r>
      <w:r>
        <w:rPr>
          <w:rFonts w:eastAsia="Arial"/>
          <w:i/>
          <w:color w:val="4472C4"/>
          <w:sz w:val="20"/>
          <w:szCs w:val="20"/>
        </w:rPr>
        <w:t>TD0010 – HFP Rebar from China</w:t>
      </w:r>
      <w:r>
        <w:rPr>
          <w:rFonts w:eastAsia="Arial"/>
          <w:color w:val="4472C4"/>
          <w:sz w:val="20"/>
          <w:szCs w:val="20"/>
        </w:rPr>
        <w:t xml:space="preserve">, Final Determination, para 87, available: </w:t>
      </w:r>
      <w:hyperlink r:id="rId28">
        <w:r>
          <w:rPr>
            <w:rFonts w:eastAsia="Arial"/>
            <w:color w:val="4472C4"/>
            <w:sz w:val="20"/>
            <w:szCs w:val="20"/>
            <w:u w:val="single"/>
          </w:rPr>
          <w:t>here</w:t>
        </w:r>
      </w:hyperlink>
      <w:r>
        <w:rPr>
          <w:rFonts w:eastAsia="Arial"/>
          <w:color w:val="4472C4"/>
          <w:sz w:val="20"/>
          <w:szCs w:val="20"/>
        </w:rPr>
        <w:t xml:space="preserve">. </w:t>
      </w:r>
    </w:p>
  </w:footnote>
  <w:footnote w:id="21">
    <w:p w14:paraId="00000E3F"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Trade Remedies Authority, </w:t>
      </w:r>
      <w:r>
        <w:rPr>
          <w:rFonts w:eastAsia="Arial"/>
          <w:i/>
          <w:color w:val="4472C4"/>
          <w:sz w:val="20"/>
          <w:szCs w:val="20"/>
        </w:rPr>
        <w:t>TD0008 - Continuous Glass Fibre from China</w:t>
      </w:r>
      <w:r>
        <w:rPr>
          <w:rFonts w:eastAsia="Arial"/>
          <w:color w:val="4472C4"/>
          <w:sz w:val="20"/>
          <w:szCs w:val="20"/>
        </w:rPr>
        <w:t xml:space="preserve">, Final Determination, Section D, paras 74-98, available: </w:t>
      </w:r>
      <w:hyperlink r:id="rId29">
        <w:r>
          <w:rPr>
            <w:rFonts w:eastAsia="Arial"/>
            <w:color w:val="4472C4"/>
            <w:sz w:val="20"/>
            <w:szCs w:val="20"/>
            <w:u w:val="single"/>
          </w:rPr>
          <w:t>here</w:t>
        </w:r>
      </w:hyperlink>
      <w:r>
        <w:rPr>
          <w:rFonts w:eastAsia="Arial"/>
          <w:color w:val="4472C4"/>
          <w:sz w:val="20"/>
          <w:szCs w:val="20"/>
        </w:rPr>
        <w:t xml:space="preserve">. Trade Remedies Authority, </w:t>
      </w:r>
      <w:r>
        <w:rPr>
          <w:rFonts w:eastAsia="Arial"/>
          <w:i/>
          <w:color w:val="4472C4"/>
          <w:sz w:val="20"/>
          <w:szCs w:val="20"/>
        </w:rPr>
        <w:t>TS0009 - Continuous Glass fibre from China</w:t>
      </w:r>
      <w:r>
        <w:rPr>
          <w:rFonts w:eastAsia="Arial"/>
          <w:color w:val="4472C4"/>
          <w:sz w:val="20"/>
          <w:szCs w:val="20"/>
        </w:rPr>
        <w:t xml:space="preserve">, Final Determination, Section D, paras 73-97, available: </w:t>
      </w:r>
      <w:hyperlink r:id="rId30">
        <w:r>
          <w:rPr>
            <w:rFonts w:eastAsia="Arial"/>
            <w:color w:val="4472C4"/>
            <w:sz w:val="20"/>
            <w:szCs w:val="20"/>
            <w:u w:val="single"/>
          </w:rPr>
          <w:t>here</w:t>
        </w:r>
      </w:hyperlink>
      <w:r>
        <w:rPr>
          <w:rFonts w:eastAsia="Arial"/>
          <w:color w:val="4472C4"/>
          <w:sz w:val="20"/>
          <w:szCs w:val="20"/>
        </w:rPr>
        <w:t xml:space="preserve">. </w:t>
      </w:r>
    </w:p>
  </w:footnote>
  <w:footnote w:id="22">
    <w:p w14:paraId="00000E4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Statement of Essential Facts, Section D, paras 67-82, available: </w:t>
      </w:r>
      <w:hyperlink r:id="rId31">
        <w:r>
          <w:rPr>
            <w:rFonts w:eastAsia="Arial"/>
            <w:color w:val="4472C4"/>
            <w:sz w:val="20"/>
            <w:szCs w:val="20"/>
            <w:u w:val="single"/>
          </w:rPr>
          <w:t>here</w:t>
        </w:r>
      </w:hyperlink>
      <w:r>
        <w:rPr>
          <w:rFonts w:eastAsia="Arial"/>
          <w:color w:val="4472C4"/>
          <w:sz w:val="20"/>
          <w:szCs w:val="20"/>
          <w:u w:val="single"/>
        </w:rPr>
        <w:t>.</w:t>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Statement of Essential Facts, Section D, paras 63-82, available: </w:t>
      </w:r>
      <w:hyperlink r:id="rId32">
        <w:r>
          <w:rPr>
            <w:rFonts w:eastAsia="Arial"/>
            <w:color w:val="4472C4"/>
            <w:sz w:val="20"/>
            <w:szCs w:val="20"/>
            <w:u w:val="single"/>
          </w:rPr>
          <w:t>here</w:t>
        </w:r>
      </w:hyperlink>
      <w:r>
        <w:rPr>
          <w:rFonts w:eastAsia="Arial"/>
          <w:color w:val="4472C4"/>
          <w:sz w:val="20"/>
          <w:szCs w:val="20"/>
        </w:rPr>
        <w:t>.</w:t>
      </w:r>
      <w:r>
        <w:rPr>
          <w:rFonts w:eastAsia="Arial"/>
          <w:i/>
          <w:color w:val="4472C4"/>
          <w:sz w:val="20"/>
          <w:szCs w:val="20"/>
        </w:rPr>
        <w:t xml:space="preserve"> </w:t>
      </w:r>
    </w:p>
  </w:footnote>
  <w:footnote w:id="23">
    <w:p w14:paraId="00000E4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B, para 15, available: </w:t>
      </w:r>
      <w:hyperlink r:id="rId33">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B, para 15, available: </w:t>
      </w:r>
      <w:hyperlink r:id="rId34">
        <w:r>
          <w:rPr>
            <w:rFonts w:eastAsia="Arial"/>
            <w:color w:val="4472C4"/>
            <w:sz w:val="20"/>
            <w:szCs w:val="20"/>
            <w:u w:val="single"/>
          </w:rPr>
          <w:t>here</w:t>
        </w:r>
      </w:hyperlink>
      <w:r>
        <w:rPr>
          <w:rFonts w:eastAsia="Arial"/>
          <w:color w:val="4472C4"/>
          <w:sz w:val="20"/>
          <w:szCs w:val="20"/>
        </w:rPr>
        <w:t xml:space="preserve">. </w:t>
      </w:r>
    </w:p>
    <w:bookmarkStart w:id="8" w:name="_heading=h.7ujw3765q10x" w:colFirst="0" w:colLast="0"/>
    <w:bookmarkEnd w:id="8"/>
  </w:footnote>
  <w:footnote w:id="24">
    <w:p w14:paraId="00000E4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bookmarkStart w:id="9" w:name="_heading=h.7ujw3765q10x" w:colFirst="0" w:colLast="0"/>
      <w:bookmarkEnd w:id="9"/>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178, available: </w:t>
      </w:r>
      <w:hyperlink r:id="rId35">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Final Determination, Section D, para 175,</w:t>
      </w:r>
      <w:r>
        <w:rPr>
          <w:rFonts w:eastAsia="Arial"/>
          <w:color w:val="4472C4"/>
          <w:sz w:val="20"/>
          <w:szCs w:val="20"/>
          <w:vertAlign w:val="superscript"/>
        </w:rPr>
        <w:t xml:space="preserve"> </w:t>
      </w:r>
      <w:r>
        <w:rPr>
          <w:rFonts w:eastAsia="Arial"/>
          <w:color w:val="4472C4"/>
          <w:sz w:val="20"/>
          <w:szCs w:val="20"/>
        </w:rPr>
        <w:t xml:space="preserve">available: </w:t>
      </w:r>
      <w:hyperlink r:id="rId36">
        <w:r>
          <w:rPr>
            <w:rFonts w:eastAsia="Arial"/>
            <w:color w:val="4472C4"/>
            <w:sz w:val="20"/>
            <w:szCs w:val="20"/>
            <w:u w:val="single"/>
          </w:rPr>
          <w:t>here</w:t>
        </w:r>
      </w:hyperlink>
      <w:r>
        <w:rPr>
          <w:rFonts w:eastAsia="Arial"/>
          <w:color w:val="4472C4"/>
          <w:sz w:val="20"/>
          <w:szCs w:val="20"/>
        </w:rPr>
        <w:t xml:space="preserve">. </w:t>
      </w:r>
    </w:p>
  </w:footnote>
  <w:footnote w:id="25">
    <w:p w14:paraId="00000E4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Panel Report, </w:t>
      </w:r>
      <w:r>
        <w:rPr>
          <w:rFonts w:eastAsia="Arial"/>
          <w:i/>
          <w:color w:val="4472C4"/>
          <w:sz w:val="20"/>
          <w:szCs w:val="20"/>
        </w:rPr>
        <w:t>Indonesia – Certain Measures Affecting the Automobile Industry</w:t>
      </w:r>
      <w:r>
        <w:rPr>
          <w:rFonts w:eastAsia="Arial"/>
          <w:color w:val="4472C4"/>
          <w:sz w:val="20"/>
          <w:szCs w:val="20"/>
        </w:rPr>
        <w:t xml:space="preserve">, WT/DS54/R, WT/DS55/R, WT/DS59/R, WT/DS64/R, adopted 23 July 1998, paras 14.173-14.174, available: </w:t>
      </w:r>
      <w:hyperlink r:id="rId37">
        <w:r>
          <w:rPr>
            <w:rFonts w:eastAsia="Arial"/>
            <w:color w:val="4472C4"/>
            <w:sz w:val="20"/>
            <w:szCs w:val="20"/>
            <w:u w:val="single"/>
          </w:rPr>
          <w:t>here</w:t>
        </w:r>
      </w:hyperlink>
      <w:r>
        <w:rPr>
          <w:rFonts w:eastAsia="Arial"/>
          <w:color w:val="4472C4"/>
          <w:sz w:val="20"/>
          <w:szCs w:val="20"/>
        </w:rPr>
        <w:t xml:space="preserve">. </w:t>
      </w:r>
    </w:p>
  </w:footnote>
  <w:footnote w:id="26">
    <w:p w14:paraId="00000E44"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178, available: </w:t>
      </w:r>
      <w:hyperlink r:id="rId38">
        <w:r>
          <w:rPr>
            <w:rFonts w:eastAsia="Arial"/>
            <w:color w:val="4472C4"/>
            <w:sz w:val="20"/>
            <w:szCs w:val="20"/>
            <w:u w:val="single"/>
          </w:rPr>
          <w:t>here</w:t>
        </w:r>
      </w:hyperlink>
      <w:r>
        <w:rPr>
          <w:rFonts w:eastAsia="Arial"/>
          <w:color w:val="4472C4"/>
          <w:sz w:val="20"/>
          <w:szCs w:val="20"/>
          <w:u w:val="single"/>
        </w:rPr>
        <w:t>.</w:t>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Final Determination, Section D, para 175,</w:t>
      </w:r>
      <w:r>
        <w:rPr>
          <w:rFonts w:eastAsia="Arial"/>
          <w:color w:val="4472C4"/>
          <w:sz w:val="20"/>
          <w:szCs w:val="20"/>
          <w:vertAlign w:val="superscript"/>
        </w:rPr>
        <w:t xml:space="preserve"> </w:t>
      </w:r>
      <w:r>
        <w:rPr>
          <w:rFonts w:eastAsia="Arial"/>
          <w:color w:val="4472C4"/>
          <w:sz w:val="20"/>
          <w:szCs w:val="20"/>
        </w:rPr>
        <w:t xml:space="preserve">available: </w:t>
      </w:r>
      <w:hyperlink r:id="rId39">
        <w:r>
          <w:rPr>
            <w:rFonts w:eastAsia="Arial"/>
            <w:color w:val="4472C4"/>
            <w:sz w:val="20"/>
            <w:szCs w:val="20"/>
            <w:u w:val="single"/>
          </w:rPr>
          <w:t>here</w:t>
        </w:r>
      </w:hyperlink>
      <w:r>
        <w:rPr>
          <w:rFonts w:eastAsia="Arial"/>
          <w:color w:val="4472C4"/>
          <w:sz w:val="20"/>
          <w:szCs w:val="20"/>
        </w:rPr>
        <w:t>.</w:t>
      </w:r>
    </w:p>
  </w:footnote>
  <w:footnote w:id="27">
    <w:p w14:paraId="00000E45" w14:textId="77777777" w:rsidR="00416D85" w:rsidRDefault="00130320">
      <w:pPr>
        <w:pBdr>
          <w:top w:val="nil"/>
          <w:left w:val="nil"/>
          <w:bottom w:val="nil"/>
          <w:right w:val="nil"/>
          <w:between w:val="nil"/>
        </w:pBdr>
        <w:spacing w:after="0" w:line="240" w:lineRule="auto"/>
        <w:jc w:val="both"/>
        <w:rPr>
          <w:rFonts w:eastAsia="Arial"/>
          <w:color w:val="4472C4"/>
          <w:sz w:val="16"/>
          <w:szCs w:val="16"/>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 xml:space="preserve">See </w:t>
      </w:r>
      <w:r>
        <w:rPr>
          <w:rFonts w:eastAsia="Arial"/>
          <w:color w:val="4472C4"/>
          <w:sz w:val="20"/>
          <w:szCs w:val="20"/>
        </w:rPr>
        <w:t xml:space="preserve">Renewable Transport Fuel Obligations Order 2007, SI 2007/3072, available: </w:t>
      </w:r>
      <w:hyperlink r:id="rId40">
        <w:r>
          <w:rPr>
            <w:rFonts w:eastAsia="Arial"/>
            <w:color w:val="4472C4"/>
            <w:sz w:val="20"/>
            <w:szCs w:val="20"/>
            <w:u w:val="single"/>
          </w:rPr>
          <w:t>here</w:t>
        </w:r>
      </w:hyperlink>
      <w:r>
        <w:rPr>
          <w:rFonts w:eastAsia="Arial"/>
          <w:color w:val="4472C4"/>
          <w:sz w:val="20"/>
          <w:szCs w:val="20"/>
          <w:u w:val="single"/>
        </w:rPr>
        <w:t>.</w:t>
      </w:r>
      <w:r>
        <w:rPr>
          <w:rFonts w:eastAsia="Arial"/>
          <w:color w:val="4472C4"/>
          <w:sz w:val="20"/>
          <w:szCs w:val="20"/>
        </w:rPr>
        <w:t xml:space="preserve"> Department for Transport, 'The Renewable Transport Fuel Obligation – an essential guide', available: </w:t>
      </w:r>
      <w:hyperlink r:id="rId41">
        <w:r>
          <w:rPr>
            <w:rFonts w:eastAsia="Arial"/>
            <w:color w:val="4472C4"/>
            <w:sz w:val="20"/>
            <w:szCs w:val="20"/>
            <w:u w:val="single"/>
          </w:rPr>
          <w:t>here</w:t>
        </w:r>
      </w:hyperlink>
      <w:r>
        <w:rPr>
          <w:rFonts w:eastAsia="Arial"/>
          <w:color w:val="4472C4"/>
          <w:sz w:val="20"/>
          <w:szCs w:val="20"/>
        </w:rPr>
        <w:t>.</w:t>
      </w:r>
      <w:r>
        <w:rPr>
          <w:rFonts w:eastAsia="Arial"/>
          <w:color w:val="4472C4"/>
          <w:sz w:val="16"/>
          <w:szCs w:val="16"/>
        </w:rPr>
        <w:t xml:space="preserve"> </w:t>
      </w:r>
    </w:p>
  </w:footnote>
  <w:footnote w:id="28">
    <w:p w14:paraId="00000E4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A similar conclusion has been drawn by the European Commission in its imposition of provisional anti-dumping duties on imports of biodiesel originating in the PRC: Commission Implementing Regulation (EU) 2024/2163 of 14 August 2024 imposing a provisional anti-dumping duty on imports of biodiesel originating in the People's Republic of China, OJ L, 16.8.2024, recital (57) (</w:t>
      </w:r>
      <w:r>
        <w:rPr>
          <w:rFonts w:eastAsia="Arial"/>
          <w:i/>
          <w:color w:val="4472C4"/>
          <w:sz w:val="20"/>
          <w:szCs w:val="20"/>
        </w:rPr>
        <w:t>Commission Implementing Regulation (EU) 2024/2163 (AD700)</w:t>
      </w:r>
      <w:r>
        <w:rPr>
          <w:rFonts w:eastAsia="Arial"/>
          <w:color w:val="4472C4"/>
          <w:sz w:val="20"/>
          <w:szCs w:val="20"/>
        </w:rPr>
        <w:t xml:space="preserve">), available: </w:t>
      </w:r>
      <w:hyperlink r:id="rId42">
        <w:r>
          <w:rPr>
            <w:rFonts w:eastAsia="Arial"/>
            <w:color w:val="4472C4"/>
            <w:sz w:val="20"/>
            <w:szCs w:val="20"/>
            <w:u w:val="single"/>
          </w:rPr>
          <w:t>here</w:t>
        </w:r>
      </w:hyperlink>
      <w:r>
        <w:rPr>
          <w:rFonts w:eastAsia="Arial"/>
          <w:color w:val="4472C4"/>
          <w:sz w:val="20"/>
          <w:szCs w:val="20"/>
        </w:rPr>
        <w:t xml:space="preserve">.  </w:t>
      </w:r>
    </w:p>
  </w:footnote>
  <w:footnote w:id="29">
    <w:p w14:paraId="00000E47"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Panel Report, </w:t>
      </w:r>
      <w:r>
        <w:rPr>
          <w:rFonts w:eastAsia="Arial"/>
          <w:i/>
          <w:color w:val="4472C4"/>
          <w:sz w:val="20"/>
          <w:szCs w:val="20"/>
        </w:rPr>
        <w:t>European Union and certain Member States - Certain Measures concerning Palm Oil and Oil Palm Crop-Based Biofuels</w:t>
      </w:r>
      <w:r>
        <w:rPr>
          <w:rFonts w:eastAsia="Arial"/>
          <w:color w:val="4472C4"/>
          <w:sz w:val="20"/>
          <w:szCs w:val="20"/>
        </w:rPr>
        <w:t>, WT/DS600/R, adopted 26 April 2024 (</w:t>
      </w:r>
      <w:r>
        <w:rPr>
          <w:rFonts w:eastAsia="Arial"/>
          <w:i/>
          <w:color w:val="4472C4"/>
          <w:sz w:val="20"/>
          <w:szCs w:val="20"/>
        </w:rPr>
        <w:t>EU and Certain Member States — Palm Oil (Malaysia)</w:t>
      </w:r>
      <w:r>
        <w:rPr>
          <w:rFonts w:eastAsia="Arial"/>
          <w:color w:val="4472C4"/>
          <w:sz w:val="20"/>
          <w:szCs w:val="20"/>
        </w:rPr>
        <w:t xml:space="preserve">), available: </w:t>
      </w:r>
      <w:hyperlink r:id="rId43">
        <w:r>
          <w:rPr>
            <w:rFonts w:eastAsia="Arial"/>
            <w:color w:val="4472C4"/>
            <w:sz w:val="20"/>
            <w:szCs w:val="20"/>
            <w:u w:val="single"/>
          </w:rPr>
          <w:t>here</w:t>
        </w:r>
      </w:hyperlink>
      <w:r>
        <w:rPr>
          <w:rFonts w:eastAsia="Arial"/>
          <w:color w:val="4472C4"/>
          <w:sz w:val="20"/>
          <w:szCs w:val="20"/>
        </w:rPr>
        <w:t xml:space="preserve">. </w:t>
      </w:r>
    </w:p>
  </w:footnote>
  <w:footnote w:id="30">
    <w:p w14:paraId="00000E48"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First Written Submission of the European Union, </w:t>
      </w:r>
      <w:r>
        <w:rPr>
          <w:rFonts w:eastAsia="Arial"/>
          <w:i/>
          <w:color w:val="4472C4"/>
          <w:sz w:val="20"/>
          <w:szCs w:val="20"/>
        </w:rPr>
        <w:t>EU and Certain Member States — Palm Oil (Malaysia)</w:t>
      </w:r>
      <w:r>
        <w:rPr>
          <w:rFonts w:eastAsia="Arial"/>
          <w:color w:val="4472C4"/>
          <w:sz w:val="20"/>
          <w:szCs w:val="20"/>
        </w:rPr>
        <w:t xml:space="preserve">, para 625, available: </w:t>
      </w:r>
      <w:hyperlink r:id="rId44">
        <w:r>
          <w:rPr>
            <w:rFonts w:eastAsia="Arial"/>
            <w:color w:val="4472C4"/>
            <w:sz w:val="20"/>
            <w:szCs w:val="20"/>
            <w:u w:val="single"/>
          </w:rPr>
          <w:t>here</w:t>
        </w:r>
      </w:hyperlink>
      <w:r>
        <w:rPr>
          <w:rFonts w:eastAsia="Arial"/>
          <w:color w:val="4472C4"/>
          <w:sz w:val="20"/>
          <w:szCs w:val="20"/>
        </w:rPr>
        <w:t xml:space="preserve">. </w:t>
      </w:r>
    </w:p>
  </w:footnote>
  <w:footnote w:id="31">
    <w:p w14:paraId="00000E49"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First Written Submission of the European Union, </w:t>
      </w:r>
      <w:r>
        <w:rPr>
          <w:rFonts w:eastAsia="Arial"/>
          <w:i/>
          <w:color w:val="4472C4"/>
          <w:sz w:val="20"/>
          <w:szCs w:val="20"/>
        </w:rPr>
        <w:t>EU and Certain Member States — Palm Oil (Malaysia)</w:t>
      </w:r>
      <w:r>
        <w:rPr>
          <w:rFonts w:eastAsia="Arial"/>
          <w:color w:val="4472C4"/>
          <w:sz w:val="20"/>
          <w:szCs w:val="20"/>
        </w:rPr>
        <w:t xml:space="preserve">, para 616, available: </w:t>
      </w:r>
      <w:hyperlink r:id="rId45">
        <w:r>
          <w:rPr>
            <w:rFonts w:eastAsia="Arial"/>
            <w:color w:val="4472C4"/>
            <w:sz w:val="20"/>
            <w:szCs w:val="20"/>
            <w:u w:val="single"/>
          </w:rPr>
          <w:t>here</w:t>
        </w:r>
      </w:hyperlink>
      <w:r>
        <w:rPr>
          <w:rFonts w:eastAsia="Arial"/>
          <w:color w:val="4472C4"/>
          <w:sz w:val="20"/>
          <w:szCs w:val="20"/>
        </w:rPr>
        <w:t xml:space="preserve">. </w:t>
      </w:r>
    </w:p>
  </w:footnote>
  <w:footnote w:id="32">
    <w:p w14:paraId="00000E4A"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EU and Certain Member States — Palm Oil (Malaysia)</w:t>
      </w:r>
      <w:r>
        <w:rPr>
          <w:rFonts w:eastAsia="Arial"/>
          <w:color w:val="4472C4"/>
          <w:sz w:val="20"/>
          <w:szCs w:val="20"/>
        </w:rPr>
        <w:t xml:space="preserve">, para 7.1024, available: </w:t>
      </w:r>
      <w:hyperlink r:id="rId46">
        <w:r>
          <w:rPr>
            <w:rFonts w:eastAsia="Arial"/>
            <w:color w:val="4472C4"/>
            <w:sz w:val="20"/>
            <w:szCs w:val="20"/>
            <w:u w:val="single"/>
          </w:rPr>
          <w:t>here</w:t>
        </w:r>
      </w:hyperlink>
      <w:r>
        <w:rPr>
          <w:rFonts w:eastAsia="Arial"/>
          <w:color w:val="4472C4"/>
          <w:sz w:val="20"/>
          <w:szCs w:val="20"/>
        </w:rPr>
        <w:t xml:space="preserve">. </w:t>
      </w:r>
    </w:p>
  </w:footnote>
  <w:footnote w:id="33">
    <w:p w14:paraId="00000E4B"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At para. 7.411 of </w:t>
      </w:r>
      <w:r>
        <w:rPr>
          <w:rFonts w:eastAsia="Arial"/>
          <w:i/>
          <w:color w:val="4472C4"/>
          <w:sz w:val="20"/>
          <w:szCs w:val="20"/>
        </w:rPr>
        <w:t>EU and Certain Member States — Palm Oil (Malaysia)</w:t>
      </w:r>
      <w:r>
        <w:rPr>
          <w:rFonts w:eastAsia="Arial"/>
          <w:color w:val="4472C4"/>
          <w:sz w:val="20"/>
          <w:szCs w:val="20"/>
        </w:rPr>
        <w:t>, these acronyms are defined as follows: "</w:t>
      </w:r>
      <w:r>
        <w:rPr>
          <w:rFonts w:eastAsia="Arial"/>
          <w:i/>
          <w:color w:val="4472C4"/>
          <w:sz w:val="20"/>
          <w:szCs w:val="20"/>
        </w:rPr>
        <w:t>Biodiesel (or FAME) made from palm oil is called palm methyl ester (PME); when made from rapeseed oil is called rapeseed methyl ester (RME); and when made from soybean oil is called soybean methyl ester (SBME)</w:t>
      </w:r>
      <w:r>
        <w:rPr>
          <w:rFonts w:eastAsia="Arial"/>
          <w:color w:val="4472C4"/>
          <w:sz w:val="20"/>
          <w:szCs w:val="20"/>
        </w:rPr>
        <w:t xml:space="preserve">". </w:t>
      </w:r>
    </w:p>
  </w:footnote>
  <w:footnote w:id="34">
    <w:p w14:paraId="00000E4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Council Regulation (EC) No 599/2009, recital (23), available: </w:t>
      </w:r>
      <w:hyperlink r:id="rId47">
        <w:r>
          <w:rPr>
            <w:rFonts w:eastAsia="Arial"/>
            <w:color w:val="4472C4"/>
            <w:sz w:val="20"/>
            <w:szCs w:val="20"/>
            <w:u w:val="single"/>
          </w:rPr>
          <w:t>here</w:t>
        </w:r>
      </w:hyperlink>
      <w:r>
        <w:rPr>
          <w:rFonts w:eastAsia="Arial"/>
          <w:color w:val="4472C4"/>
          <w:sz w:val="20"/>
          <w:szCs w:val="20"/>
        </w:rPr>
        <w:t xml:space="preserve">. Council Regulation (EC) No 598/2009, recital (24), available: </w:t>
      </w:r>
      <w:hyperlink r:id="rId48">
        <w:r>
          <w:rPr>
            <w:rFonts w:eastAsia="Arial"/>
            <w:color w:val="4472C4"/>
            <w:sz w:val="20"/>
            <w:szCs w:val="20"/>
            <w:u w:val="single"/>
          </w:rPr>
          <w:t>here</w:t>
        </w:r>
      </w:hyperlink>
      <w:r>
        <w:rPr>
          <w:rFonts w:eastAsia="Arial"/>
          <w:color w:val="4472C4"/>
          <w:sz w:val="20"/>
          <w:szCs w:val="20"/>
        </w:rPr>
        <w:t>.</w:t>
      </w:r>
    </w:p>
  </w:footnote>
  <w:footnote w:id="35">
    <w:p w14:paraId="00000E4D"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The European Commission rejected the US Government's claim that diesel produced from biomass is a category of products broader than the product under review: Commission Implementing Regulation (EU) 2015/1518 of 14 September 2015 imposing a definitive anti-dumping duty on imports of biodiesel originating in the United States of America following an expiry review pursuant to Article 11(2) of Council Regulation (EC) No 1225/2009, OJ L 239/69, 15.9.2015, recital (37), available: </w:t>
      </w:r>
      <w:hyperlink r:id="rId49">
        <w:r>
          <w:rPr>
            <w:rFonts w:eastAsia="Arial"/>
            <w:color w:val="4472C4"/>
            <w:sz w:val="20"/>
            <w:szCs w:val="20"/>
            <w:u w:val="single"/>
          </w:rPr>
          <w:t>here</w:t>
        </w:r>
      </w:hyperlink>
      <w:r>
        <w:rPr>
          <w:rFonts w:eastAsia="Arial"/>
          <w:color w:val="4472C4"/>
          <w:sz w:val="20"/>
          <w:szCs w:val="20"/>
        </w:rPr>
        <w:t xml:space="preserve">. Commission Implementing Regulation (EU) 2015/1519 of 14 September 2015 imposing definitive countervailing duties on imports of biodiesel originating in the United States of America following an expiry review pursuant to Article 18 of Council Regulation (EC) No 597/2009, OJ L 239/99, 15.9.2015, recital (37), available: </w:t>
      </w:r>
      <w:hyperlink r:id="rId50">
        <w:r>
          <w:rPr>
            <w:rFonts w:eastAsia="Arial"/>
            <w:color w:val="4472C4"/>
            <w:sz w:val="20"/>
            <w:szCs w:val="20"/>
            <w:u w:val="single"/>
          </w:rPr>
          <w:t>here</w:t>
        </w:r>
      </w:hyperlink>
      <w:r>
        <w:rPr>
          <w:rFonts w:eastAsia="Arial"/>
          <w:color w:val="4472C4"/>
          <w:sz w:val="20"/>
          <w:szCs w:val="20"/>
        </w:rPr>
        <w:t>.</w:t>
      </w:r>
    </w:p>
  </w:footnote>
  <w:footnote w:id="36">
    <w:p w14:paraId="00000E4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"FAME and HVO can both be blended with diesel and despite some differences in physical characteristics, the product end-use is the same": Commission Implementing Regulation (EU) 2021/1266, recitals (36)-(38), available: </w:t>
      </w:r>
      <w:hyperlink r:id="rId51">
        <w:r>
          <w:rPr>
            <w:rFonts w:eastAsia="Arial"/>
            <w:color w:val="4472C4"/>
            <w:sz w:val="20"/>
            <w:szCs w:val="20"/>
            <w:u w:val="single"/>
          </w:rPr>
          <w:t>here</w:t>
        </w:r>
      </w:hyperlink>
      <w:r>
        <w:rPr>
          <w:rFonts w:eastAsia="Arial"/>
          <w:color w:val="4472C4"/>
          <w:sz w:val="20"/>
          <w:szCs w:val="20"/>
        </w:rPr>
        <w:t xml:space="preserve">. Commission Implementing Regulation (EU) 2021/1267, recitals (36)-(38), available: </w:t>
      </w:r>
      <w:hyperlink r:id="rId52">
        <w:r>
          <w:rPr>
            <w:rFonts w:eastAsia="Arial"/>
            <w:color w:val="4472C4"/>
            <w:sz w:val="20"/>
            <w:szCs w:val="20"/>
            <w:u w:val="single"/>
          </w:rPr>
          <w:t>here</w:t>
        </w:r>
      </w:hyperlink>
      <w:r>
        <w:rPr>
          <w:rFonts w:eastAsia="Arial"/>
          <w:color w:val="4472C4"/>
          <w:sz w:val="20"/>
          <w:szCs w:val="20"/>
        </w:rPr>
        <w:t>.</w:t>
      </w:r>
    </w:p>
    <w:bookmarkStart w:id="13" w:name="_heading=h.c1f6kesqurzw" w:colFirst="0" w:colLast="0"/>
    <w:bookmarkEnd w:id="13"/>
  </w:footnote>
  <w:footnote w:id="37">
    <w:p w14:paraId="00000E4F"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bookmarkStart w:id="14" w:name="_heading=h.c1f6kesqurzw" w:colFirst="0" w:colLast="0"/>
      <w:bookmarkEnd w:id="14"/>
      <w:r>
        <w:rPr>
          <w:rStyle w:val="FootnoteReference"/>
        </w:rPr>
        <w:footnoteRef/>
      </w:r>
      <w:r>
        <w:rPr>
          <w:rFonts w:eastAsia="Arial"/>
          <w:color w:val="4472C4"/>
          <w:sz w:val="20"/>
          <w:szCs w:val="20"/>
          <w:vertAlign w:val="superscript"/>
        </w:rPr>
        <w:t xml:space="preserve"> </w:t>
      </w:r>
      <w:r>
        <w:rPr>
          <w:rFonts w:eastAsia="Arial"/>
          <w:i/>
          <w:color w:val="4472C4"/>
          <w:sz w:val="20"/>
          <w:szCs w:val="20"/>
        </w:rPr>
        <w:t xml:space="preserve">TD0004, </w:t>
      </w:r>
      <w:r>
        <w:rPr>
          <w:rFonts w:eastAsia="Arial"/>
          <w:color w:val="4472C4"/>
          <w:sz w:val="20"/>
          <w:szCs w:val="20"/>
        </w:rPr>
        <w:t xml:space="preserve">Final Determination, Section D, para 177, available: </w:t>
      </w:r>
      <w:hyperlink r:id="rId53">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 xml:space="preserve">TS0005, </w:t>
      </w:r>
      <w:r>
        <w:rPr>
          <w:rFonts w:eastAsia="Arial"/>
          <w:color w:val="4472C4"/>
          <w:sz w:val="20"/>
          <w:szCs w:val="20"/>
        </w:rPr>
        <w:t xml:space="preserve">Final Determination, Section D, para 174, available: </w:t>
      </w:r>
      <w:hyperlink r:id="rId54">
        <w:r>
          <w:rPr>
            <w:rFonts w:eastAsia="Arial"/>
            <w:color w:val="4472C4"/>
            <w:sz w:val="20"/>
            <w:szCs w:val="20"/>
            <w:u w:val="single"/>
          </w:rPr>
          <w:t>here</w:t>
        </w:r>
      </w:hyperlink>
      <w:r>
        <w:rPr>
          <w:rFonts w:eastAsia="Arial"/>
          <w:color w:val="4472C4"/>
          <w:sz w:val="20"/>
          <w:szCs w:val="20"/>
        </w:rPr>
        <w:t>.</w:t>
      </w:r>
    </w:p>
  </w:footnote>
  <w:footnote w:id="38">
    <w:p w14:paraId="00000E5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D Garraín, I Herrera, C Lago, Y Lechón, and R Sáez, 'Renewable Diesel Fuel from Processing of Vegetable Oil in Hydrotreatment Units: Theoretical Compliance with European Directive 2009/28/EC and Ongoing Projects in Spain' (2010) 1 </w:t>
      </w:r>
      <w:r>
        <w:rPr>
          <w:rFonts w:eastAsia="Arial"/>
          <w:i/>
          <w:color w:val="4472C4"/>
          <w:sz w:val="20"/>
          <w:szCs w:val="20"/>
        </w:rPr>
        <w:t>Smart Grid and Renewable Energy</w:t>
      </w:r>
      <w:r>
        <w:rPr>
          <w:rFonts w:eastAsia="Arial"/>
          <w:color w:val="4472C4"/>
          <w:sz w:val="20"/>
          <w:szCs w:val="20"/>
        </w:rPr>
        <w:t xml:space="preserve"> 70, doi: 10.4236/sgre.2010.12011, attached as Appendix A.3.</w:t>
      </w:r>
    </w:p>
  </w:footnote>
  <w:footnote w:id="39">
    <w:p w14:paraId="00000E51"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European Technology and Innovation Platform Bioenergy, 'Bioenergy Fact Sheet – Hydrogenated Vegetable Oil (HVO)' (ETIP Bioenergy, 2020) (</w:t>
      </w:r>
      <w:r>
        <w:rPr>
          <w:rFonts w:eastAsia="Arial"/>
          <w:i/>
          <w:color w:val="4472C4"/>
          <w:sz w:val="20"/>
          <w:szCs w:val="20"/>
        </w:rPr>
        <w:t>ETIP, 'HVO Fact Sheet'</w:t>
      </w:r>
      <w:r>
        <w:rPr>
          <w:rFonts w:eastAsia="Arial"/>
          <w:color w:val="4472C4"/>
          <w:sz w:val="20"/>
          <w:szCs w:val="20"/>
        </w:rPr>
        <w:t>), p 2, attached as Appendix A.4.</w:t>
      </w:r>
    </w:p>
  </w:footnote>
  <w:footnote w:id="40">
    <w:p w14:paraId="00000E52"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Neste Corporation, 'Neste Renewable Diesel Handbook' (Neste Corporation, October 2020) (</w:t>
      </w:r>
      <w:r>
        <w:rPr>
          <w:rFonts w:eastAsia="Arial"/>
          <w:i/>
          <w:color w:val="4472C4"/>
          <w:sz w:val="20"/>
          <w:szCs w:val="20"/>
        </w:rPr>
        <w:t>Neste, 'Renewable Diesel Handbook'</w:t>
      </w:r>
      <w:r>
        <w:rPr>
          <w:rFonts w:eastAsia="Arial"/>
          <w:color w:val="4472C4"/>
          <w:sz w:val="20"/>
          <w:szCs w:val="20"/>
        </w:rPr>
        <w:t>), p 5, attached as Appendix A.1. ETIP HVO Fact Sheet, p 1, attached as Appendix A.4.</w:t>
      </w:r>
    </w:p>
  </w:footnote>
  <w:footnote w:id="41">
    <w:p w14:paraId="00000E53"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Zemo Partnership, 'The Renewable Fuels Guide – Helping Heavy Duty Vehicle Fleet Operators Lower Their Greenhouse Gas Emissions' (Zemo Partnership, July 2023) (</w:t>
      </w:r>
      <w:r>
        <w:rPr>
          <w:rFonts w:eastAsia="Arial"/>
          <w:i/>
          <w:color w:val="4472C4"/>
          <w:sz w:val="20"/>
          <w:szCs w:val="20"/>
        </w:rPr>
        <w:t>Zemo, 'Renewable Fuels Guide'</w:t>
      </w:r>
      <w:r>
        <w:rPr>
          <w:rFonts w:eastAsia="Arial"/>
          <w:color w:val="4472C4"/>
          <w:sz w:val="20"/>
          <w:szCs w:val="20"/>
        </w:rPr>
        <w:t>), s 3, p 21, attached as Appendix A.5.</w:t>
      </w:r>
    </w:p>
  </w:footnote>
  <w:footnote w:id="42">
    <w:p w14:paraId="00000E54"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H Aatola, M Larmi, T Sarjovaara, and S Mikkonen, 'Hydrotreated Vegetable Oil (HVO) as a Renewable Diesel Fuel: Trade-off between NOx, Particulate Emission, and Fuel Consumption of a </w:t>
      </w:r>
      <w:r>
        <w:rPr>
          <w:rFonts w:eastAsia="Arial"/>
          <w:color w:val="4472C4"/>
          <w:sz w:val="20"/>
          <w:szCs w:val="20"/>
        </w:rPr>
        <w:t>Heavy Duty Engine' (Helsinki University of Technology and Neste Oil, 2008), p 1-2, attached as Appendix A.6.</w:t>
      </w:r>
    </w:p>
  </w:footnote>
  <w:footnote w:id="43">
    <w:p w14:paraId="00000E5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Neste, 'What is the Difference Between Renewable Diesel and Biodiesel', attached as Appendix A.7.</w:t>
      </w:r>
    </w:p>
  </w:footnote>
  <w:footnote w:id="44">
    <w:p w14:paraId="00000E5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178, available: </w:t>
      </w:r>
      <w:hyperlink r:id="rId55">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 175, available: </w:t>
      </w:r>
      <w:hyperlink r:id="rId56">
        <w:r>
          <w:rPr>
            <w:rFonts w:eastAsia="Arial"/>
            <w:color w:val="4472C4"/>
            <w:sz w:val="20"/>
            <w:szCs w:val="20"/>
            <w:u w:val="single"/>
          </w:rPr>
          <w:t>here</w:t>
        </w:r>
      </w:hyperlink>
      <w:r>
        <w:rPr>
          <w:rFonts w:eastAsia="Arial"/>
          <w:color w:val="4472C4"/>
          <w:sz w:val="20"/>
          <w:szCs w:val="20"/>
        </w:rPr>
        <w:t>.</w:t>
      </w:r>
      <w:r>
        <w:rPr>
          <w:rFonts w:eastAsia="Arial"/>
          <w:color w:val="4472C4"/>
          <w:sz w:val="20"/>
          <w:szCs w:val="20"/>
          <w:vertAlign w:val="superscript"/>
        </w:rPr>
        <w:t xml:space="preserve"> </w:t>
      </w:r>
    </w:p>
  </w:footnote>
  <w:footnote w:id="45">
    <w:p w14:paraId="00000E5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2024/2163 (AD700), recitals (48)-(49), available: </w:t>
      </w:r>
      <w:hyperlink r:id="rId57">
        <w:r>
          <w:rPr>
            <w:rFonts w:eastAsia="Arial"/>
            <w:color w:val="4472C4"/>
            <w:sz w:val="20"/>
            <w:szCs w:val="20"/>
            <w:u w:val="single"/>
          </w:rPr>
          <w:t>here</w:t>
        </w:r>
      </w:hyperlink>
      <w:r>
        <w:rPr>
          <w:rFonts w:eastAsia="Arial"/>
          <w:color w:val="4472C4"/>
          <w:sz w:val="20"/>
          <w:szCs w:val="20"/>
        </w:rPr>
        <w:t>.</w:t>
      </w:r>
    </w:p>
  </w:footnote>
  <w:footnote w:id="46">
    <w:p w14:paraId="00000E5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180, available: </w:t>
      </w:r>
      <w:hyperlink r:id="rId58">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 177, available: </w:t>
      </w:r>
      <w:hyperlink r:id="rId59">
        <w:r>
          <w:rPr>
            <w:rFonts w:eastAsia="Arial"/>
            <w:color w:val="4472C4"/>
            <w:sz w:val="20"/>
            <w:szCs w:val="20"/>
            <w:u w:val="single"/>
          </w:rPr>
          <w:t>here</w:t>
        </w:r>
      </w:hyperlink>
      <w:r>
        <w:rPr>
          <w:rFonts w:eastAsia="Arial"/>
          <w:color w:val="4472C4"/>
          <w:sz w:val="20"/>
          <w:szCs w:val="20"/>
          <w:u w:val="single"/>
        </w:rPr>
        <w:t>.</w:t>
      </w:r>
    </w:p>
  </w:footnote>
  <w:footnote w:id="47">
    <w:p w14:paraId="00000E59"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paras 181-182, available: </w:t>
      </w:r>
      <w:hyperlink r:id="rId60">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paras 178-179, available: </w:t>
      </w:r>
      <w:hyperlink r:id="rId61">
        <w:r>
          <w:rPr>
            <w:rFonts w:eastAsia="Arial"/>
            <w:color w:val="4472C4"/>
            <w:sz w:val="20"/>
            <w:szCs w:val="20"/>
            <w:u w:val="single"/>
          </w:rPr>
          <w:t>here</w:t>
        </w:r>
      </w:hyperlink>
      <w:r>
        <w:rPr>
          <w:rFonts w:eastAsia="Arial"/>
          <w:color w:val="4472C4"/>
          <w:sz w:val="20"/>
          <w:szCs w:val="20"/>
        </w:rPr>
        <w:t>.</w:t>
      </w:r>
    </w:p>
  </w:footnote>
  <w:footnote w:id="48">
    <w:p w14:paraId="00000E5A"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paras 183-184, available: </w:t>
      </w:r>
      <w:hyperlink r:id="rId62">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paras 180-181, available: </w:t>
      </w:r>
      <w:hyperlink r:id="rId63">
        <w:r>
          <w:rPr>
            <w:rFonts w:eastAsia="Arial"/>
            <w:color w:val="4472C4"/>
            <w:sz w:val="20"/>
            <w:szCs w:val="20"/>
            <w:u w:val="single"/>
          </w:rPr>
          <w:t>here</w:t>
        </w:r>
      </w:hyperlink>
      <w:r>
        <w:rPr>
          <w:rFonts w:eastAsia="Arial"/>
          <w:color w:val="4472C4"/>
          <w:sz w:val="20"/>
          <w:szCs w:val="20"/>
        </w:rPr>
        <w:t>.</w:t>
      </w:r>
    </w:p>
  </w:footnote>
  <w:footnote w:id="49">
    <w:p w14:paraId="00000E5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CEN-CELEC, 'About CEN', available: </w:t>
      </w:r>
      <w:hyperlink r:id="rId64">
        <w:r>
          <w:rPr>
            <w:rFonts w:eastAsia="Arial"/>
            <w:color w:val="4472C4"/>
            <w:sz w:val="20"/>
            <w:szCs w:val="20"/>
            <w:u w:val="single"/>
          </w:rPr>
          <w:t>here</w:t>
        </w:r>
      </w:hyperlink>
      <w:r>
        <w:rPr>
          <w:rFonts w:eastAsia="Arial"/>
          <w:color w:val="4472C4"/>
          <w:sz w:val="20"/>
          <w:szCs w:val="20"/>
        </w:rPr>
        <w:t>.</w:t>
      </w:r>
    </w:p>
  </w:footnote>
  <w:footnote w:id="50">
    <w:p w14:paraId="00000E5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Neste, 'Renewable Diesel Handbook', p 8-9, attached as Appendix A.1. </w:t>
      </w:r>
    </w:p>
  </w:footnote>
  <w:footnote w:id="51">
    <w:p w14:paraId="00000E5D"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The allowance of HVO is especially mentioned in EN 590:2022 paragraph 6.4 “Other (bio-) components”.</w:t>
      </w:r>
    </w:p>
  </w:footnote>
  <w:footnote w:id="52">
    <w:p w14:paraId="00000E5E"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Neste, 'Renewable Diesel Handbook', p 9, attached as Appendix A.1. </w:t>
      </w:r>
    </w:p>
  </w:footnote>
  <w:footnote w:id="53">
    <w:p w14:paraId="00000E5F"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414, available: </w:t>
      </w:r>
      <w:hyperlink r:id="rId65">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400, available: </w:t>
      </w:r>
      <w:hyperlink r:id="rId66">
        <w:r>
          <w:rPr>
            <w:rFonts w:eastAsia="Arial"/>
            <w:color w:val="4472C4"/>
            <w:sz w:val="20"/>
            <w:szCs w:val="20"/>
            <w:u w:val="single"/>
          </w:rPr>
          <w:t>here</w:t>
        </w:r>
      </w:hyperlink>
      <w:r>
        <w:rPr>
          <w:rFonts w:eastAsia="Arial"/>
          <w:color w:val="4472C4"/>
          <w:sz w:val="20"/>
          <w:szCs w:val="20"/>
        </w:rPr>
        <w:t>.</w:t>
      </w:r>
    </w:p>
  </w:footnote>
  <w:footnote w:id="54">
    <w:p w14:paraId="00000E60"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European Biofuels Technology Platform, 'Biofuel Fact Sheet – Fatty Acid Methyl Esters (FAME)' (2024) (</w:t>
      </w:r>
      <w:r>
        <w:rPr>
          <w:rFonts w:eastAsia="Arial"/>
          <w:i/>
          <w:color w:val="4472C4"/>
          <w:sz w:val="20"/>
          <w:szCs w:val="20"/>
        </w:rPr>
        <w:t>ETIP, 'FAME Fact Sheet'</w:t>
      </w:r>
      <w:r>
        <w:rPr>
          <w:rFonts w:eastAsia="Arial"/>
          <w:color w:val="4472C4"/>
          <w:sz w:val="20"/>
          <w:szCs w:val="20"/>
        </w:rPr>
        <w:t>), p 1, attached as Appendix A.8.</w:t>
      </w:r>
    </w:p>
  </w:footnote>
  <w:footnote w:id="55">
    <w:p w14:paraId="00000E61"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Zemo, 'Renewable Fuels Guide', s 2, p 13, attached as Appendix A.5. </w:t>
      </w:r>
      <w:r>
        <w:rPr>
          <w:rFonts w:eastAsia="Arial"/>
          <w:i/>
          <w:color w:val="4472C4"/>
          <w:sz w:val="20"/>
          <w:szCs w:val="20"/>
        </w:rPr>
        <w:t>TD0004</w:t>
      </w:r>
      <w:r>
        <w:rPr>
          <w:rFonts w:eastAsia="Arial"/>
          <w:color w:val="4472C4"/>
          <w:sz w:val="20"/>
          <w:szCs w:val="20"/>
        </w:rPr>
        <w:t xml:space="preserve">, Final Determination, Section G, para 275, available: </w:t>
      </w:r>
      <w:hyperlink r:id="rId67">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G, para 259, available: </w:t>
      </w:r>
      <w:hyperlink r:id="rId68">
        <w:r>
          <w:rPr>
            <w:rFonts w:eastAsia="Arial"/>
            <w:color w:val="4472C4"/>
            <w:sz w:val="20"/>
            <w:szCs w:val="20"/>
            <w:u w:val="single"/>
          </w:rPr>
          <w:t>here</w:t>
        </w:r>
      </w:hyperlink>
      <w:r>
        <w:rPr>
          <w:rFonts w:eastAsia="Arial"/>
          <w:color w:val="4472C4"/>
          <w:sz w:val="20"/>
          <w:szCs w:val="20"/>
        </w:rPr>
        <w:t>.</w:t>
      </w:r>
    </w:p>
  </w:footnote>
  <w:footnote w:id="56">
    <w:p w14:paraId="00000E62"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w:t>
      </w:r>
      <w:r>
        <w:rPr>
          <w:rFonts w:eastAsia="Arial"/>
          <w:i/>
          <w:color w:val="4472C4"/>
          <w:sz w:val="20"/>
          <w:szCs w:val="20"/>
        </w:rPr>
        <w:t>It is equal with EN 590 except that the allowed FAME content is higher. This means that the use of HVO is allowed without any fixed limits and without specific labelling for HVO, provided that the final blend complies with EN 16734</w:t>
      </w:r>
      <w:r>
        <w:rPr>
          <w:rFonts w:eastAsia="Arial"/>
          <w:color w:val="4472C4"/>
          <w:sz w:val="20"/>
          <w:szCs w:val="20"/>
        </w:rPr>
        <w:t>": Neste, 'Renewable Diesel Handbook', p 10, attached as Appendix A.1.</w:t>
      </w:r>
      <w:r>
        <w:rPr>
          <w:rFonts w:eastAsia="Arial"/>
          <w:color w:val="4472C4"/>
          <w:sz w:val="20"/>
          <w:szCs w:val="20"/>
          <w:vertAlign w:val="superscript"/>
        </w:rPr>
        <w:t xml:space="preserve"> </w:t>
      </w:r>
    </w:p>
  </w:footnote>
  <w:footnote w:id="57">
    <w:p w14:paraId="00000E63"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w:t>
      </w:r>
      <w:r>
        <w:rPr>
          <w:rFonts w:eastAsia="Arial"/>
          <w:i/>
          <w:color w:val="4472C4"/>
          <w:sz w:val="20"/>
          <w:szCs w:val="20"/>
        </w:rPr>
        <w:t>B20 and B30 should be manufactured by adding FAME into EN 590 diesel fuel. Since HVO is already allowed in EN 590 diesel fuel, B20 and B30 are also allowed to contain HVO without any specified limit or labelling</w:t>
      </w:r>
      <w:r>
        <w:rPr>
          <w:rFonts w:eastAsia="Arial"/>
          <w:color w:val="4472C4"/>
          <w:sz w:val="20"/>
          <w:szCs w:val="20"/>
        </w:rPr>
        <w:t>": Neste, 'Renewable Diesel Handbook', p 10, attached as Appendix A.1.</w:t>
      </w:r>
    </w:p>
  </w:footnote>
  <w:footnote w:id="58">
    <w:p w14:paraId="00000E64"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Neste, 'Renewable Diesel Handbook', p 10, attached as Appendix A.1.</w:t>
      </w:r>
    </w:p>
  </w:footnote>
  <w:footnote w:id="59">
    <w:p w14:paraId="00000E6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Zemo Partnership, 'Overview of higher blend biodiesel and HVO markets in the UK' (September 2024) (</w:t>
      </w:r>
      <w:r>
        <w:rPr>
          <w:rFonts w:eastAsia="Arial"/>
          <w:i/>
          <w:color w:val="4472C4"/>
          <w:sz w:val="20"/>
          <w:szCs w:val="20"/>
        </w:rPr>
        <w:t>Zemo, 'Overview of higher blend markets in the UK'</w:t>
      </w:r>
      <w:r>
        <w:rPr>
          <w:rFonts w:eastAsia="Arial"/>
          <w:color w:val="4472C4"/>
          <w:sz w:val="20"/>
          <w:szCs w:val="20"/>
        </w:rPr>
        <w:t xml:space="preserve">), p 2, attached as Appendix A.16. Zemo Partnership is an independent membership organisation jointly funded by its members and the UK Government: </w:t>
      </w:r>
      <w:r>
        <w:rPr>
          <w:rFonts w:eastAsia="Arial"/>
          <w:b/>
          <w:color w:val="4472C4"/>
          <w:sz w:val="20"/>
          <w:szCs w:val="20"/>
        </w:rPr>
        <w:t>[SENSITIVE – INFORMATION OBTAINED FROM AN EXTERNAL ORGANISATION]</w:t>
      </w:r>
      <w:r>
        <w:rPr>
          <w:rFonts w:eastAsia="Arial"/>
          <w:color w:val="4472C4"/>
          <w:sz w:val="20"/>
          <w:szCs w:val="20"/>
        </w:rPr>
        <w:t>.</w:t>
      </w:r>
    </w:p>
  </w:footnote>
  <w:footnote w:id="60">
    <w:p w14:paraId="7EB866D0" w14:textId="4758BBF3" w:rsidR="00CD4A61" w:rsidRDefault="00CD4A61">
      <w:pPr>
        <w:pStyle w:val="FootnoteText"/>
      </w:pPr>
      <w:r>
        <w:rPr>
          <w:rStyle w:val="FootnoteReference"/>
        </w:rPr>
        <w:footnoteRef/>
      </w:r>
      <w:r>
        <w:t xml:space="preserve"> </w:t>
      </w:r>
      <w:r w:rsidRPr="004E285D">
        <w:rPr>
          <w:rStyle w:val="FootnoteReference"/>
          <w:color w:val="4472C4" w:themeColor="accent1"/>
          <w:vertAlign w:val="baseline"/>
        </w:rPr>
        <w:t xml:space="preserve">Zemo, 'Overview of higher blend markets in the UK', </w:t>
      </w:r>
      <w:r w:rsidRPr="004E285D">
        <w:rPr>
          <w:color w:val="4472C4" w:themeColor="accent1"/>
        </w:rPr>
        <w:t xml:space="preserve">p </w:t>
      </w:r>
      <w:r>
        <w:rPr>
          <w:color w:val="4472C4" w:themeColor="accent1"/>
        </w:rPr>
        <w:t>2</w:t>
      </w:r>
      <w:r w:rsidRPr="004E285D">
        <w:rPr>
          <w:color w:val="4472C4" w:themeColor="accent1"/>
        </w:rPr>
        <w:t xml:space="preserve">, </w:t>
      </w:r>
      <w:r w:rsidRPr="004E285D">
        <w:rPr>
          <w:rStyle w:val="FootnoteReference"/>
          <w:color w:val="4472C4" w:themeColor="accent1"/>
          <w:vertAlign w:val="baseline"/>
        </w:rPr>
        <w:t xml:space="preserve">attached as Appendix </w:t>
      </w:r>
      <w:r w:rsidRPr="004E285D">
        <w:rPr>
          <w:color w:val="4472C4" w:themeColor="accent1"/>
        </w:rPr>
        <w:t>A.16.</w:t>
      </w:r>
    </w:p>
  </w:footnote>
  <w:footnote w:id="61">
    <w:p w14:paraId="65BCCC7F" w14:textId="675D5329" w:rsidR="00CD4A61" w:rsidRDefault="00CD4A61">
      <w:pPr>
        <w:pStyle w:val="FootnoteText"/>
      </w:pPr>
      <w:r>
        <w:rPr>
          <w:rStyle w:val="FootnoteReference"/>
        </w:rPr>
        <w:footnoteRef/>
      </w:r>
      <w:r>
        <w:t xml:space="preserve"> </w:t>
      </w:r>
      <w:r w:rsidRPr="004E285D">
        <w:rPr>
          <w:rStyle w:val="FootnoteReference"/>
          <w:color w:val="4472C4" w:themeColor="accent1"/>
          <w:vertAlign w:val="baseline"/>
        </w:rPr>
        <w:t xml:space="preserve">Zemo, 'Overview of higher blend markets in the UK', </w:t>
      </w:r>
      <w:r w:rsidRPr="004E285D">
        <w:rPr>
          <w:color w:val="4472C4" w:themeColor="accent1"/>
        </w:rPr>
        <w:t xml:space="preserve">p 1, </w:t>
      </w:r>
      <w:r w:rsidRPr="004E285D">
        <w:rPr>
          <w:rStyle w:val="FootnoteReference"/>
          <w:color w:val="4472C4" w:themeColor="accent1"/>
          <w:vertAlign w:val="baseline"/>
        </w:rPr>
        <w:t xml:space="preserve">attached as Appendix </w:t>
      </w:r>
      <w:r w:rsidRPr="004E285D">
        <w:rPr>
          <w:color w:val="4472C4" w:themeColor="accent1"/>
        </w:rPr>
        <w:t>A.16.</w:t>
      </w:r>
    </w:p>
  </w:footnote>
  <w:footnote w:id="62">
    <w:p w14:paraId="00000E66"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For further details, please see two papers prepared by the Zemo Partnership: Zemo, 'Renewable Fuels Guide', attached as Appendix A.5. Zemo, 'Overview of higher blend markets in the UK', attached as Appendix A.16. </w:t>
      </w:r>
    </w:p>
  </w:footnote>
  <w:footnote w:id="63">
    <w:p w14:paraId="00000E67"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176, available: </w:t>
      </w:r>
      <w:hyperlink r:id="rId69">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 173, available: </w:t>
      </w:r>
      <w:hyperlink r:id="rId70">
        <w:r>
          <w:rPr>
            <w:rFonts w:eastAsia="Arial"/>
            <w:color w:val="4472C4"/>
            <w:sz w:val="20"/>
            <w:szCs w:val="20"/>
            <w:u w:val="single"/>
          </w:rPr>
          <w:t>here</w:t>
        </w:r>
      </w:hyperlink>
      <w:r>
        <w:rPr>
          <w:rFonts w:eastAsia="Arial"/>
          <w:color w:val="4472C4"/>
          <w:sz w:val="20"/>
          <w:szCs w:val="20"/>
        </w:rPr>
        <w:t>.</w:t>
      </w:r>
      <w:r>
        <w:rPr>
          <w:rFonts w:eastAsia="Arial"/>
          <w:color w:val="4472C4"/>
          <w:sz w:val="20"/>
          <w:szCs w:val="20"/>
          <w:vertAlign w:val="superscript"/>
        </w:rPr>
        <w:t xml:space="preserve"> </w:t>
      </w:r>
    </w:p>
  </w:footnote>
  <w:footnote w:id="64">
    <w:p w14:paraId="00000E6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National Renewable Energy Laboratory, 'Biodiesel Handling and Use Guide' (6th </w:t>
      </w:r>
      <w:r>
        <w:rPr>
          <w:rFonts w:eastAsia="Arial"/>
          <w:color w:val="4472C4"/>
          <w:sz w:val="20"/>
          <w:szCs w:val="20"/>
        </w:rPr>
        <w:t xml:space="preserve">edn, U.S. Department of Energy, Office of Energy Efficiency and Renewable Energy, 28 September 2023) p 3, attached as Appendix A.9. </w:t>
      </w:r>
    </w:p>
  </w:footnote>
  <w:footnote w:id="65">
    <w:p w14:paraId="00000E69"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ETIP, 'FAME Fact Sheet', p 1-2, attached as Appendix A.8.</w:t>
      </w:r>
    </w:p>
  </w:footnote>
  <w:footnote w:id="66">
    <w:p w14:paraId="00000E6A"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Neste, 'Renewable Diesel Handbook', p 6, attached as Appendix A.1.</w:t>
      </w:r>
    </w:p>
  </w:footnote>
  <w:footnote w:id="67">
    <w:p w14:paraId="00000E6B"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ETIP HVO Fact Sheet, p 1-2, attached as Appendix A.4.</w:t>
      </w:r>
    </w:p>
  </w:footnote>
  <w:footnote w:id="68">
    <w:p w14:paraId="00000E6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European Technology and Innovation Platform Bioenergy, 'EVC2: Hydrotreatment to HVO', attached as Appendix A.10. </w:t>
      </w:r>
    </w:p>
  </w:footnote>
  <w:footnote w:id="69">
    <w:p w14:paraId="00000E6D"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rPr>
        <w:t xml:space="preserve"> M. </w:t>
      </w:r>
      <w:r>
        <w:rPr>
          <w:rFonts w:eastAsia="Arial"/>
          <w:color w:val="4472C4"/>
          <w:sz w:val="20"/>
          <w:szCs w:val="20"/>
        </w:rPr>
        <w:t xml:space="preserve">Gerveni, T. Hubbs and S. Irwin. 'Biodiesel and Renewable Diesel: What’s the Difference?' </w:t>
      </w:r>
      <w:r>
        <w:rPr>
          <w:rFonts w:eastAsia="Arial"/>
          <w:i/>
          <w:color w:val="4472C4"/>
          <w:sz w:val="20"/>
          <w:szCs w:val="20"/>
        </w:rPr>
        <w:t>farmdoc daily</w:t>
      </w:r>
      <w:r>
        <w:rPr>
          <w:rFonts w:eastAsia="Arial"/>
          <w:color w:val="4472C4"/>
          <w:sz w:val="20"/>
          <w:szCs w:val="20"/>
        </w:rPr>
        <w:t xml:space="preserve"> (13):22, Department of Agricultural and Consumer Economics, University of Illinois at Urbana-Champaign (8 February 2023), attached as Appendix A.11. Steves, L. 'A Guide </w:t>
      </w:r>
      <w:r>
        <w:rPr>
          <w:rFonts w:eastAsia="Arial"/>
          <w:color w:val="4472C4"/>
          <w:sz w:val="20"/>
          <w:szCs w:val="20"/>
        </w:rPr>
        <w:t>To Renewable Diesel And Biodiesel' (Breakthrough, 9 October 2023), attached as Appendix A.12.</w:t>
      </w:r>
    </w:p>
  </w:footnote>
  <w:footnote w:id="70">
    <w:p w14:paraId="00000E6E"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ETIP HVO Fact Sheet, p 1-2, attached as Appendix A.4.</w:t>
      </w:r>
    </w:p>
  </w:footnote>
  <w:footnote w:id="71">
    <w:p w14:paraId="00000E6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Neste, 'Renewable Diesel Handbook', p 7, attached as Appendix A.1.</w:t>
      </w:r>
    </w:p>
  </w:footnote>
  <w:footnote w:id="72">
    <w:p w14:paraId="00000E70"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ETIP, 'FAME Fact Sheet', p 2, attached as Appendix A.8. ETIP HVO Fact Sheet, p 2, attached as Appendix A.4.</w:t>
      </w:r>
    </w:p>
  </w:footnote>
  <w:footnote w:id="73">
    <w:p w14:paraId="00000E7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Section I, para 389, available: </w:t>
      </w:r>
      <w:hyperlink r:id="rId71">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375, available: </w:t>
      </w:r>
      <w:hyperlink r:id="rId72">
        <w:r>
          <w:rPr>
            <w:rFonts w:eastAsia="Arial"/>
            <w:color w:val="4472C4"/>
            <w:sz w:val="20"/>
            <w:szCs w:val="20"/>
            <w:u w:val="single"/>
          </w:rPr>
          <w:t>here</w:t>
        </w:r>
      </w:hyperlink>
      <w:r>
        <w:rPr>
          <w:rFonts w:eastAsia="Arial"/>
          <w:color w:val="4472C4"/>
          <w:sz w:val="20"/>
          <w:szCs w:val="20"/>
        </w:rPr>
        <w:t>.</w:t>
      </w:r>
    </w:p>
  </w:footnote>
  <w:footnote w:id="74">
    <w:p w14:paraId="00000E72"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Department for Transport, 'Renewable fuel statistics 2022: final report' (8 November 2023), available: </w:t>
      </w:r>
      <w:hyperlink r:id="rId73" w:anchor="feedstock">
        <w:r>
          <w:rPr>
            <w:rFonts w:eastAsia="Arial"/>
            <w:color w:val="4472C4"/>
            <w:sz w:val="20"/>
            <w:szCs w:val="20"/>
            <w:u w:val="single"/>
          </w:rPr>
          <w:t>here</w:t>
        </w:r>
      </w:hyperlink>
      <w:r>
        <w:rPr>
          <w:rFonts w:eastAsia="Arial"/>
          <w:color w:val="4472C4"/>
          <w:sz w:val="20"/>
          <w:szCs w:val="20"/>
        </w:rPr>
        <w:t xml:space="preserve">. </w:t>
      </w:r>
    </w:p>
  </w:footnote>
  <w:footnote w:id="75">
    <w:p w14:paraId="00000E73"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T. O'Neil, 'U.S. Renewable Diesel Production Growth Drastically Impacts Global Feedstock Trade' (U.S. Department of Agriculture, 11 June 2024), attached as Appendix A.13.</w:t>
      </w:r>
    </w:p>
  </w:footnote>
  <w:footnote w:id="76">
    <w:p w14:paraId="00000E74"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Department for Transport, 'Renewable fuel statistics 2023: Fifth provisional release – Supply of renewable fuels for January to December 2023' (14 August 2024) (</w:t>
      </w:r>
      <w:r>
        <w:rPr>
          <w:rFonts w:eastAsia="Arial"/>
          <w:i/>
          <w:color w:val="4472C4"/>
          <w:sz w:val="20"/>
          <w:szCs w:val="20"/>
        </w:rPr>
        <w:t>DfT, 'RTFO Statistics, 2023 fifth provisional release'</w:t>
      </w:r>
      <w:r>
        <w:rPr>
          <w:rFonts w:eastAsia="Arial"/>
          <w:color w:val="4472C4"/>
          <w:sz w:val="20"/>
          <w:szCs w:val="20"/>
        </w:rPr>
        <w:t>), attached as Appendix A.14. Department for Transport, 'Renewable fuel statistics 2024: First provisional release – Supply of renewable fuels for January to December 2024' (14 August 2024) (</w:t>
      </w:r>
      <w:r>
        <w:rPr>
          <w:rFonts w:eastAsia="Arial"/>
          <w:i/>
          <w:color w:val="4472C4"/>
          <w:sz w:val="20"/>
          <w:szCs w:val="20"/>
        </w:rPr>
        <w:t>DfT, 'RTFO Statistics, 2024 first provisional release'</w:t>
      </w:r>
      <w:r>
        <w:rPr>
          <w:rFonts w:eastAsia="Arial"/>
          <w:color w:val="4472C4"/>
          <w:sz w:val="20"/>
          <w:szCs w:val="20"/>
        </w:rPr>
        <w:t>), attached as Appendix A.15.</w:t>
      </w:r>
    </w:p>
  </w:footnote>
  <w:footnote w:id="77">
    <w:p w14:paraId="00000E7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E, para 191 and Section I, para 409, available: </w:t>
      </w:r>
      <w:hyperlink r:id="rId74">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E, para 190 and Section I, para 395, available: </w:t>
      </w:r>
      <w:hyperlink r:id="rId75">
        <w:r>
          <w:rPr>
            <w:rFonts w:eastAsia="Arial"/>
            <w:color w:val="4472C4"/>
            <w:sz w:val="20"/>
            <w:szCs w:val="20"/>
            <w:u w:val="single"/>
          </w:rPr>
          <w:t>here</w:t>
        </w:r>
      </w:hyperlink>
      <w:r>
        <w:rPr>
          <w:rFonts w:eastAsia="Arial"/>
          <w:color w:val="4472C4"/>
          <w:sz w:val="20"/>
          <w:szCs w:val="20"/>
        </w:rPr>
        <w:t>.</w:t>
      </w:r>
      <w:r>
        <w:rPr>
          <w:rFonts w:eastAsia="Arial"/>
          <w:color w:val="4472C4"/>
          <w:sz w:val="20"/>
          <w:szCs w:val="20"/>
          <w:vertAlign w:val="superscript"/>
        </w:rPr>
        <w:t xml:space="preserve"> </w:t>
      </w:r>
    </w:p>
  </w:footnote>
  <w:footnote w:id="78">
    <w:p w14:paraId="00000E7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I, para 387, available: </w:t>
      </w:r>
      <w:hyperlink r:id="rId76">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373, available: </w:t>
      </w:r>
      <w:hyperlink r:id="rId77">
        <w:r>
          <w:rPr>
            <w:rFonts w:eastAsia="Arial"/>
            <w:color w:val="4472C4"/>
            <w:sz w:val="20"/>
            <w:szCs w:val="20"/>
            <w:u w:val="single"/>
          </w:rPr>
          <w:t>here</w:t>
        </w:r>
      </w:hyperlink>
      <w:r>
        <w:rPr>
          <w:rFonts w:eastAsia="Arial"/>
          <w:color w:val="4472C4"/>
          <w:sz w:val="20"/>
          <w:szCs w:val="20"/>
        </w:rPr>
        <w:t>.</w:t>
      </w:r>
    </w:p>
  </w:footnote>
  <w:footnote w:id="79">
    <w:p w14:paraId="00000E7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2024/2163 (AD700), recitals (312)-(313), available: </w:t>
      </w:r>
      <w:hyperlink r:id="rId78">
        <w:r>
          <w:rPr>
            <w:rFonts w:eastAsia="Arial"/>
            <w:color w:val="4472C4"/>
            <w:sz w:val="20"/>
            <w:szCs w:val="20"/>
            <w:u w:val="single"/>
          </w:rPr>
          <w:t>here</w:t>
        </w:r>
      </w:hyperlink>
      <w:r>
        <w:rPr>
          <w:rFonts w:eastAsia="Arial"/>
          <w:color w:val="4472C4"/>
          <w:sz w:val="20"/>
          <w:szCs w:val="20"/>
        </w:rPr>
        <w:t>.</w:t>
      </w:r>
    </w:p>
    <w:bookmarkStart w:id="22" w:name="_heading=h.8imq56v0ytb2" w:colFirst="0" w:colLast="0"/>
    <w:bookmarkEnd w:id="22"/>
  </w:footnote>
  <w:footnote w:id="80">
    <w:p w14:paraId="00000E7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bookmarkStart w:id="23" w:name="_heading=h.8imq56v0ytb2" w:colFirst="0" w:colLast="0"/>
      <w:bookmarkEnd w:id="23"/>
      <w:r>
        <w:rPr>
          <w:rStyle w:val="FootnoteReference"/>
        </w:rPr>
        <w:footnoteRef/>
      </w:r>
      <w:r>
        <w:rPr>
          <w:rFonts w:eastAsia="Arial"/>
          <w:color w:val="4472C4"/>
          <w:sz w:val="20"/>
          <w:szCs w:val="20"/>
        </w:rPr>
        <w:t xml:space="preserve"> </w:t>
      </w:r>
      <w:r>
        <w:rPr>
          <w:rFonts w:eastAsia="Arial"/>
          <w:i/>
          <w:color w:val="4472C4"/>
          <w:sz w:val="20"/>
          <w:szCs w:val="20"/>
        </w:rPr>
        <w:t>See</w:t>
      </w:r>
      <w:r>
        <w:rPr>
          <w:rFonts w:eastAsia="Arial"/>
          <w:color w:val="4472C4"/>
          <w:sz w:val="20"/>
          <w:szCs w:val="20"/>
        </w:rPr>
        <w:t xml:space="preserve"> Renewable Transport Fuel Obligations Order 2007, SI 2007/3072, available: </w:t>
      </w:r>
      <w:hyperlink r:id="rId79">
        <w:r>
          <w:rPr>
            <w:rFonts w:eastAsia="Arial"/>
            <w:color w:val="4472C4"/>
            <w:sz w:val="20"/>
            <w:szCs w:val="20"/>
            <w:u w:val="single"/>
          </w:rPr>
          <w:t>here</w:t>
        </w:r>
      </w:hyperlink>
    </w:p>
  </w:footnote>
  <w:footnote w:id="81">
    <w:p w14:paraId="00000E79"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TS0005</w:t>
      </w:r>
      <w:r>
        <w:rPr>
          <w:rFonts w:eastAsia="Arial"/>
          <w:color w:val="4472C4"/>
          <w:sz w:val="20"/>
          <w:szCs w:val="20"/>
        </w:rPr>
        <w:t xml:space="preserve">, Final Determination, Section G, para 256, available: </w:t>
      </w:r>
      <w:hyperlink r:id="rId80">
        <w:r>
          <w:rPr>
            <w:rFonts w:eastAsia="Arial"/>
            <w:color w:val="4472C4"/>
            <w:sz w:val="20"/>
            <w:szCs w:val="20"/>
            <w:u w:val="single"/>
          </w:rPr>
          <w:t>here</w:t>
        </w:r>
      </w:hyperlink>
      <w:r>
        <w:rPr>
          <w:rFonts w:eastAsia="Arial"/>
          <w:color w:val="4472C4"/>
          <w:sz w:val="20"/>
          <w:szCs w:val="20"/>
        </w:rPr>
        <w:t>.</w:t>
      </w:r>
    </w:p>
  </w:footnote>
  <w:footnote w:id="82">
    <w:p w14:paraId="00000E7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Electromobility UK, 'Written Evidence Submitted by Electromobility UK (FTF0062), Fuelling the Future: Motive Power and Connectivity' (January 2022), available: </w:t>
      </w:r>
      <w:hyperlink r:id="rId81" w:anchor=":~:text=The%20RTFO%20is%20an%20obligation,rise%20to%2014.6%25%20in%202032">
        <w:r>
          <w:rPr>
            <w:rFonts w:eastAsia="Arial"/>
            <w:color w:val="4472C4"/>
            <w:sz w:val="20"/>
            <w:szCs w:val="20"/>
            <w:u w:val="single"/>
          </w:rPr>
          <w:t>here</w:t>
        </w:r>
      </w:hyperlink>
      <w:r>
        <w:rPr>
          <w:rFonts w:eastAsia="Arial"/>
          <w:color w:val="4472C4"/>
          <w:sz w:val="20"/>
          <w:szCs w:val="20"/>
        </w:rPr>
        <w:t>.</w:t>
      </w:r>
    </w:p>
  </w:footnote>
  <w:footnote w:id="83">
    <w:p w14:paraId="00000E7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'The Renewable Transport Fuel Obligation – an essential guide', available: </w:t>
      </w:r>
      <w:hyperlink r:id="rId82">
        <w:r>
          <w:rPr>
            <w:rFonts w:eastAsia="Arial"/>
            <w:color w:val="4472C4"/>
            <w:sz w:val="20"/>
            <w:szCs w:val="20"/>
            <w:u w:val="single"/>
          </w:rPr>
          <w:t>here</w:t>
        </w:r>
      </w:hyperlink>
      <w:r>
        <w:rPr>
          <w:rFonts w:eastAsia="Arial"/>
          <w:color w:val="4472C4"/>
          <w:sz w:val="20"/>
          <w:szCs w:val="20"/>
        </w:rPr>
        <w:t>.</w:t>
      </w:r>
    </w:p>
  </w:footnote>
  <w:footnote w:id="84">
    <w:p w14:paraId="00000E7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Renewable Transport Fuel Obligations Order 2007, arts 3(10) and 4, available: </w:t>
      </w:r>
      <w:hyperlink r:id="rId83">
        <w:r>
          <w:rPr>
            <w:rFonts w:eastAsia="Arial"/>
            <w:color w:val="4472C4"/>
            <w:sz w:val="20"/>
            <w:szCs w:val="20"/>
            <w:u w:val="single"/>
          </w:rPr>
          <w:t>here</w:t>
        </w:r>
      </w:hyperlink>
      <w:r>
        <w:rPr>
          <w:rFonts w:eastAsia="Arial"/>
          <w:color w:val="4472C4"/>
          <w:sz w:val="20"/>
          <w:szCs w:val="20"/>
        </w:rPr>
        <w:t>.</w:t>
      </w:r>
    </w:p>
  </w:footnote>
  <w:footnote w:id="85">
    <w:p w14:paraId="00000E7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Transport Fuel Obligation: Compliance Guidance 2023: 01/01/23 to 31/12/23' (2023), available: </w:t>
      </w:r>
      <w:hyperlink r:id="rId84">
        <w:r>
          <w:rPr>
            <w:rFonts w:eastAsia="Arial"/>
            <w:color w:val="4472C4"/>
            <w:sz w:val="20"/>
            <w:szCs w:val="20"/>
            <w:u w:val="single"/>
          </w:rPr>
          <w:t>here</w:t>
        </w:r>
      </w:hyperlink>
      <w:r>
        <w:rPr>
          <w:rFonts w:eastAsia="Arial"/>
          <w:color w:val="4472C4"/>
          <w:sz w:val="20"/>
          <w:szCs w:val="20"/>
        </w:rPr>
        <w:t>.</w:t>
      </w:r>
    </w:p>
  </w:footnote>
  <w:footnote w:id="86">
    <w:p w14:paraId="00000E7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Renewable Transport Fuel Obligations Order 2007, art 21, available: </w:t>
      </w:r>
      <w:hyperlink r:id="rId85">
        <w:r>
          <w:rPr>
            <w:rFonts w:eastAsia="Arial"/>
            <w:color w:val="4472C4"/>
            <w:sz w:val="20"/>
            <w:szCs w:val="20"/>
            <w:u w:val="single"/>
          </w:rPr>
          <w:t>here</w:t>
        </w:r>
      </w:hyperlink>
      <w:r>
        <w:rPr>
          <w:rFonts w:eastAsia="Arial"/>
          <w:color w:val="4472C4"/>
          <w:sz w:val="20"/>
          <w:szCs w:val="20"/>
        </w:rPr>
        <w:t>. The buy-out price is currently 50p per standard RTFC and 80p per development fuel RTFC.</w:t>
      </w:r>
    </w:p>
  </w:footnote>
  <w:footnote w:id="87">
    <w:p w14:paraId="00000E7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Renewable Transport Fuel Obligations Order 2007, art 17A, available: </w:t>
      </w:r>
      <w:hyperlink r:id="rId86">
        <w:r>
          <w:rPr>
            <w:rFonts w:eastAsia="Arial"/>
            <w:color w:val="4472C4"/>
            <w:sz w:val="20"/>
            <w:szCs w:val="20"/>
            <w:u w:val="single"/>
          </w:rPr>
          <w:t>here</w:t>
        </w:r>
      </w:hyperlink>
      <w:r>
        <w:rPr>
          <w:rFonts w:eastAsia="Arial"/>
          <w:color w:val="4472C4"/>
          <w:sz w:val="20"/>
          <w:szCs w:val="20"/>
        </w:rPr>
        <w:t>.</w:t>
      </w:r>
    </w:p>
  </w:footnote>
  <w:footnote w:id="88">
    <w:p w14:paraId="00000E8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DfT, 'RTFO Statistics, 2023 fifth provisional release', attached as Appendix A.14. DfT, 'RTFO Statistics, 2024 first provisional release', attached as Appendix A.15.</w:t>
      </w:r>
    </w:p>
  </w:footnote>
  <w:footnote w:id="89">
    <w:p w14:paraId="00000E8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Renewable Transport Fuel Obligations Order 2007, art 5(2A) and </w:t>
      </w:r>
      <w:r>
        <w:rPr>
          <w:rFonts w:eastAsia="Arial"/>
          <w:color w:val="4472C4"/>
          <w:sz w:val="20"/>
          <w:szCs w:val="20"/>
        </w:rPr>
        <w:t xml:space="preserve">sch 1, available: </w:t>
      </w:r>
      <w:hyperlink r:id="rId87">
        <w:r>
          <w:rPr>
            <w:rFonts w:eastAsia="Arial"/>
            <w:color w:val="4472C4"/>
            <w:sz w:val="20"/>
            <w:szCs w:val="20"/>
            <w:u w:val="single"/>
          </w:rPr>
          <w:t>here</w:t>
        </w:r>
      </w:hyperlink>
      <w:r>
        <w:rPr>
          <w:rFonts w:eastAsia="Arial"/>
          <w:color w:val="4472C4"/>
          <w:sz w:val="20"/>
          <w:szCs w:val="20"/>
        </w:rPr>
        <w:t>.</w:t>
      </w:r>
    </w:p>
  </w:footnote>
  <w:footnote w:id="90">
    <w:p w14:paraId="00000E8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Transport Fuel Obligation' (last updated 19 January 2021), available: </w:t>
      </w:r>
      <w:hyperlink r:id="rId88">
        <w:r>
          <w:rPr>
            <w:rFonts w:eastAsia="Arial"/>
            <w:color w:val="4472C4"/>
            <w:sz w:val="20"/>
            <w:szCs w:val="20"/>
            <w:u w:val="single"/>
          </w:rPr>
          <w:t>here</w:t>
        </w:r>
      </w:hyperlink>
      <w:r>
        <w:rPr>
          <w:rFonts w:eastAsia="Arial"/>
          <w:color w:val="4472C4"/>
          <w:sz w:val="20"/>
          <w:szCs w:val="20"/>
        </w:rPr>
        <w:t xml:space="preserve">. Department for Transport, 'RTFO List of Recognised Voluntary Schemes' (published 22 December 2021), available: </w:t>
      </w:r>
      <w:hyperlink r:id="rId89">
        <w:r>
          <w:rPr>
            <w:rFonts w:eastAsia="Arial"/>
            <w:color w:val="4472C4"/>
            <w:sz w:val="20"/>
            <w:szCs w:val="20"/>
            <w:u w:val="single"/>
          </w:rPr>
          <w:t>here</w:t>
        </w:r>
      </w:hyperlink>
      <w:r>
        <w:rPr>
          <w:rFonts w:eastAsia="Arial"/>
          <w:color w:val="4472C4"/>
          <w:sz w:val="20"/>
          <w:szCs w:val="20"/>
        </w:rPr>
        <w:t>.</w:t>
      </w:r>
    </w:p>
  </w:footnote>
  <w:footnote w:id="91">
    <w:p w14:paraId="00000E8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International Sustainability &amp; Carbon Certification, 'Showing Compliance </w:t>
      </w:r>
      <w:r>
        <w:rPr>
          <w:rFonts w:eastAsia="Arial"/>
          <w:color w:val="4472C4"/>
          <w:sz w:val="20"/>
          <w:szCs w:val="20"/>
        </w:rPr>
        <w:t>With Different Sustainability Requirements'</w:t>
      </w:r>
      <w:r>
        <w:rPr>
          <w:rFonts w:eastAsia="Arial"/>
          <w:i/>
          <w:color w:val="4472C4"/>
          <w:sz w:val="20"/>
          <w:szCs w:val="20"/>
        </w:rPr>
        <w:t xml:space="preserve">, </w:t>
      </w:r>
      <w:r>
        <w:rPr>
          <w:rFonts w:eastAsia="Arial"/>
          <w:color w:val="4472C4"/>
          <w:sz w:val="20"/>
          <w:szCs w:val="20"/>
        </w:rPr>
        <w:t>attached as Appendix A.17.</w:t>
      </w:r>
    </w:p>
  </w:footnote>
  <w:footnote w:id="92">
    <w:p w14:paraId="00000E8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Zemo Partnership, 'Renewable Fuels Assurance Scheme', attached as Appendix A.18.</w:t>
      </w:r>
    </w:p>
  </w:footnote>
  <w:footnote w:id="93">
    <w:p w14:paraId="00000E8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408, available: </w:t>
      </w:r>
      <w:hyperlink r:id="rId90">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394, available: </w:t>
      </w:r>
      <w:hyperlink r:id="rId91">
        <w:r>
          <w:rPr>
            <w:rFonts w:eastAsia="Arial"/>
            <w:color w:val="4472C4"/>
            <w:sz w:val="20"/>
            <w:szCs w:val="20"/>
            <w:u w:val="single"/>
          </w:rPr>
          <w:t>here</w:t>
        </w:r>
      </w:hyperlink>
      <w:r>
        <w:rPr>
          <w:rFonts w:eastAsia="Arial"/>
          <w:color w:val="4472C4"/>
          <w:sz w:val="20"/>
          <w:szCs w:val="20"/>
        </w:rPr>
        <w:t>.</w:t>
      </w:r>
    </w:p>
  </w:footnote>
  <w:footnote w:id="94">
    <w:p w14:paraId="00000E8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E, para 191, available: </w:t>
      </w:r>
      <w:hyperlink r:id="rId92">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E, para 190, available: </w:t>
      </w:r>
      <w:hyperlink r:id="rId93">
        <w:r>
          <w:rPr>
            <w:rFonts w:eastAsia="Arial"/>
            <w:color w:val="4472C4"/>
            <w:sz w:val="20"/>
            <w:szCs w:val="20"/>
            <w:u w:val="single"/>
          </w:rPr>
          <w:t>here</w:t>
        </w:r>
      </w:hyperlink>
      <w:r>
        <w:rPr>
          <w:rFonts w:eastAsia="Arial"/>
          <w:color w:val="4472C4"/>
          <w:sz w:val="20"/>
          <w:szCs w:val="20"/>
        </w:rPr>
        <w:t>.</w:t>
      </w:r>
    </w:p>
  </w:footnote>
  <w:footnote w:id="95">
    <w:p w14:paraId="00000E8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I, para 399, available: </w:t>
      </w:r>
      <w:hyperlink r:id="rId94">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385, available: </w:t>
      </w:r>
      <w:hyperlink r:id="rId95">
        <w:r>
          <w:rPr>
            <w:rFonts w:eastAsia="Arial"/>
            <w:color w:val="4472C4"/>
            <w:sz w:val="20"/>
            <w:szCs w:val="20"/>
            <w:u w:val="single"/>
          </w:rPr>
          <w:t>here</w:t>
        </w:r>
      </w:hyperlink>
      <w:r>
        <w:rPr>
          <w:rFonts w:eastAsia="Arial"/>
          <w:color w:val="4472C4"/>
          <w:sz w:val="20"/>
          <w:szCs w:val="20"/>
        </w:rPr>
        <w:t>.</w:t>
      </w:r>
    </w:p>
  </w:footnote>
  <w:footnote w:id="96">
    <w:p w14:paraId="00000E88"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Greenergy,</w:t>
      </w:r>
      <w:r>
        <w:rPr>
          <w:rFonts w:eastAsia="Arial"/>
          <w:i/>
          <w:color w:val="4472C4"/>
          <w:sz w:val="20"/>
          <w:szCs w:val="20"/>
        </w:rPr>
        <w:t xml:space="preserve"> </w:t>
      </w:r>
      <w:r>
        <w:rPr>
          <w:rFonts w:eastAsia="Arial"/>
          <w:color w:val="4472C4"/>
          <w:sz w:val="20"/>
          <w:szCs w:val="20"/>
        </w:rPr>
        <w:t>'Biofuels', attached as Appendix A.19.</w:t>
      </w:r>
    </w:p>
  </w:footnote>
  <w:footnote w:id="97">
    <w:p w14:paraId="00000E89"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Greenergy, 'UK',</w:t>
      </w:r>
      <w:r>
        <w:rPr>
          <w:rFonts w:eastAsia="Arial"/>
          <w:i/>
          <w:color w:val="4472C4"/>
          <w:sz w:val="20"/>
          <w:szCs w:val="20"/>
        </w:rPr>
        <w:t xml:space="preserve"> </w:t>
      </w:r>
      <w:r>
        <w:rPr>
          <w:rFonts w:eastAsia="Arial"/>
          <w:color w:val="4472C4"/>
          <w:sz w:val="20"/>
          <w:szCs w:val="20"/>
        </w:rPr>
        <w:t>attached as Appendix A.20.</w:t>
      </w:r>
    </w:p>
  </w:footnote>
  <w:footnote w:id="98">
    <w:p w14:paraId="00000E8A"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Argent Energy, 'What We Do',</w:t>
      </w:r>
      <w:r>
        <w:rPr>
          <w:rFonts w:eastAsia="Arial"/>
          <w:i/>
          <w:color w:val="4472C4"/>
          <w:sz w:val="20"/>
          <w:szCs w:val="20"/>
        </w:rPr>
        <w:t xml:space="preserve"> </w:t>
      </w:r>
      <w:r>
        <w:rPr>
          <w:rFonts w:eastAsia="Arial"/>
          <w:color w:val="4472C4"/>
          <w:sz w:val="20"/>
          <w:szCs w:val="20"/>
        </w:rPr>
        <w:t>attached as Appendix A.21.</w:t>
      </w:r>
    </w:p>
  </w:footnote>
  <w:footnote w:id="99">
    <w:p w14:paraId="00000E8B"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Argent Energy, 'Biodiesel'</w:t>
      </w:r>
      <w:r>
        <w:rPr>
          <w:rFonts w:eastAsia="Arial"/>
          <w:i/>
          <w:color w:val="4472C4"/>
          <w:sz w:val="20"/>
          <w:szCs w:val="20"/>
        </w:rPr>
        <w:t xml:space="preserve">, </w:t>
      </w:r>
      <w:r>
        <w:rPr>
          <w:rFonts w:eastAsia="Arial"/>
          <w:color w:val="4472C4"/>
          <w:sz w:val="20"/>
          <w:szCs w:val="20"/>
        </w:rPr>
        <w:t>attached as Appendix A.22.</w:t>
      </w:r>
    </w:p>
  </w:footnote>
  <w:footnote w:id="100">
    <w:p w14:paraId="00000E8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Argent Energy, 'Delivery and Supply', attached as Appendix A.23.</w:t>
      </w:r>
    </w:p>
  </w:footnote>
  <w:footnote w:id="101">
    <w:p w14:paraId="00000E8D"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Argent Energy, 'Argent Energy Proposed to End Production at Its Biodiesel Plant in Scotland' (25 March 2024), attached as Appendix A.24. BBC, 'Union Pleads for Government Help to Save Biofuel Jobs' (30 April 2024), attached as Appendix A.25.</w:t>
      </w:r>
    </w:p>
  </w:footnote>
  <w:footnote w:id="102">
    <w:p w14:paraId="00000E8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color w:val="4472C4"/>
          <w:sz w:val="20"/>
          <w:szCs w:val="20"/>
        </w:rPr>
        <w:t>Olleco, 'About Olleco',</w:t>
      </w:r>
      <w:r>
        <w:rPr>
          <w:rFonts w:eastAsia="Arial"/>
          <w:i/>
          <w:color w:val="4472C4"/>
          <w:sz w:val="20"/>
          <w:szCs w:val="20"/>
        </w:rPr>
        <w:t xml:space="preserve"> </w:t>
      </w:r>
      <w:r>
        <w:rPr>
          <w:rFonts w:eastAsia="Arial"/>
          <w:color w:val="4472C4"/>
          <w:sz w:val="20"/>
          <w:szCs w:val="20"/>
        </w:rPr>
        <w:t>attached as Appendix A.26.</w:t>
      </w:r>
    </w:p>
  </w:footnote>
  <w:footnote w:id="103">
    <w:p w14:paraId="00000E8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color w:val="4472C4"/>
          <w:sz w:val="20"/>
          <w:szCs w:val="20"/>
        </w:rPr>
        <w:t>Olleco, 'Biodiesel'</w:t>
      </w:r>
      <w:r>
        <w:rPr>
          <w:rFonts w:eastAsia="Arial"/>
          <w:i/>
          <w:color w:val="4472C4"/>
          <w:sz w:val="20"/>
          <w:szCs w:val="20"/>
        </w:rPr>
        <w:t xml:space="preserve">, </w:t>
      </w:r>
      <w:r>
        <w:rPr>
          <w:rFonts w:eastAsia="Arial"/>
          <w:color w:val="4472C4"/>
          <w:sz w:val="20"/>
          <w:szCs w:val="20"/>
        </w:rPr>
        <w:t>attached as Appendix A.27.</w:t>
      </w:r>
    </w:p>
  </w:footnote>
  <w:footnote w:id="104">
    <w:p w14:paraId="00000E9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462, available: </w:t>
      </w:r>
      <w:hyperlink r:id="rId96">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448, available: </w:t>
      </w:r>
      <w:hyperlink r:id="rId97">
        <w:r>
          <w:rPr>
            <w:rFonts w:eastAsia="Arial"/>
            <w:color w:val="4472C4"/>
            <w:sz w:val="20"/>
            <w:szCs w:val="20"/>
            <w:u w:val="single"/>
          </w:rPr>
          <w:t>here</w:t>
        </w:r>
      </w:hyperlink>
      <w:r>
        <w:rPr>
          <w:rFonts w:eastAsia="Arial"/>
          <w:color w:val="4472C4"/>
          <w:sz w:val="20"/>
          <w:szCs w:val="20"/>
        </w:rPr>
        <w:t>.</w:t>
      </w:r>
    </w:p>
  </w:footnote>
  <w:footnote w:id="105">
    <w:p w14:paraId="00000E9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G, para 240, available: </w:t>
      </w:r>
      <w:hyperlink r:id="rId98">
        <w:r>
          <w:rPr>
            <w:rFonts w:eastAsia="Arial"/>
            <w:color w:val="4472C4"/>
            <w:sz w:val="20"/>
            <w:szCs w:val="20"/>
            <w:u w:val="single"/>
          </w:rPr>
          <w:t>here</w:t>
        </w:r>
      </w:hyperlink>
      <w:r>
        <w:rPr>
          <w:rFonts w:eastAsia="Arial"/>
          <w:color w:val="4472C4"/>
          <w:sz w:val="20"/>
          <w:szCs w:val="20"/>
        </w:rPr>
        <w:t>.</w:t>
      </w:r>
    </w:p>
  </w:footnote>
  <w:footnote w:id="106">
    <w:p w14:paraId="00000E9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I, para 464, available: </w:t>
      </w:r>
      <w:hyperlink r:id="rId99">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450, available: </w:t>
      </w:r>
      <w:hyperlink r:id="rId100">
        <w:r>
          <w:rPr>
            <w:rFonts w:eastAsia="Arial"/>
            <w:color w:val="4472C4"/>
            <w:sz w:val="20"/>
            <w:szCs w:val="20"/>
            <w:u w:val="single"/>
          </w:rPr>
          <w:t>here</w:t>
        </w:r>
      </w:hyperlink>
      <w:r>
        <w:rPr>
          <w:rFonts w:eastAsia="Arial"/>
          <w:color w:val="4472C4"/>
          <w:sz w:val="20"/>
          <w:szCs w:val="20"/>
        </w:rPr>
        <w:t>.</w:t>
      </w:r>
    </w:p>
  </w:footnote>
  <w:footnote w:id="107">
    <w:p w14:paraId="00000E9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459, available: </w:t>
      </w:r>
      <w:hyperlink r:id="rId101">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445, available: </w:t>
      </w:r>
      <w:hyperlink r:id="rId102">
        <w:r>
          <w:rPr>
            <w:rFonts w:eastAsia="Arial"/>
            <w:color w:val="4472C4"/>
            <w:sz w:val="20"/>
            <w:szCs w:val="20"/>
            <w:u w:val="single"/>
          </w:rPr>
          <w:t>here</w:t>
        </w:r>
      </w:hyperlink>
      <w:r>
        <w:rPr>
          <w:rFonts w:eastAsia="Arial"/>
          <w:color w:val="4472C4"/>
          <w:sz w:val="20"/>
          <w:szCs w:val="20"/>
        </w:rPr>
        <w:t>.</w:t>
      </w:r>
    </w:p>
  </w:footnote>
  <w:footnote w:id="108">
    <w:p w14:paraId="00000E9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416, available: </w:t>
      </w:r>
      <w:hyperlink r:id="rId103">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402, available: </w:t>
      </w:r>
      <w:hyperlink r:id="rId104">
        <w:r>
          <w:rPr>
            <w:rFonts w:eastAsia="Arial"/>
            <w:color w:val="4472C4"/>
            <w:sz w:val="20"/>
            <w:szCs w:val="20"/>
            <w:u w:val="single"/>
          </w:rPr>
          <w:t>here</w:t>
        </w:r>
      </w:hyperlink>
      <w:r>
        <w:rPr>
          <w:rFonts w:eastAsia="Arial"/>
          <w:color w:val="4472C4"/>
          <w:sz w:val="20"/>
          <w:szCs w:val="20"/>
        </w:rPr>
        <w:t>.</w:t>
      </w:r>
    </w:p>
  </w:footnote>
  <w:footnote w:id="109">
    <w:p w14:paraId="00000E9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Energy Security and Net Zero, 'Energy Trends: UK Renewables Consumption of Liquid Biofuels (ET 6.2 - Quarterly)' (last updated 8 August 2024), attached as Appendix A.28.</w:t>
      </w:r>
    </w:p>
  </w:footnote>
  <w:footnote w:id="110">
    <w:p w14:paraId="00000E9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From the latest RTFO statistics for 2024, 405m litres was supplied from 1 January to 14 June 2024. Our estimate for total 2024 is ~800m litres (704,000 tonnes). This is a significant reduction from recent years: DfT, 'RTFO Statistics, 2024 first provisional release', attached as Appendix A.15.</w:t>
      </w:r>
    </w:p>
  </w:footnote>
  <w:footnote w:id="111">
    <w:p w14:paraId="00000E9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Environment Food &amp; Rural Affairs, 'Bioenergy Crops in England and the UK: 2008-2023' (27 June 2024), available: </w:t>
      </w:r>
      <w:hyperlink r:id="rId105" w:anchor="biofuels">
        <w:r>
          <w:rPr>
            <w:rFonts w:eastAsia="Arial"/>
            <w:color w:val="4472C4"/>
            <w:sz w:val="20"/>
            <w:szCs w:val="20"/>
            <w:u w:val="single"/>
          </w:rPr>
          <w:t>here</w:t>
        </w:r>
      </w:hyperlink>
      <w:r>
        <w:rPr>
          <w:rFonts w:eastAsia="Arial"/>
          <w:color w:val="4472C4"/>
          <w:sz w:val="20"/>
          <w:szCs w:val="20"/>
        </w:rPr>
        <w:t>.</w:t>
      </w:r>
    </w:p>
  </w:footnote>
  <w:footnote w:id="112">
    <w:p w14:paraId="00000E9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G, paras 284-285, available: </w:t>
      </w:r>
      <w:hyperlink r:id="rId106">
        <w:r>
          <w:rPr>
            <w:rFonts w:eastAsia="Arial"/>
            <w:color w:val="4472C4"/>
            <w:sz w:val="20"/>
            <w:szCs w:val="20"/>
            <w:u w:val="single"/>
          </w:rPr>
          <w:t>here</w:t>
        </w:r>
      </w:hyperlink>
      <w:r>
        <w:rPr>
          <w:rFonts w:eastAsia="Arial"/>
          <w:color w:val="4472C4"/>
          <w:sz w:val="20"/>
          <w:szCs w:val="20"/>
        </w:rPr>
        <w:t>.</w:t>
      </w:r>
    </w:p>
  </w:footnote>
  <w:footnote w:id="113">
    <w:p w14:paraId="00000E99"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U.S. Energy Information Administration, 'U.S. Imports of Renewable Diesel Increased in the Early Months of 2024' (6 August 2024), attached as Appendix A.29.</w:t>
      </w:r>
    </w:p>
  </w:footnote>
  <w:footnote w:id="114">
    <w:p w14:paraId="00000E9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UK refineries and fuel producers align with the general understanding of co-processing as the simultaneous processing of biofuels or other alternative fuels alongside conventional fossil fuels within existing refinery infrastructure.</w:t>
      </w:r>
    </w:p>
  </w:footnote>
  <w:footnote w:id="115">
    <w:p w14:paraId="00000E9B"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Phillips 66, 'Renewable Fuels', attached as Appendix D.2. </w:t>
      </w:r>
    </w:p>
  </w:footnote>
  <w:footnote w:id="116">
    <w:p w14:paraId="00000E9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RTFO statistics indicate that P66 supplied co-processed road fuel made from UCO during 2022, but do not appear to have supplied any in 2023. </w:t>
      </w:r>
      <w:r>
        <w:rPr>
          <w:rFonts w:eastAsia="Arial"/>
          <w:i/>
          <w:color w:val="4472C4"/>
          <w:sz w:val="20"/>
          <w:szCs w:val="20"/>
        </w:rPr>
        <w:t xml:space="preserve">See </w:t>
      </w:r>
      <w:r>
        <w:rPr>
          <w:rFonts w:eastAsia="Arial"/>
          <w:color w:val="4472C4"/>
          <w:sz w:val="20"/>
          <w:szCs w:val="20"/>
        </w:rPr>
        <w:t xml:space="preserve">Department for Transport, 'Renewable fuel statistics 2022: Final report – Supply of renewable fuels for January to December 2022', available: </w:t>
      </w:r>
      <w:hyperlink r:id="rId107">
        <w:r>
          <w:rPr>
            <w:rFonts w:eastAsia="Arial"/>
            <w:color w:val="4472C4"/>
            <w:sz w:val="20"/>
            <w:szCs w:val="20"/>
            <w:u w:val="single"/>
          </w:rPr>
          <w:t>here</w:t>
        </w:r>
      </w:hyperlink>
      <w:r>
        <w:rPr>
          <w:rFonts w:eastAsia="Arial"/>
          <w:color w:val="4472C4"/>
          <w:sz w:val="20"/>
          <w:szCs w:val="20"/>
        </w:rPr>
        <w:t xml:space="preserve">. </w:t>
      </w:r>
    </w:p>
  </w:footnote>
  <w:footnote w:id="117">
    <w:p w14:paraId="00000E9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Phillips 66, attached as Appendix D.3. Phillips 66, 'Renewable Diesel', attached as Appendix D.4.</w:t>
      </w:r>
    </w:p>
  </w:footnote>
  <w:footnote w:id="118">
    <w:p w14:paraId="00000E9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Phillips 66, 'News Releases', attached as Appendix D.5. </w:t>
      </w:r>
    </w:p>
  </w:footnote>
  <w:footnote w:id="119">
    <w:p w14:paraId="00000E9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UK Trade Info, 'Trade Data' (HM Revenue &amp; Customs), available: </w:t>
      </w:r>
      <w:hyperlink r:id="rId108" w:anchor="bulk-datasets">
        <w:r>
          <w:rPr>
            <w:rFonts w:eastAsia="Arial"/>
            <w:color w:val="4472C4"/>
            <w:sz w:val="20"/>
            <w:szCs w:val="20"/>
            <w:u w:val="single"/>
          </w:rPr>
          <w:t>here</w:t>
        </w:r>
      </w:hyperlink>
      <w:r>
        <w:rPr>
          <w:rFonts w:eastAsia="Arial"/>
          <w:color w:val="4472C4"/>
          <w:sz w:val="20"/>
          <w:szCs w:val="20"/>
        </w:rPr>
        <w:t>.</w:t>
      </w:r>
    </w:p>
  </w:footnote>
  <w:footnote w:id="120">
    <w:p w14:paraId="00000EA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UK Trade Info, 'OTS Custom Table' (HM Revenue &amp; Customs), available: </w:t>
      </w:r>
      <w:hyperlink r:id="rId109">
        <w:r>
          <w:rPr>
            <w:rFonts w:eastAsia="Arial"/>
            <w:color w:val="4472C4"/>
            <w:sz w:val="20"/>
            <w:szCs w:val="20"/>
            <w:u w:val="single"/>
          </w:rPr>
          <w:t>here</w:t>
        </w:r>
      </w:hyperlink>
      <w:r>
        <w:rPr>
          <w:rFonts w:eastAsia="Arial"/>
          <w:color w:val="4472C4"/>
          <w:sz w:val="20"/>
          <w:szCs w:val="20"/>
        </w:rPr>
        <w:t>.</w:t>
      </w:r>
    </w:p>
  </w:footnote>
  <w:footnote w:id="121">
    <w:p w14:paraId="00000EA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UK Trade Info, 'Bulk Datasets: Archive' (HM Revenue &amp; Customs), available: </w:t>
      </w:r>
      <w:hyperlink r:id="rId110">
        <w:r>
          <w:rPr>
            <w:rFonts w:eastAsia="Arial"/>
            <w:color w:val="4472C4"/>
            <w:sz w:val="20"/>
            <w:szCs w:val="20"/>
            <w:u w:val="single"/>
          </w:rPr>
          <w:t>here</w:t>
        </w:r>
      </w:hyperlink>
      <w:r>
        <w:rPr>
          <w:rFonts w:eastAsia="Arial"/>
          <w:color w:val="4472C4"/>
          <w:sz w:val="20"/>
          <w:szCs w:val="20"/>
        </w:rPr>
        <w:t>.</w:t>
      </w:r>
    </w:p>
  </w:footnote>
  <w:footnote w:id="122">
    <w:p w14:paraId="00000EA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Fuel Statistics', available: </w:t>
      </w:r>
      <w:hyperlink r:id="rId111">
        <w:r>
          <w:rPr>
            <w:rFonts w:eastAsia="Arial"/>
            <w:color w:val="4472C4"/>
            <w:sz w:val="20"/>
            <w:szCs w:val="20"/>
            <w:u w:val="single"/>
          </w:rPr>
          <w:t>here</w:t>
        </w:r>
      </w:hyperlink>
      <w:r>
        <w:rPr>
          <w:rFonts w:eastAsia="Arial"/>
          <w:color w:val="4472C4"/>
          <w:sz w:val="20"/>
          <w:szCs w:val="20"/>
        </w:rPr>
        <w:t>.</w:t>
      </w:r>
    </w:p>
  </w:footnote>
  <w:footnote w:id="123">
    <w:p w14:paraId="00000EA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fuel statistics: Notes and definitions', available: </w:t>
      </w:r>
      <w:hyperlink r:id="rId112">
        <w:r>
          <w:rPr>
            <w:rFonts w:eastAsia="Arial"/>
            <w:color w:val="4472C4"/>
            <w:sz w:val="20"/>
            <w:szCs w:val="20"/>
            <w:u w:val="single"/>
          </w:rPr>
          <w:t>here</w:t>
        </w:r>
      </w:hyperlink>
      <w:r>
        <w:rPr>
          <w:rFonts w:eastAsia="Arial"/>
          <w:color w:val="4472C4"/>
          <w:sz w:val="20"/>
          <w:szCs w:val="20"/>
        </w:rPr>
        <w:t>.</w:t>
      </w:r>
    </w:p>
  </w:footnote>
  <w:footnote w:id="124">
    <w:p w14:paraId="00000EA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DfT, 'RTFO Statistics, 2023 fifth provisional release', attached as Appendix A.14. Please note that there is a slight discrepancy between Table RF_0101 and Table RF_0105 in the fifth provisional release due to some of the fuel still being "in progress" with the DfT - i.e. duty has been paid on it to HMRC (which always must happen first), but RTFCs have not yet been issued. This difference is normally rectified in the tables by the final report.</w:t>
      </w:r>
    </w:p>
  </w:footnote>
  <w:footnote w:id="125">
    <w:p w14:paraId="00000EA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DfT, 'RTFO Statistics, 2023 fifth provisional release', attached as Appendix A.14. DfT, 'RTFO Statistics, 2024 first provisional release', attached as Appendix A.15.</w:t>
      </w:r>
    </w:p>
  </w:footnote>
  <w:footnote w:id="126">
    <w:p w14:paraId="00000EA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U.S. Energy Information Administration, 'PADD regions enable regional analysis of petroleum product supply and movements' (7 February 2012), attached as Appendix E.7.</w:t>
      </w:r>
    </w:p>
  </w:footnote>
  <w:footnote w:id="127">
    <w:p w14:paraId="00000EA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See</w:t>
      </w:r>
      <w:r>
        <w:rPr>
          <w:rFonts w:eastAsia="Arial"/>
          <w:color w:val="4472C4"/>
          <w:sz w:val="20"/>
          <w:szCs w:val="20"/>
        </w:rPr>
        <w:t>, for example, Shell, 'Shell Renewable Diesel' (accessed 24 September 2024), attached as Appendix E.8. "</w:t>
      </w:r>
      <w:r>
        <w:rPr>
          <w:rFonts w:eastAsia="Arial"/>
          <w:i/>
          <w:color w:val="4472C4"/>
          <w:sz w:val="20"/>
          <w:szCs w:val="20"/>
        </w:rPr>
        <w:t>Shell sells two blends of Shell Renewable Diesel, R95B5 (95% renewable Diesel and 5% biodiesel) and R99.9 (99.9% renewable diesel) both of which result in at least a 99.9% renewable fuel product.</w:t>
      </w:r>
      <w:r>
        <w:rPr>
          <w:rFonts w:eastAsia="Arial"/>
          <w:color w:val="4472C4"/>
          <w:sz w:val="20"/>
          <w:szCs w:val="20"/>
        </w:rPr>
        <w:t>"</w:t>
      </w:r>
    </w:p>
  </w:footnote>
  <w:footnote w:id="128">
    <w:p w14:paraId="00000EA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J. Benton, 'Keeping Up with the Jones Act - Has a Protectionist Law Outlived its Usefulness?' (Comptroller.Texas.Gov, January 2016), attached as Appendix E.9. </w:t>
      </w:r>
      <w:r>
        <w:rPr>
          <w:rFonts w:eastAsia="Arial"/>
          <w:color w:val="4472C4"/>
          <w:sz w:val="20"/>
          <w:szCs w:val="20"/>
        </w:rPr>
        <w:t xml:space="preserve">Interlog USA, 'How </w:t>
      </w:r>
      <w:r>
        <w:rPr>
          <w:rFonts w:eastAsia="Arial"/>
          <w:color w:val="4472C4"/>
          <w:sz w:val="20"/>
          <w:szCs w:val="20"/>
        </w:rPr>
        <w:t xml:space="preserve">The Jones Act Affects Shipping Prices' (accessed 24 September 2024), attached as Appendix E.10. </w:t>
      </w:r>
    </w:p>
  </w:footnote>
  <w:footnote w:id="129">
    <w:p w14:paraId="00000EA9"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Grand View Research, 'U.S. Biofuels Market Size &amp; Trends', attached as Appendix F.3.</w:t>
      </w:r>
    </w:p>
  </w:footnote>
  <w:footnote w:id="130">
    <w:p w14:paraId="00000EA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Grand View Research, 'U.S. Biofuels Market Size &amp; Trends', attached as Appendix F.3.</w:t>
      </w:r>
    </w:p>
  </w:footnote>
  <w:footnote w:id="131">
    <w:p w14:paraId="00000EA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RFS was subsequently extended by the Energy Independence and Security Act 2007 (EISA). </w:t>
      </w:r>
    </w:p>
  </w:footnote>
  <w:footnote w:id="132">
    <w:p w14:paraId="00000EA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Alternative Fuels Data </w:t>
      </w:r>
      <w:r>
        <w:rPr>
          <w:rFonts w:eastAsia="Arial"/>
          <w:color w:val="4472C4"/>
          <w:sz w:val="20"/>
          <w:szCs w:val="20"/>
        </w:rPr>
        <w:t>Center, 'Renewable Identification Numbers' (Department of Energy), attached as Appendix F.4.</w:t>
      </w:r>
    </w:p>
  </w:footnote>
  <w:footnote w:id="133">
    <w:p w14:paraId="00000EAD"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Alternative Fuels Data </w:t>
      </w:r>
      <w:r>
        <w:rPr>
          <w:rFonts w:eastAsia="Arial"/>
          <w:color w:val="4472C4"/>
          <w:sz w:val="20"/>
          <w:szCs w:val="20"/>
        </w:rPr>
        <w:t>Center, 'Biodiesel Mixture Excise Tax Credit' (Department of Energy), attached as Appendix F.5.</w:t>
      </w:r>
    </w:p>
  </w:footnote>
  <w:footnote w:id="134">
    <w:p w14:paraId="00000EA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This is confirmed by the fact that Argus quotes R99 and R100 at different rates.</w:t>
      </w:r>
    </w:p>
  </w:footnote>
  <w:footnote w:id="135">
    <w:p w14:paraId="00000EAF"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w:t>
      </w:r>
      <w:r>
        <w:rPr>
          <w:rFonts w:eastAsia="Arial"/>
          <w:i/>
          <w:color w:val="4472C4"/>
          <w:sz w:val="20"/>
          <w:szCs w:val="20"/>
        </w:rPr>
        <w:t>See</w:t>
      </w:r>
      <w:r>
        <w:rPr>
          <w:rFonts w:eastAsia="Arial"/>
          <w:color w:val="4472C4"/>
          <w:sz w:val="20"/>
          <w:szCs w:val="20"/>
        </w:rPr>
        <w:t xml:space="preserve"> Valero Annual Report 2023, p 4, attached as Appendix F.6; and Argus Media, 'Bipartisan Bill Would Extend Blenders Tax Credit' (23 July 2024),</w:t>
      </w:r>
      <w:r>
        <w:rPr>
          <w:rFonts w:eastAsia="Arial"/>
          <w:i/>
          <w:color w:val="4472C4"/>
          <w:sz w:val="20"/>
          <w:szCs w:val="20"/>
        </w:rPr>
        <w:t xml:space="preserve"> </w:t>
      </w:r>
      <w:r>
        <w:rPr>
          <w:rFonts w:eastAsia="Arial"/>
          <w:color w:val="4472C4"/>
          <w:sz w:val="20"/>
          <w:szCs w:val="20"/>
        </w:rPr>
        <w:t>attached as Appendix F.7.</w:t>
      </w:r>
    </w:p>
  </w:footnote>
  <w:footnote w:id="136">
    <w:p w14:paraId="00000EB0"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Rocky Mountain Institute, 'Understanding California’s Low Carbon Fuel Standards Regulation' (4 October 2023), attached as Appendix F.10.</w:t>
      </w:r>
    </w:p>
  </w:footnote>
  <w:footnote w:id="137">
    <w:p w14:paraId="00000EB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Federal Register, 'Foreign-Trade Zone (FTZ) 124, Notification of Proposed Production Activity; Valero Refining-New Orleans, LLC; (Renewable Fuels and By-Products); Norco, Louisiana' (3 September 2023), attached as Appendix F.11.</w:t>
      </w:r>
    </w:p>
  </w:footnote>
  <w:footnote w:id="138">
    <w:p w14:paraId="00000EB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US Internal Revenue Code, Title 26, Section 40A, attached as Appendix F.12. </w:t>
      </w:r>
    </w:p>
  </w:footnote>
  <w:footnote w:id="139">
    <w:p w14:paraId="00000EB3"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Treasury Inspector General for Tax Administration, 'Additional Actions Need to Be Taken to Identify and Address Non-compliant Biofuel Tax Credit Claims' (24 April 2024), attached as Appendix F.13.</w:t>
      </w:r>
    </w:p>
  </w:footnote>
  <w:footnote w:id="140">
    <w:p w14:paraId="00000EB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Recital 62, Commission Implementing Regulation (EU) 2021/1267, available: </w:t>
      </w:r>
      <w:hyperlink r:id="rId113">
        <w:r>
          <w:rPr>
            <w:rFonts w:eastAsia="Arial"/>
            <w:color w:val="4472C4"/>
            <w:sz w:val="20"/>
            <w:szCs w:val="20"/>
            <w:u w:val="single"/>
          </w:rPr>
          <w:t>here</w:t>
        </w:r>
      </w:hyperlink>
      <w:r>
        <w:rPr>
          <w:rFonts w:eastAsia="Arial"/>
          <w:color w:val="4472C4"/>
          <w:sz w:val="20"/>
          <w:szCs w:val="20"/>
        </w:rPr>
        <w:t>.</w:t>
      </w:r>
    </w:p>
  </w:footnote>
  <w:footnote w:id="141">
    <w:p w14:paraId="00000EB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Congressional Research Service, 'The Section 45Z Clean Fuel Production Credit', attached as Appendix F.14.  </w:t>
      </w:r>
    </w:p>
  </w:footnote>
  <w:footnote w:id="142">
    <w:p w14:paraId="00000EB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Tax Adviser, 'The clean fuel production credit: A new incentive regime' (1 June 2024), attached as Appendix F.15.  </w:t>
      </w:r>
    </w:p>
  </w:footnote>
  <w:footnote w:id="143">
    <w:p w14:paraId="00000EB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IRS Notice 2024-49, attached as Appendix F.16.  </w:t>
      </w:r>
    </w:p>
  </w:footnote>
  <w:footnote w:id="144">
    <w:p w14:paraId="00000EB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Congressional Research Service, 'The Section 45Z Clean Fuel Production Credit', attached as Appendix F.14.  </w:t>
      </w:r>
    </w:p>
  </w:footnote>
  <w:footnote w:id="145">
    <w:p w14:paraId="00000EB9"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International Energy Agency, Inflation Reduction Act 2022, attached as Appendix F.17. </w:t>
      </w:r>
    </w:p>
  </w:footnote>
  <w:footnote w:id="146">
    <w:p w14:paraId="5A4726B0" w14:textId="77777777" w:rsidR="00032AA5" w:rsidRDefault="00032AA5" w:rsidP="00032AA5">
      <w:pPr>
        <w:pStyle w:val="FootnoteText"/>
      </w:pPr>
      <w:r>
        <w:rPr>
          <w:rStyle w:val="FootnoteReference"/>
        </w:rPr>
        <w:footnoteRef/>
      </w:r>
      <w:r>
        <w:t xml:space="preserve"> </w:t>
      </w:r>
      <w:r w:rsidRPr="004E285D">
        <w:rPr>
          <w:color w:val="4472C4" w:themeColor="accent1"/>
        </w:rPr>
        <w:t xml:space="preserve">Please see </w:t>
      </w:r>
      <w:hyperlink r:id="rId114" w:history="1">
        <w:r w:rsidRPr="004E285D">
          <w:rPr>
            <w:rStyle w:val="Hyperlink"/>
            <w:color w:val="4472C4" w:themeColor="accent1"/>
          </w:rPr>
          <w:t>here</w:t>
        </w:r>
      </w:hyperlink>
      <w:r w:rsidRPr="004E285D">
        <w:rPr>
          <w:color w:val="4472C4" w:themeColor="accent1"/>
        </w:rPr>
        <w:t xml:space="preserve"> generally the Opinion of the Advocate General of 16 May 2024 in the Joined Cases C</w:t>
      </w:r>
      <w:r w:rsidRPr="004E285D">
        <w:rPr>
          <w:color w:val="4472C4" w:themeColor="accent1"/>
        </w:rPr>
        <w:noBreakHyphen/>
        <w:t>269/23 P and C</w:t>
      </w:r>
      <w:r w:rsidRPr="004E285D">
        <w:rPr>
          <w:color w:val="4472C4" w:themeColor="accent1"/>
        </w:rPr>
        <w:noBreakHyphen/>
        <w:t>272/23 P, where it discussed that a countervailing duty may be imposed to offset "</w:t>
      </w:r>
      <w:r w:rsidRPr="004E285D">
        <w:rPr>
          <w:i/>
          <w:iCs/>
          <w:color w:val="4472C4" w:themeColor="accent1"/>
        </w:rPr>
        <w:t>any subsidy granted</w:t>
      </w:r>
      <w:r w:rsidRPr="004E285D">
        <w:rPr>
          <w:color w:val="4472C4" w:themeColor="accent1"/>
        </w:rPr>
        <w:t>, </w:t>
      </w:r>
      <w:r w:rsidRPr="004E285D">
        <w:rPr>
          <w:i/>
          <w:iCs/>
          <w:color w:val="4472C4" w:themeColor="accent1"/>
        </w:rPr>
        <w:t>directly or indirectly</w:t>
      </w:r>
      <w:r w:rsidRPr="004E285D">
        <w:rPr>
          <w:color w:val="4472C4" w:themeColor="accent1"/>
        </w:rPr>
        <w:t xml:space="preserve">, for the manufacture, production, export or transport of any product whose release for free circulation in the Union causes injury" in the context of tariff exemptions in a FTZ.  </w:t>
      </w:r>
    </w:p>
  </w:footnote>
  <w:footnote w:id="147">
    <w:p w14:paraId="00000EB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Valero Energy's Q1 2024 Financial Report at page 17, attached as Appendix F.18. </w:t>
      </w:r>
    </w:p>
  </w:footnote>
  <w:footnote w:id="148">
    <w:p w14:paraId="00000EB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Valero Energy's 2023 Annual Financial Report at page 130, attached as Appendix F.19. </w:t>
      </w:r>
    </w:p>
  </w:footnote>
  <w:footnote w:id="149">
    <w:p w14:paraId="00000EB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Valero Energy's 2022 Annual Financial Report at page 122, attached as Appendix F.20. </w:t>
      </w:r>
    </w:p>
  </w:footnote>
  <w:footnote w:id="150">
    <w:p w14:paraId="00000EB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Darling's 2023 Annual Financial Report at page 93, attached as Appendix F.21. </w:t>
      </w:r>
    </w:p>
  </w:footnote>
  <w:footnote w:id="151">
    <w:p w14:paraId="00000EB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Although actual production and capacity utilisation decreased between the start of the injury period and the POI, the value of production increased by </w:t>
      </w:r>
      <w:r>
        <w:rPr>
          <w:rFonts w:eastAsia="Arial"/>
          <w:b/>
          <w:color w:val="4472C4"/>
          <w:sz w:val="20"/>
          <w:szCs w:val="20"/>
        </w:rPr>
        <w:t>[SENSITIVE]</w:t>
      </w:r>
      <w:r>
        <w:rPr>
          <w:rFonts w:eastAsia="Arial"/>
          <w:color w:val="4472C4"/>
          <w:sz w:val="20"/>
          <w:szCs w:val="20"/>
        </w:rPr>
        <w:t xml:space="preserve"> for the same period. This is </w:t>
      </w:r>
      <w:r>
        <w:rPr>
          <w:rFonts w:eastAsia="Arial"/>
          <w:color w:val="4472C4"/>
          <w:sz w:val="20"/>
          <w:szCs w:val="20"/>
        </w:rPr>
        <w:t>due to the fact that there has been a significant increase in the cost of production (including because of the rising feedstock prices).</w:t>
      </w:r>
    </w:p>
  </w:footnote>
  <w:footnote w:id="152">
    <w:p w14:paraId="00000EB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cost of production and unit cost of production increased significantly, particularly in the period Q2 2022 to Q1 2023, </w:t>
      </w:r>
      <w:r>
        <w:rPr>
          <w:rFonts w:eastAsia="Arial"/>
          <w:color w:val="4472C4"/>
          <w:sz w:val="20"/>
          <w:szCs w:val="20"/>
        </w:rPr>
        <w:t xml:space="preserve">as a result of an increase in the price of feedstock and energy costs. Between the start of the injury period and the POI, the cost of production and unit cost of production increased by </w:t>
      </w:r>
      <w:r>
        <w:rPr>
          <w:rFonts w:eastAsia="Arial"/>
          <w:b/>
          <w:color w:val="4472C4"/>
          <w:sz w:val="20"/>
          <w:szCs w:val="20"/>
        </w:rPr>
        <w:t>[SENSITIVE]</w:t>
      </w:r>
      <w:r>
        <w:rPr>
          <w:rFonts w:eastAsia="Arial"/>
          <w:color w:val="4472C4"/>
          <w:sz w:val="20"/>
          <w:szCs w:val="20"/>
        </w:rPr>
        <w:t xml:space="preserve"> respectively.</w:t>
      </w:r>
    </w:p>
  </w:footnote>
  <w:footnote w:id="153">
    <w:p w14:paraId="00000EC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 Workman, 'UK to instate biofuel import duties after halting exemptions' (S&amp;P Global, 3 April 2024), attached as Appendix H.7.</w:t>
      </w:r>
    </w:p>
  </w:footnote>
  <w:footnote w:id="154">
    <w:p w14:paraId="00000EC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Investing.com, 'Bloomberg Agriculture (BCOMAG)' (accessed 19 September 2024), available: </w:t>
      </w:r>
      <w:hyperlink r:id="rId115">
        <w:r>
          <w:rPr>
            <w:rFonts w:eastAsia="Arial"/>
            <w:color w:val="4472C4"/>
            <w:sz w:val="20"/>
            <w:szCs w:val="20"/>
            <w:u w:val="single"/>
          </w:rPr>
          <w:t>here</w:t>
        </w:r>
      </w:hyperlink>
      <w:r>
        <w:rPr>
          <w:rFonts w:eastAsia="Arial"/>
          <w:color w:val="4472C4"/>
          <w:sz w:val="20"/>
          <w:szCs w:val="20"/>
        </w:rPr>
        <w:t xml:space="preserve">. CNBC, 'Bloomberg Energy Subindex' (accessed 19 September 2024), available: </w:t>
      </w:r>
      <w:hyperlink r:id="rId116">
        <w:r>
          <w:rPr>
            <w:rFonts w:eastAsia="Arial"/>
            <w:color w:val="4472C4"/>
            <w:sz w:val="20"/>
            <w:szCs w:val="20"/>
            <w:u w:val="single"/>
          </w:rPr>
          <w:t>here</w:t>
        </w:r>
      </w:hyperlink>
      <w:r>
        <w:rPr>
          <w:rFonts w:eastAsia="Arial"/>
          <w:color w:val="4472C4"/>
          <w:sz w:val="20"/>
          <w:szCs w:val="20"/>
        </w:rPr>
        <w:t>.</w:t>
      </w:r>
    </w:p>
  </w:footnote>
  <w:footnote w:id="155">
    <w:p w14:paraId="00000EC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fuel statistics 2020: Fifth provisional report' (5 August 2021), attached as Appendix G.3 (</w:t>
      </w:r>
      <w:r>
        <w:rPr>
          <w:rFonts w:eastAsia="Arial"/>
          <w:i/>
          <w:color w:val="4472C4"/>
          <w:sz w:val="20"/>
          <w:szCs w:val="20"/>
        </w:rPr>
        <w:t>DfT, 'RTFO Statistics, 2020 fifth provisional report'</w:t>
      </w:r>
      <w:r>
        <w:rPr>
          <w:rFonts w:eastAsia="Arial"/>
          <w:color w:val="4472C4"/>
          <w:sz w:val="20"/>
          <w:szCs w:val="20"/>
        </w:rPr>
        <w:t>). Department for Transport, 'Renewable fuel statistics 2021: Fifth provisional report' (4 August 2022), attached as Appendix G.4 (</w:t>
      </w:r>
      <w:r>
        <w:rPr>
          <w:rFonts w:eastAsia="Arial"/>
          <w:i/>
          <w:color w:val="4472C4"/>
          <w:sz w:val="20"/>
          <w:szCs w:val="20"/>
        </w:rPr>
        <w:t>DfT, 'RTFO Statistics, 2021 fifth provisional report'</w:t>
      </w:r>
      <w:r>
        <w:rPr>
          <w:rFonts w:eastAsia="Arial"/>
          <w:color w:val="4472C4"/>
          <w:sz w:val="20"/>
          <w:szCs w:val="20"/>
        </w:rPr>
        <w:t>). Department for Transport, 'Renewable fuel statistics 2022: Fifth provisional release' (9 August 2023), attached as Appendix G.5 (</w:t>
      </w:r>
      <w:r>
        <w:rPr>
          <w:rFonts w:eastAsia="Arial"/>
          <w:i/>
          <w:color w:val="4472C4"/>
          <w:sz w:val="20"/>
          <w:szCs w:val="20"/>
        </w:rPr>
        <w:t>DfT, 'RTFO Statistics, 2022 fifth provisional report'</w:t>
      </w:r>
      <w:r>
        <w:rPr>
          <w:rFonts w:eastAsia="Arial"/>
          <w:color w:val="4472C4"/>
          <w:sz w:val="20"/>
          <w:szCs w:val="20"/>
        </w:rPr>
        <w:t>). DfT, 'RTFO Statistics, 2023 fifth provisional release', attached as Appendix A.14. DfT, 'RTFO Statistics, 2024 first provisional release', attached as Appendix A.15.</w:t>
      </w:r>
    </w:p>
  </w:footnote>
  <w:footnote w:id="156">
    <w:p w14:paraId="00000EC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cost of production and unit cost of production increased significantly, particularly in the period Q2 2022 to Q1 2023, </w:t>
      </w:r>
      <w:r>
        <w:rPr>
          <w:rFonts w:eastAsia="Arial"/>
          <w:color w:val="4472C4"/>
          <w:sz w:val="20"/>
          <w:szCs w:val="20"/>
        </w:rPr>
        <w:t xml:space="preserve">as a result of an increase in the price of feedstock and energy costs. Between the start of the injury period and the POI, the cost of production and unit cost of production increased by </w:t>
      </w:r>
      <w:r>
        <w:rPr>
          <w:rFonts w:eastAsia="Arial"/>
          <w:b/>
          <w:color w:val="4472C4"/>
          <w:sz w:val="20"/>
          <w:szCs w:val="20"/>
        </w:rPr>
        <w:t>[SENSITIVE]</w:t>
      </w:r>
      <w:r>
        <w:rPr>
          <w:rFonts w:eastAsia="Arial"/>
          <w:color w:val="4472C4"/>
          <w:sz w:val="20"/>
          <w:szCs w:val="20"/>
        </w:rPr>
        <w:t xml:space="preserve">%. </w:t>
      </w:r>
    </w:p>
  </w:footnote>
  <w:footnote w:id="157">
    <w:p w14:paraId="00000EC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2024/2163 (AD700), recitals (312)-(313), available: </w:t>
      </w:r>
      <w:hyperlink r:id="rId117">
        <w:r>
          <w:rPr>
            <w:rFonts w:eastAsia="Arial"/>
            <w:color w:val="4472C4"/>
            <w:sz w:val="20"/>
            <w:szCs w:val="20"/>
            <w:u w:val="single"/>
          </w:rPr>
          <w:t>here</w:t>
        </w:r>
      </w:hyperlink>
      <w:r>
        <w:rPr>
          <w:rFonts w:eastAsia="Arial"/>
          <w:color w:val="4472C4"/>
          <w:sz w:val="20"/>
          <w:szCs w:val="20"/>
        </w:rPr>
        <w:t>.</w:t>
      </w:r>
    </w:p>
  </w:footnote>
  <w:footnote w:id="158">
    <w:p w14:paraId="00000EC5" w14:textId="77777777" w:rsidR="00416D85" w:rsidRDefault="00130320">
      <w:pPr>
        <w:pBdr>
          <w:top w:val="nil"/>
          <w:left w:val="nil"/>
          <w:bottom w:val="nil"/>
          <w:right w:val="nil"/>
          <w:between w:val="nil"/>
        </w:pBdr>
        <w:spacing w:after="0" w:line="240" w:lineRule="auto"/>
        <w:jc w:val="both"/>
        <w:rPr>
          <w:rFonts w:eastAsia="Arial"/>
          <w:color w:val="000000"/>
          <w:sz w:val="20"/>
          <w:szCs w:val="20"/>
        </w:rPr>
      </w:pPr>
      <w:r>
        <w:rPr>
          <w:rStyle w:val="FootnoteReference"/>
        </w:rPr>
        <w:footnoteRef/>
      </w:r>
      <w:r>
        <w:rPr>
          <w:rFonts w:eastAsia="Arial"/>
          <w:color w:val="4472C4"/>
          <w:sz w:val="20"/>
          <w:szCs w:val="20"/>
        </w:rPr>
        <w:t xml:space="preserve"> Referred to in the US as "renewable diesel". </w:t>
      </w:r>
    </w:p>
  </w:footnote>
  <w:footnote w:id="159">
    <w:p w14:paraId="00000EC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Economic Research Service, 'Renewable diesel production surpasses biodiesel' (U.S. Department of Agriculture, 28 May 2024), attached as Appendix H.1. </w:t>
      </w:r>
    </w:p>
  </w:footnote>
  <w:footnote w:id="160">
    <w:p w14:paraId="00000EC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N. </w:t>
      </w:r>
      <w:r>
        <w:rPr>
          <w:rFonts w:eastAsia="Arial"/>
          <w:color w:val="4472C4"/>
          <w:sz w:val="20"/>
          <w:szCs w:val="20"/>
        </w:rPr>
        <w:t xml:space="preserve">Shakelly, O.R. Calderon, S. Smolinski and L. Tao – National Renewable Energy Laboratory, 'Biofuels production and development in the United States' (IEA Bioenergy, Task 39 Newsletter Issue #65, July 2024), attached as Appendix H.2. </w:t>
      </w:r>
    </w:p>
  </w:footnote>
  <w:footnote w:id="161">
    <w:p w14:paraId="00000EC8"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T. O'Neil, 'U.S. Renewable Diesel Production Growth Drastically Impacts Global Feedstock Trade' (U.S. Department of Agriculture, 11 June 2024), attached as Appendix A.13. </w:t>
      </w:r>
    </w:p>
  </w:footnote>
  <w:footnote w:id="162">
    <w:p w14:paraId="00000EC9"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U.S. Energy Information Administration, 'Table 10.4b Renewable Diesel Fuel Overview' (27 August 2024), attached as Appendix H.3.</w:t>
      </w:r>
    </w:p>
  </w:footnote>
  <w:footnote w:id="163">
    <w:p w14:paraId="00000ECA" w14:textId="77777777" w:rsidR="00416D85" w:rsidRDefault="00130320">
      <w:pPr>
        <w:pBdr>
          <w:top w:val="nil"/>
          <w:left w:val="nil"/>
          <w:bottom w:val="nil"/>
          <w:right w:val="nil"/>
          <w:between w:val="nil"/>
        </w:pBdr>
        <w:spacing w:after="0" w:line="240" w:lineRule="auto"/>
        <w:jc w:val="both"/>
        <w:rPr>
          <w:rFonts w:eastAsia="Arial"/>
          <w:color w:val="000000"/>
          <w:sz w:val="20"/>
          <w:szCs w:val="20"/>
        </w:rPr>
      </w:pPr>
      <w:r>
        <w:rPr>
          <w:rStyle w:val="FootnoteReference"/>
        </w:rPr>
        <w:footnoteRef/>
      </w:r>
      <w:r>
        <w:rPr>
          <w:rFonts w:eastAsia="Arial"/>
          <w:color w:val="4472C4"/>
          <w:sz w:val="20"/>
          <w:szCs w:val="20"/>
        </w:rPr>
        <w:t xml:space="preserve"> The figures in the sixth row of the table have been calculated by adding HVO production, imports and stocks, and subtracting HVO consumption for the same year.</w:t>
      </w:r>
    </w:p>
  </w:footnote>
  <w:footnote w:id="164">
    <w:p w14:paraId="00000ECB"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U.S. Energy Information Administration, 'Table 10.4b Renewable Diesel Fuel Overview' (27 August 2024), attached as Appendix H.3.</w:t>
      </w:r>
    </w:p>
  </w:footnote>
  <w:footnote w:id="165">
    <w:p w14:paraId="00000EC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Biodiesel Magazine, 'EIA: US imports of renewable diesel increased in the early months of 2024' (8 August 2024), attached as Appendix H.4.</w:t>
      </w:r>
    </w:p>
  </w:footnote>
  <w:footnote w:id="166">
    <w:p w14:paraId="00000EC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Biodiesel Magazine, 'EIA: US imports of renewable diesel increased in the early months of 2024' (8 August 2024), attached as Appendix H.4.</w:t>
      </w:r>
    </w:p>
  </w:footnote>
  <w:footnote w:id="167">
    <w:p w14:paraId="00000ECE"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U.S. Energy Information Administration, 'Short-Term Energy Outlook' (February 2024), p 6, attached as Appendix H.5.</w:t>
      </w:r>
    </w:p>
  </w:footnote>
  <w:footnote w:id="168">
    <w:p w14:paraId="00000EC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 O'Neil, 'U.S. Renewable Diesel Production Growth Drastically Impacts Global Feedstock Trade' (U.S. Department of Agriculture, 11 June 2024), attached as Appendix A.13.</w:t>
      </w:r>
    </w:p>
  </w:footnote>
  <w:footnote w:id="169">
    <w:p w14:paraId="00000ED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J. Melvin, 'US EPA ‘lowers ambitions’ to chagrin of biofuel producers in final RFS rule for 2023-2025' (S&amp;P Global, 21 June 2023), attached as Appendix H.6.</w:t>
      </w:r>
    </w:p>
  </w:footnote>
  <w:footnote w:id="170">
    <w:p w14:paraId="00000ED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RTFO reports state that "</w:t>
      </w:r>
      <w:r>
        <w:rPr>
          <w:rFonts w:eastAsia="Arial"/>
          <w:i/>
          <w:color w:val="4472C4"/>
          <w:sz w:val="20"/>
          <w:szCs w:val="20"/>
        </w:rPr>
        <w:t>[s]</w:t>
      </w:r>
      <w:r>
        <w:rPr>
          <w:rFonts w:eastAsia="Arial"/>
          <w:i/>
          <w:color w:val="4472C4"/>
          <w:sz w:val="20"/>
          <w:szCs w:val="20"/>
        </w:rPr>
        <w:t>upply periods start on the 15 of one month and end on the 14 of the next, except for January (starts on the 1, ends on the 14) and December (starts on the 15, ends on the 31)</w:t>
      </w:r>
      <w:r>
        <w:rPr>
          <w:rFonts w:eastAsia="Arial"/>
          <w:color w:val="4472C4"/>
          <w:sz w:val="20"/>
          <w:szCs w:val="20"/>
        </w:rPr>
        <w:t>".</w:t>
      </w:r>
    </w:p>
  </w:footnote>
  <w:footnote w:id="171">
    <w:p w14:paraId="00000ED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H, paras 343-344, available: </w:t>
      </w:r>
      <w:hyperlink r:id="rId118">
        <w:r>
          <w:rPr>
            <w:rFonts w:eastAsia="Arial"/>
            <w:color w:val="0563C1"/>
            <w:sz w:val="20"/>
            <w:szCs w:val="20"/>
            <w:u w:val="single"/>
          </w:rPr>
          <w:t>here</w:t>
        </w:r>
      </w:hyperlink>
      <w:r>
        <w:rPr>
          <w:rFonts w:eastAsia="Arial"/>
          <w:color w:val="4472C4"/>
          <w:sz w:val="20"/>
          <w:szCs w:val="20"/>
        </w:rPr>
        <w:t>.</w:t>
      </w:r>
    </w:p>
  </w:footnote>
  <w:footnote w:id="172">
    <w:p w14:paraId="00000ED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2024/2163 (AD700), recital (315), available: </w:t>
      </w:r>
      <w:hyperlink r:id="rId119">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"However, a similar significant spread exists amongst FAME product types themselves. For instance, on 20 September 2023 market intelligence quoted a price of 1 455 USD/tonne for FAME from UCO (FOB Amsterdam-Rotterdam-Antwerp (ports) “ARA”), a price of 1 190 USD/tonne for FAME 0 (FOB ARA) and a price of 1 382 USD/tonne for FAME from rapeseed oil (FOB ARA) (161). The same source referred to a spread between West-EU prices of FAME 0 (FOB ARA) versus FAME from UCO (FOB ARA) amounting to around 400 USD/tonne on several instances during the IP (162). Consequently, the statement that the price difference between HVO and FAME is significant is taken out of context and misleading."</w:t>
      </w:r>
    </w:p>
  </w:footnote>
  <w:footnote w:id="173">
    <w:p w14:paraId="5706B311" w14:textId="77777777" w:rsidR="00CA6C7E" w:rsidRPr="004E285D" w:rsidRDefault="00CA6C7E" w:rsidP="00CA6C7E">
      <w:pPr>
        <w:pStyle w:val="FootnoteText"/>
        <w:jc w:val="both"/>
        <w:rPr>
          <w:color w:val="4472C4" w:themeColor="accent1"/>
          <w:lang w:val="pl-PL"/>
        </w:rPr>
      </w:pPr>
      <w:r w:rsidRPr="004E285D">
        <w:rPr>
          <w:rStyle w:val="FootnoteReference"/>
          <w:color w:val="4472C4" w:themeColor="accent1"/>
        </w:rPr>
        <w:footnoteRef/>
      </w:r>
      <w:r w:rsidRPr="004E285D">
        <w:rPr>
          <w:color w:val="4472C4" w:themeColor="accent1"/>
          <w:lang w:val="pl-PL"/>
        </w:rPr>
        <w:t xml:space="preserve"> Z</w:t>
      </w:r>
      <w:r w:rsidRPr="004E285D">
        <w:rPr>
          <w:rStyle w:val="FootnoteReference"/>
          <w:color w:val="4472C4" w:themeColor="accent1"/>
          <w:vertAlign w:val="baseline"/>
          <w:lang w:val="pl-PL"/>
        </w:rPr>
        <w:t xml:space="preserve">emo, 'Overview of higher blend markets in the UK', </w:t>
      </w:r>
      <w:r w:rsidRPr="004E285D">
        <w:rPr>
          <w:color w:val="4472C4" w:themeColor="accent1"/>
          <w:lang w:val="pl-PL"/>
        </w:rPr>
        <w:t xml:space="preserve">p 3, </w:t>
      </w:r>
      <w:r w:rsidRPr="004E285D">
        <w:rPr>
          <w:rStyle w:val="FootnoteReference"/>
          <w:color w:val="4472C4" w:themeColor="accent1"/>
          <w:vertAlign w:val="baseline"/>
          <w:lang w:val="pl-PL"/>
        </w:rPr>
        <w:t xml:space="preserve">attached as Appendix </w:t>
      </w:r>
      <w:r w:rsidRPr="004E285D">
        <w:rPr>
          <w:color w:val="4472C4" w:themeColor="accent1"/>
          <w:lang w:val="pl-PL"/>
        </w:rPr>
        <w:t>A.16.</w:t>
      </w:r>
    </w:p>
  </w:footnote>
  <w:footnote w:id="174">
    <w:p w14:paraId="00000ED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 Workman, 'UK to instate biofuel import duties after halting exemptions' (S&amp;P Global, 3 April 2024), attached as Appendix H.7. </w:t>
      </w:r>
    </w:p>
  </w:footnote>
  <w:footnote w:id="175">
    <w:p w14:paraId="00000ED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DfT, 'RTFO Statistics, 2020 fifth provisional report', attached as Appendix G.3. DfT, 'RTFO Statistics, 2021 fifth provisional report', attached as Appendix G.4. DfT, 'RTFO Statistics, 2022 fifth provisional report', attached as Appendix G.5. DfT, 'RTFO Statistics, 2023 fifth provisional release', attached as Appendix A.14. DfT, 'RTFO Statistics, 2024 first provisional release', attached as Appendix A.15.</w:t>
      </w:r>
    </w:p>
  </w:footnote>
  <w:footnote w:id="176">
    <w:p w14:paraId="00000ED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Taxation (Cross-border Trade) Act 2018, </w:t>
      </w:r>
      <w:r>
        <w:rPr>
          <w:rFonts w:eastAsia="Arial"/>
          <w:color w:val="4472C4"/>
          <w:sz w:val="20"/>
          <w:szCs w:val="20"/>
        </w:rPr>
        <w:t xml:space="preserve">sch 4, para 29, available: </w:t>
      </w:r>
      <w:hyperlink r:id="rId120">
        <w:r>
          <w:rPr>
            <w:rFonts w:eastAsia="Arial"/>
            <w:color w:val="4472C4"/>
            <w:sz w:val="20"/>
            <w:szCs w:val="20"/>
            <w:u w:val="single"/>
          </w:rPr>
          <w:t>here</w:t>
        </w:r>
      </w:hyperlink>
      <w:r>
        <w:rPr>
          <w:rFonts w:eastAsia="Arial"/>
          <w:color w:val="4472C4"/>
          <w:sz w:val="20"/>
          <w:szCs w:val="20"/>
        </w:rPr>
        <w:t>.</w:t>
      </w:r>
    </w:p>
  </w:footnote>
  <w:footnote w:id="177">
    <w:p w14:paraId="00000ED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2021/1266, available: </w:t>
      </w:r>
      <w:hyperlink r:id="rId121">
        <w:r>
          <w:rPr>
            <w:rFonts w:eastAsia="Arial"/>
            <w:color w:val="4472C4"/>
            <w:sz w:val="20"/>
            <w:szCs w:val="20"/>
            <w:u w:val="single"/>
          </w:rPr>
          <w:t>here</w:t>
        </w:r>
      </w:hyperlink>
      <w:r>
        <w:rPr>
          <w:rFonts w:eastAsia="Arial"/>
          <w:color w:val="4472C4"/>
          <w:sz w:val="20"/>
          <w:szCs w:val="20"/>
        </w:rPr>
        <w:t xml:space="preserve">. Commission Implementing Regulation (EU) 2021/1267, available: </w:t>
      </w:r>
      <w:hyperlink r:id="rId122">
        <w:r>
          <w:rPr>
            <w:rFonts w:eastAsia="Arial"/>
            <w:color w:val="4472C4"/>
            <w:sz w:val="20"/>
            <w:szCs w:val="20"/>
            <w:u w:val="single"/>
          </w:rPr>
          <w:t>here</w:t>
        </w:r>
      </w:hyperlink>
      <w:r>
        <w:rPr>
          <w:rFonts w:eastAsia="Arial"/>
          <w:color w:val="4472C4"/>
          <w:sz w:val="20"/>
          <w:szCs w:val="20"/>
        </w:rPr>
        <w:t>.</w:t>
      </w:r>
    </w:p>
  </w:footnote>
  <w:footnote w:id="178">
    <w:p w14:paraId="00000ED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Trade Remedies (Dumping and Subsidisation) (EU Exit) Regulations 2019, SI 2019/450, regs 91 and 92, available: </w:t>
      </w:r>
      <w:hyperlink r:id="rId123">
        <w:r>
          <w:rPr>
            <w:rFonts w:eastAsia="Arial"/>
            <w:color w:val="4472C4"/>
            <w:sz w:val="20"/>
            <w:szCs w:val="20"/>
            <w:u w:val="single"/>
          </w:rPr>
          <w:t>here</w:t>
        </w:r>
      </w:hyperlink>
      <w:r>
        <w:rPr>
          <w:rFonts w:eastAsia="Arial"/>
          <w:color w:val="4472C4"/>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D9" w14:textId="77777777" w:rsidR="00416D85" w:rsidRDefault="00416D85">
    <w:pPr>
      <w:widowControl w:val="0"/>
      <w:pBdr>
        <w:top w:val="nil"/>
        <w:left w:val="nil"/>
        <w:bottom w:val="nil"/>
        <w:right w:val="nil"/>
        <w:between w:val="nil"/>
      </w:pBdr>
      <w:spacing w:after="0" w:line="276" w:lineRule="auto"/>
      <w:rPr>
        <w:rFonts w:eastAsia="Arial"/>
        <w:color w:val="4472C4"/>
        <w:sz w:val="20"/>
        <w:szCs w:val="20"/>
      </w:rPr>
    </w:pPr>
  </w:p>
  <w:tbl>
    <w:tblPr>
      <w:tblStyle w:val="afffffffff6"/>
      <w:tblW w:w="1006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9"/>
      <w:gridCol w:w="3005"/>
      <w:gridCol w:w="3941"/>
    </w:tblGrid>
    <w:tr w:rsidR="00416D85" w14:paraId="248667E7" w14:textId="77777777">
      <w:tc>
        <w:tcPr>
          <w:tcW w:w="3119" w:type="dxa"/>
        </w:tcPr>
        <w:p w14:paraId="00000EDA" w14:textId="77777777" w:rsidR="00416D85" w:rsidRDefault="00130320">
          <w:pPr>
            <w:spacing w:before="20" w:after="20"/>
          </w:pPr>
          <w:r>
            <w:rPr>
              <w:noProof/>
            </w:rPr>
            <w:drawing>
              <wp:inline distT="0" distB="0" distL="0" distR="0" wp14:anchorId="15A4D6E3" wp14:editId="6FD4745D">
                <wp:extent cx="1434536" cy="810047"/>
                <wp:effectExtent l="0" t="0" r="0" b="0"/>
                <wp:docPr id="21467317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34536" cy="810047"/>
                        </a:xfrm>
                        <a:prstGeom prst="rect">
                          <a:avLst/>
                        </a:prstGeom>
                        <a:ln/>
                      </pic:spPr>
                    </pic:pic>
                  </a:graphicData>
                </a:graphic>
              </wp:inline>
            </w:drawing>
          </w:r>
        </w:p>
      </w:tc>
      <w:tc>
        <w:tcPr>
          <w:tcW w:w="3005" w:type="dxa"/>
        </w:tcPr>
        <w:p w14:paraId="00000EDB" w14:textId="77777777" w:rsidR="00416D85" w:rsidRDefault="00416D85">
          <w:pPr>
            <w:jc w:val="center"/>
          </w:pPr>
        </w:p>
      </w:tc>
      <w:tc>
        <w:tcPr>
          <w:tcW w:w="3941" w:type="dxa"/>
        </w:tcPr>
        <w:p w14:paraId="00000EDC" w14:textId="77777777" w:rsidR="00416D85" w:rsidRDefault="00416D85">
          <w:pPr>
            <w:pBdr>
              <w:top w:val="nil"/>
              <w:left w:val="nil"/>
              <w:bottom w:val="nil"/>
              <w:right w:val="nil"/>
              <w:between w:val="nil"/>
            </w:pBdr>
            <w:spacing w:after="0"/>
            <w:jc w:val="right"/>
            <w:rPr>
              <w:rFonts w:eastAsia="Arial"/>
              <w:color w:val="000000"/>
              <w:sz w:val="19"/>
              <w:szCs w:val="19"/>
            </w:rPr>
          </w:pPr>
        </w:p>
        <w:p w14:paraId="00000EDD" w14:textId="77777777" w:rsidR="00416D85" w:rsidRDefault="00130320">
          <w:pPr>
            <w:pBdr>
              <w:top w:val="nil"/>
              <w:left w:val="nil"/>
              <w:bottom w:val="nil"/>
              <w:right w:val="nil"/>
              <w:between w:val="nil"/>
            </w:pBdr>
            <w:spacing w:after="0"/>
            <w:jc w:val="right"/>
            <w:rPr>
              <w:rFonts w:eastAsia="Arial"/>
              <w:color w:val="000000"/>
              <w:sz w:val="19"/>
              <w:szCs w:val="19"/>
            </w:rPr>
          </w:pPr>
          <w:r>
            <w:rPr>
              <w:rFonts w:eastAsia="Arial"/>
              <w:color w:val="000000"/>
              <w:sz w:val="19"/>
              <w:szCs w:val="19"/>
            </w:rPr>
            <w:t>Trade Remedies Authority</w:t>
          </w:r>
        </w:p>
        <w:p w14:paraId="00000EDE" w14:textId="77777777" w:rsidR="00416D85" w:rsidRDefault="00130320">
          <w:pPr>
            <w:tabs>
              <w:tab w:val="left" w:pos="2133"/>
            </w:tabs>
            <w:spacing w:line="276" w:lineRule="auto"/>
            <w:ind w:left="7" w:firstLine="141"/>
          </w:pPr>
          <w:r>
            <w:rPr>
              <w:rFonts w:ascii="MS Gothic" w:eastAsia="MS Gothic" w:hAnsi="MS Gothic" w:cs="MS Gothic"/>
              <w:b/>
              <w:color w:val="FF0000"/>
              <w:sz w:val="18"/>
              <w:szCs w:val="18"/>
            </w:rPr>
            <w:t>☐</w:t>
          </w:r>
          <w:r>
            <w:rPr>
              <w:color w:val="FF0000"/>
              <w:sz w:val="18"/>
              <w:szCs w:val="18"/>
            </w:rPr>
            <w:t xml:space="preserve"> Confidential</w:t>
          </w:r>
          <w:r>
            <w:rPr>
              <w:color w:val="FF0000"/>
              <w:sz w:val="18"/>
              <w:szCs w:val="18"/>
            </w:rPr>
            <w:tab/>
          </w:r>
          <w:r>
            <w:rPr>
              <w:rFonts w:ascii="MS Gothic" w:eastAsia="MS Gothic" w:hAnsi="MS Gothic" w:cs="MS Gothic"/>
              <w:b/>
              <w:color w:val="FF0000"/>
              <w:sz w:val="18"/>
              <w:szCs w:val="18"/>
              <w:shd w:val="clear" w:color="auto" w:fill="E6E6E6"/>
            </w:rPr>
            <w:t>☒</w:t>
          </w:r>
          <w:r>
            <w:rPr>
              <w:color w:val="FF0000"/>
              <w:sz w:val="18"/>
              <w:szCs w:val="18"/>
            </w:rPr>
            <w:t xml:space="preserve"> </w:t>
          </w:r>
          <w:proofErr w:type="gramStart"/>
          <w:r>
            <w:rPr>
              <w:color w:val="FF0000"/>
              <w:sz w:val="18"/>
              <w:szCs w:val="18"/>
            </w:rPr>
            <w:t>Non-Confidential</w:t>
          </w:r>
          <w:proofErr w:type="gramEnd"/>
        </w:p>
        <w:p w14:paraId="00000EDF" w14:textId="77777777" w:rsidR="00416D85" w:rsidRDefault="00416D85">
          <w:pPr>
            <w:pBdr>
              <w:top w:val="nil"/>
              <w:left w:val="nil"/>
              <w:bottom w:val="nil"/>
              <w:right w:val="nil"/>
              <w:between w:val="nil"/>
            </w:pBdr>
            <w:spacing w:after="0"/>
            <w:ind w:firstLine="148"/>
            <w:rPr>
              <w:rFonts w:eastAsia="Arial"/>
              <w:color w:val="FF0000"/>
              <w:sz w:val="18"/>
              <w:szCs w:val="18"/>
            </w:rPr>
          </w:pPr>
        </w:p>
      </w:tc>
    </w:tr>
  </w:tbl>
  <w:p w14:paraId="00000EE0" w14:textId="77777777" w:rsidR="00416D85" w:rsidRDefault="00416D8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88D"/>
    <w:multiLevelType w:val="multilevel"/>
    <w:tmpl w:val="8C96FE10"/>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 w15:restartNumberingAfterBreak="0">
    <w:nsid w:val="01AF445E"/>
    <w:multiLevelType w:val="multilevel"/>
    <w:tmpl w:val="17B844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A3CAE"/>
    <w:multiLevelType w:val="multilevel"/>
    <w:tmpl w:val="1F160842"/>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15:restartNumberingAfterBreak="0">
    <w:nsid w:val="05B06972"/>
    <w:multiLevelType w:val="multilevel"/>
    <w:tmpl w:val="0AF6E340"/>
    <w:lvl w:ilvl="0">
      <w:start w:val="1"/>
      <w:numFmt w:val="upperLetter"/>
      <w:pStyle w:val="Annexes"/>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15:restartNumberingAfterBreak="0">
    <w:nsid w:val="05B352BB"/>
    <w:multiLevelType w:val="multilevel"/>
    <w:tmpl w:val="4C8ADD4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 w15:restartNumberingAfterBreak="0">
    <w:nsid w:val="071E4A84"/>
    <w:multiLevelType w:val="multilevel"/>
    <w:tmpl w:val="F35E041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 w15:restartNumberingAfterBreak="0">
    <w:nsid w:val="072A0443"/>
    <w:multiLevelType w:val="multilevel"/>
    <w:tmpl w:val="54FE1BF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 w15:restartNumberingAfterBreak="0">
    <w:nsid w:val="07C9510D"/>
    <w:multiLevelType w:val="multilevel"/>
    <w:tmpl w:val="3AE6E9D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 w15:restartNumberingAfterBreak="0">
    <w:nsid w:val="08560345"/>
    <w:multiLevelType w:val="multilevel"/>
    <w:tmpl w:val="213C7B16"/>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 w15:restartNumberingAfterBreak="0">
    <w:nsid w:val="08F43B2C"/>
    <w:multiLevelType w:val="multilevel"/>
    <w:tmpl w:val="69E63C4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0" w15:restartNumberingAfterBreak="0">
    <w:nsid w:val="0D0B012B"/>
    <w:multiLevelType w:val="multilevel"/>
    <w:tmpl w:val="1AB04C9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1" w15:restartNumberingAfterBreak="0">
    <w:nsid w:val="0F347B82"/>
    <w:multiLevelType w:val="multilevel"/>
    <w:tmpl w:val="05C6F6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E10E58"/>
    <w:multiLevelType w:val="multilevel"/>
    <w:tmpl w:val="CFE6665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 w15:restartNumberingAfterBreak="0">
    <w:nsid w:val="12F74A3A"/>
    <w:multiLevelType w:val="multilevel"/>
    <w:tmpl w:val="A488961E"/>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293EF1"/>
    <w:multiLevelType w:val="multilevel"/>
    <w:tmpl w:val="EAEE70E2"/>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5" w15:restartNumberingAfterBreak="0">
    <w:nsid w:val="14CE627F"/>
    <w:multiLevelType w:val="multilevel"/>
    <w:tmpl w:val="FC26D6E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color w:val="4472C4"/>
        <w:sz w:val="24"/>
        <w:szCs w:val="2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6" w15:restartNumberingAfterBreak="0">
    <w:nsid w:val="16480A7F"/>
    <w:multiLevelType w:val="multilevel"/>
    <w:tmpl w:val="9B5A5B8E"/>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765797"/>
    <w:multiLevelType w:val="multilevel"/>
    <w:tmpl w:val="2AB6135E"/>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B9569A9"/>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9" w15:restartNumberingAfterBreak="0">
    <w:nsid w:val="1F8610BF"/>
    <w:multiLevelType w:val="multilevel"/>
    <w:tmpl w:val="27E26AA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1B377D"/>
    <w:multiLevelType w:val="multilevel"/>
    <w:tmpl w:val="C4B6F18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1" w15:restartNumberingAfterBreak="0">
    <w:nsid w:val="237D3A67"/>
    <w:multiLevelType w:val="multilevel"/>
    <w:tmpl w:val="844A818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2" w15:restartNumberingAfterBreak="0">
    <w:nsid w:val="255F76E0"/>
    <w:multiLevelType w:val="multilevel"/>
    <w:tmpl w:val="5FACB1C6"/>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5626C57"/>
    <w:multiLevelType w:val="multilevel"/>
    <w:tmpl w:val="04EC4DB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i w:val="0"/>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4" w15:restartNumberingAfterBreak="0">
    <w:nsid w:val="25BF51CE"/>
    <w:multiLevelType w:val="multilevel"/>
    <w:tmpl w:val="30A6AFA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FA7A8E"/>
    <w:multiLevelType w:val="multilevel"/>
    <w:tmpl w:val="EE0CC36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85B7527"/>
    <w:multiLevelType w:val="multilevel"/>
    <w:tmpl w:val="3F002C96"/>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7" w15:restartNumberingAfterBreak="0">
    <w:nsid w:val="2B103050"/>
    <w:multiLevelType w:val="multilevel"/>
    <w:tmpl w:val="67D02AB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8" w15:restartNumberingAfterBreak="0">
    <w:nsid w:val="2BD67E92"/>
    <w:multiLevelType w:val="multilevel"/>
    <w:tmpl w:val="E55C840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F0772A"/>
    <w:multiLevelType w:val="multilevel"/>
    <w:tmpl w:val="8B801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FAD3D42"/>
    <w:multiLevelType w:val="multilevel"/>
    <w:tmpl w:val="ABE601BE"/>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AD7060"/>
    <w:multiLevelType w:val="multilevel"/>
    <w:tmpl w:val="B44098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497396A"/>
    <w:multiLevelType w:val="multilevel"/>
    <w:tmpl w:val="A31E66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4C34F5E"/>
    <w:multiLevelType w:val="multilevel"/>
    <w:tmpl w:val="194CD9C0"/>
    <w:lvl w:ilvl="0">
      <w:start w:val="1"/>
      <w:numFmt w:val="upperLetter"/>
      <w:pStyle w:val="Bullets2"/>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4" w15:restartNumberingAfterBreak="0">
    <w:nsid w:val="35430E06"/>
    <w:multiLevelType w:val="multilevel"/>
    <w:tmpl w:val="461E4052"/>
    <w:lvl w:ilvl="0">
      <w:start w:val="1"/>
      <w:numFmt w:val="upperLetter"/>
      <w:lvlText w:val="SECTION %1:"/>
      <w:lvlJc w:val="left"/>
      <w:pPr>
        <w:ind w:left="0" w:firstLine="0"/>
      </w:pPr>
      <w:rPr>
        <w:b w:val="0"/>
        <w:i w:val="0"/>
        <w:smallCaps w:val="0"/>
        <w:strike w:val="0"/>
        <w:u w:val="none"/>
        <w:vertAlign w:val="baseline"/>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5" w15:restartNumberingAfterBreak="0">
    <w:nsid w:val="354D08B4"/>
    <w:multiLevelType w:val="multilevel"/>
    <w:tmpl w:val="39AA7980"/>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63310A5"/>
    <w:multiLevelType w:val="multilevel"/>
    <w:tmpl w:val="84EE45B8"/>
    <w:lvl w:ilvl="0">
      <w:start w:val="1"/>
      <w:numFmt w:val="bullet"/>
      <w:pStyle w:val="FFWLevel1"/>
      <w:lvlText w:val="●"/>
      <w:lvlJc w:val="left"/>
      <w:pPr>
        <w:ind w:left="720" w:hanging="360"/>
      </w:pPr>
      <w:rPr>
        <w:rFonts w:ascii="Noto Sans Symbols" w:eastAsia="Noto Sans Symbols" w:hAnsi="Noto Sans Symbols" w:cs="Noto Sans Symbols"/>
      </w:rPr>
    </w:lvl>
    <w:lvl w:ilvl="1">
      <w:start w:val="1"/>
      <w:numFmt w:val="bullet"/>
      <w:pStyle w:val="FFWLevel2"/>
      <w:lvlText w:val="o"/>
      <w:lvlJc w:val="left"/>
      <w:pPr>
        <w:ind w:left="1440" w:hanging="360"/>
      </w:pPr>
      <w:rPr>
        <w:rFonts w:ascii="Courier New" w:eastAsia="Courier New" w:hAnsi="Courier New" w:cs="Courier New"/>
      </w:rPr>
    </w:lvl>
    <w:lvl w:ilvl="2">
      <w:start w:val="1"/>
      <w:numFmt w:val="bullet"/>
      <w:pStyle w:val="FFWLevel3"/>
      <w:lvlText w:val="▪"/>
      <w:lvlJc w:val="left"/>
      <w:pPr>
        <w:ind w:left="2160" w:hanging="360"/>
      </w:pPr>
      <w:rPr>
        <w:rFonts w:ascii="Noto Sans Symbols" w:eastAsia="Noto Sans Symbols" w:hAnsi="Noto Sans Symbols" w:cs="Noto Sans Symbols"/>
      </w:rPr>
    </w:lvl>
    <w:lvl w:ilvl="3">
      <w:start w:val="1"/>
      <w:numFmt w:val="bullet"/>
      <w:pStyle w:val="FFWLevel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FFWLevel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7FA4263"/>
    <w:multiLevelType w:val="multilevel"/>
    <w:tmpl w:val="37204CBA"/>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0D54E2"/>
    <w:multiLevelType w:val="hybridMultilevel"/>
    <w:tmpl w:val="35F44F38"/>
    <w:lvl w:ilvl="0" w:tplc="762847A2">
      <w:start w:val="1"/>
      <w:numFmt w:val="lowerLetter"/>
      <w:lvlText w:val="%1)"/>
      <w:lvlJc w:val="left"/>
      <w:pPr>
        <w:ind w:left="1020" w:hanging="360"/>
      </w:pPr>
    </w:lvl>
    <w:lvl w:ilvl="1" w:tplc="6F00AC2C">
      <w:start w:val="1"/>
      <w:numFmt w:val="lowerLetter"/>
      <w:lvlText w:val="%2)"/>
      <w:lvlJc w:val="left"/>
      <w:pPr>
        <w:ind w:left="1020" w:hanging="360"/>
      </w:pPr>
    </w:lvl>
    <w:lvl w:ilvl="2" w:tplc="ADC26E7E">
      <w:start w:val="1"/>
      <w:numFmt w:val="lowerLetter"/>
      <w:lvlText w:val="%3)"/>
      <w:lvlJc w:val="left"/>
      <w:pPr>
        <w:ind w:left="1020" w:hanging="360"/>
      </w:pPr>
    </w:lvl>
    <w:lvl w:ilvl="3" w:tplc="7812DAC6">
      <w:start w:val="1"/>
      <w:numFmt w:val="lowerLetter"/>
      <w:lvlText w:val="%4)"/>
      <w:lvlJc w:val="left"/>
      <w:pPr>
        <w:ind w:left="1020" w:hanging="360"/>
      </w:pPr>
    </w:lvl>
    <w:lvl w:ilvl="4" w:tplc="91249DC0">
      <w:start w:val="1"/>
      <w:numFmt w:val="lowerLetter"/>
      <w:lvlText w:val="%5)"/>
      <w:lvlJc w:val="left"/>
      <w:pPr>
        <w:ind w:left="1020" w:hanging="360"/>
      </w:pPr>
    </w:lvl>
    <w:lvl w:ilvl="5" w:tplc="45FEA984">
      <w:start w:val="1"/>
      <w:numFmt w:val="lowerLetter"/>
      <w:lvlText w:val="%6)"/>
      <w:lvlJc w:val="left"/>
      <w:pPr>
        <w:ind w:left="1020" w:hanging="360"/>
      </w:pPr>
    </w:lvl>
    <w:lvl w:ilvl="6" w:tplc="9FBEA2AC">
      <w:start w:val="1"/>
      <w:numFmt w:val="lowerLetter"/>
      <w:lvlText w:val="%7)"/>
      <w:lvlJc w:val="left"/>
      <w:pPr>
        <w:ind w:left="1020" w:hanging="360"/>
      </w:pPr>
    </w:lvl>
    <w:lvl w:ilvl="7" w:tplc="2C0E799E">
      <w:start w:val="1"/>
      <w:numFmt w:val="lowerLetter"/>
      <w:lvlText w:val="%8)"/>
      <w:lvlJc w:val="left"/>
      <w:pPr>
        <w:ind w:left="1020" w:hanging="360"/>
      </w:pPr>
    </w:lvl>
    <w:lvl w:ilvl="8" w:tplc="2968C06C">
      <w:start w:val="1"/>
      <w:numFmt w:val="lowerLetter"/>
      <w:lvlText w:val="%9)"/>
      <w:lvlJc w:val="left"/>
      <w:pPr>
        <w:ind w:left="1020" w:hanging="360"/>
      </w:pPr>
    </w:lvl>
  </w:abstractNum>
  <w:abstractNum w:abstractNumId="39" w15:restartNumberingAfterBreak="0">
    <w:nsid w:val="39C73B2D"/>
    <w:multiLevelType w:val="multilevel"/>
    <w:tmpl w:val="C912494A"/>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B711BA8"/>
    <w:multiLevelType w:val="multilevel"/>
    <w:tmpl w:val="630C17A8"/>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1" w15:restartNumberingAfterBreak="0">
    <w:nsid w:val="3EDE0276"/>
    <w:multiLevelType w:val="multilevel"/>
    <w:tmpl w:val="4586AFE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B07E9B"/>
    <w:multiLevelType w:val="multilevel"/>
    <w:tmpl w:val="8EC816E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4FC3490"/>
    <w:multiLevelType w:val="multilevel"/>
    <w:tmpl w:val="494C52F2"/>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78F7753"/>
    <w:multiLevelType w:val="multilevel"/>
    <w:tmpl w:val="11A2D54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5" w15:restartNumberingAfterBreak="0">
    <w:nsid w:val="48437C01"/>
    <w:multiLevelType w:val="multilevel"/>
    <w:tmpl w:val="F7E0D64A"/>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8D14D18"/>
    <w:multiLevelType w:val="multilevel"/>
    <w:tmpl w:val="AFF26E78"/>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8FF1182"/>
    <w:multiLevelType w:val="multilevel"/>
    <w:tmpl w:val="D25EE110"/>
    <w:lvl w:ilvl="0">
      <w:start w:val="1"/>
      <w:numFmt w:val="upperLetter"/>
      <w:pStyle w:val="BulletLoose"/>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8" w15:restartNumberingAfterBreak="0">
    <w:nsid w:val="4AA909CA"/>
    <w:multiLevelType w:val="multilevel"/>
    <w:tmpl w:val="7EA2A986"/>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9" w15:restartNumberingAfterBreak="0">
    <w:nsid w:val="4B302EE7"/>
    <w:multiLevelType w:val="multilevel"/>
    <w:tmpl w:val="2F3A19AC"/>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E100D25"/>
    <w:multiLevelType w:val="multilevel"/>
    <w:tmpl w:val="F75E7D46"/>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E3D37FE"/>
    <w:multiLevelType w:val="multilevel"/>
    <w:tmpl w:val="89866E38"/>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32877DF"/>
    <w:multiLevelType w:val="multilevel"/>
    <w:tmpl w:val="DE946D3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3" w15:restartNumberingAfterBreak="0">
    <w:nsid w:val="53522E9E"/>
    <w:multiLevelType w:val="multilevel"/>
    <w:tmpl w:val="21E6D090"/>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4" w15:restartNumberingAfterBreak="0">
    <w:nsid w:val="5374589A"/>
    <w:multiLevelType w:val="multilevel"/>
    <w:tmpl w:val="C1F2FCA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5" w15:restartNumberingAfterBreak="0">
    <w:nsid w:val="56A37B6F"/>
    <w:multiLevelType w:val="multilevel"/>
    <w:tmpl w:val="3508BE4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6" w15:restartNumberingAfterBreak="0">
    <w:nsid w:val="57E70BC1"/>
    <w:multiLevelType w:val="multilevel"/>
    <w:tmpl w:val="1C345874"/>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A3E3DE2"/>
    <w:multiLevelType w:val="multilevel"/>
    <w:tmpl w:val="9E325428"/>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8" w15:restartNumberingAfterBreak="0">
    <w:nsid w:val="5A9F58F5"/>
    <w:multiLevelType w:val="multilevel"/>
    <w:tmpl w:val="E000036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9" w15:restartNumberingAfterBreak="0">
    <w:nsid w:val="5C1969A8"/>
    <w:multiLevelType w:val="multilevel"/>
    <w:tmpl w:val="3C1EC0E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0" w15:restartNumberingAfterBreak="0">
    <w:nsid w:val="5D3512B3"/>
    <w:multiLevelType w:val="multilevel"/>
    <w:tmpl w:val="38600F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D6129AE"/>
    <w:multiLevelType w:val="multilevel"/>
    <w:tmpl w:val="65A03BC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2" w15:restartNumberingAfterBreak="0">
    <w:nsid w:val="5E30338F"/>
    <w:multiLevelType w:val="multilevel"/>
    <w:tmpl w:val="8432068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3" w15:restartNumberingAfterBreak="0">
    <w:nsid w:val="5EA7070B"/>
    <w:multiLevelType w:val="multilevel"/>
    <w:tmpl w:val="CB1EC8C2"/>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4" w15:restartNumberingAfterBreak="0">
    <w:nsid w:val="5F2265E4"/>
    <w:multiLevelType w:val="multilevel"/>
    <w:tmpl w:val="66F43B4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5" w15:restartNumberingAfterBreak="0">
    <w:nsid w:val="60380CD4"/>
    <w:multiLevelType w:val="multilevel"/>
    <w:tmpl w:val="AB36E2A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21A5D9C"/>
    <w:multiLevelType w:val="multilevel"/>
    <w:tmpl w:val="D62044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29238AD"/>
    <w:multiLevelType w:val="multilevel"/>
    <w:tmpl w:val="0EEA806C"/>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9B1993"/>
    <w:multiLevelType w:val="multilevel"/>
    <w:tmpl w:val="99108BCE"/>
    <w:lvl w:ilvl="0">
      <w:start w:val="1"/>
      <w:numFmt w:val="lowerLetter"/>
      <w:lvlText w:val="(%1)"/>
      <w:lvlJc w:val="left"/>
      <w:pPr>
        <w:ind w:left="720" w:hanging="360"/>
      </w:pPr>
      <w:rPr>
        <w:b w:val="0"/>
        <w:strike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5595191"/>
    <w:multiLevelType w:val="multilevel"/>
    <w:tmpl w:val="EFA41D4E"/>
    <w:lvl w:ilvl="0">
      <w:start w:val="1"/>
      <w:numFmt w:val="upperRoman"/>
      <w:pStyle w:val="FFWBody1"/>
      <w:lvlText w:val="%1."/>
      <w:lvlJc w:val="right"/>
      <w:pPr>
        <w:ind w:left="720" w:hanging="360"/>
      </w:pPr>
    </w:lvl>
    <w:lvl w:ilvl="1">
      <w:start w:val="1"/>
      <w:numFmt w:val="lowerLetter"/>
      <w:pStyle w:val="FFWBody2"/>
      <w:lvlText w:val="%2."/>
      <w:lvlJc w:val="left"/>
      <w:pPr>
        <w:ind w:left="1440" w:hanging="360"/>
      </w:pPr>
    </w:lvl>
    <w:lvl w:ilvl="2">
      <w:start w:val="1"/>
      <w:numFmt w:val="lowerRoman"/>
      <w:pStyle w:val="FFWBody3"/>
      <w:lvlText w:val="%3."/>
      <w:lvlJc w:val="right"/>
      <w:pPr>
        <w:ind w:left="2160" w:hanging="180"/>
      </w:pPr>
    </w:lvl>
    <w:lvl w:ilvl="3">
      <w:start w:val="1"/>
      <w:numFmt w:val="decimal"/>
      <w:pStyle w:val="FFWBody4"/>
      <w:lvlText w:val="%4."/>
      <w:lvlJc w:val="left"/>
      <w:pPr>
        <w:ind w:left="2880" w:hanging="360"/>
      </w:pPr>
    </w:lvl>
    <w:lvl w:ilvl="4">
      <w:start w:val="1"/>
      <w:numFmt w:val="lowerLetter"/>
      <w:pStyle w:val="FFWBody5"/>
      <w:lvlText w:val="%5."/>
      <w:lvlJc w:val="left"/>
      <w:pPr>
        <w:ind w:left="3600" w:hanging="360"/>
      </w:pPr>
    </w:lvl>
    <w:lvl w:ilvl="5">
      <w:start w:val="1"/>
      <w:numFmt w:val="lowerRoman"/>
      <w:pStyle w:val="FFWBody6"/>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6075B4E"/>
    <w:multiLevelType w:val="multilevel"/>
    <w:tmpl w:val="FB86DAA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60B083C"/>
    <w:multiLevelType w:val="multilevel"/>
    <w:tmpl w:val="4E08116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2" w15:restartNumberingAfterBreak="0">
    <w:nsid w:val="660D4EB6"/>
    <w:multiLevelType w:val="multilevel"/>
    <w:tmpl w:val="D410E0C6"/>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3" w15:restartNumberingAfterBreak="0">
    <w:nsid w:val="66F46532"/>
    <w:multiLevelType w:val="multilevel"/>
    <w:tmpl w:val="0E9AA9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7CE110D"/>
    <w:multiLevelType w:val="multilevel"/>
    <w:tmpl w:val="B31262C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90232E9"/>
    <w:multiLevelType w:val="multilevel"/>
    <w:tmpl w:val="A328D8BA"/>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1471133"/>
    <w:multiLevelType w:val="multilevel"/>
    <w:tmpl w:val="2390B2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38F7979"/>
    <w:multiLevelType w:val="multilevel"/>
    <w:tmpl w:val="E10AE862"/>
    <w:lvl w:ilvl="0">
      <w:start w:val="1"/>
      <w:numFmt w:val="bullet"/>
      <w:pStyle w:val="BulletTigh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78" w15:restartNumberingAfterBreak="0">
    <w:nsid w:val="73C5119C"/>
    <w:multiLevelType w:val="multilevel"/>
    <w:tmpl w:val="A6B4DD0A"/>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3E31CF6"/>
    <w:multiLevelType w:val="multilevel"/>
    <w:tmpl w:val="99108BCE"/>
    <w:lvl w:ilvl="0">
      <w:start w:val="1"/>
      <w:numFmt w:val="lowerLetter"/>
      <w:lvlText w:val="(%1)"/>
      <w:lvlJc w:val="left"/>
      <w:pPr>
        <w:ind w:left="720" w:hanging="360"/>
      </w:pPr>
      <w:rPr>
        <w:b w:val="0"/>
        <w:strike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71D6490"/>
    <w:multiLevelType w:val="multilevel"/>
    <w:tmpl w:val="58BC9AD0"/>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94C38B1"/>
    <w:multiLevelType w:val="multilevel"/>
    <w:tmpl w:val="406841A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2" w15:restartNumberingAfterBreak="0">
    <w:nsid w:val="7DFC03BD"/>
    <w:multiLevelType w:val="multilevel"/>
    <w:tmpl w:val="3D60FD1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4D71FB"/>
    <w:multiLevelType w:val="multilevel"/>
    <w:tmpl w:val="D2547C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F76170A"/>
    <w:multiLevelType w:val="multilevel"/>
    <w:tmpl w:val="2E7223C8"/>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17720309">
    <w:abstractNumId w:val="77"/>
  </w:num>
  <w:num w:numId="2" w16cid:durableId="392313897">
    <w:abstractNumId w:val="84"/>
  </w:num>
  <w:num w:numId="3" w16cid:durableId="785655608">
    <w:abstractNumId w:val="10"/>
  </w:num>
  <w:num w:numId="4" w16cid:durableId="992876803">
    <w:abstractNumId w:val="47"/>
  </w:num>
  <w:num w:numId="5" w16cid:durableId="1210923128">
    <w:abstractNumId w:val="9"/>
  </w:num>
  <w:num w:numId="6" w16cid:durableId="985360203">
    <w:abstractNumId w:val="3"/>
  </w:num>
  <w:num w:numId="7" w16cid:durableId="1060330448">
    <w:abstractNumId w:val="33"/>
  </w:num>
  <w:num w:numId="8" w16cid:durableId="1430782757">
    <w:abstractNumId w:val="53"/>
  </w:num>
  <w:num w:numId="9" w16cid:durableId="1215580812">
    <w:abstractNumId w:val="14"/>
  </w:num>
  <w:num w:numId="10" w16cid:durableId="89744861">
    <w:abstractNumId w:val="44"/>
  </w:num>
  <w:num w:numId="11" w16cid:durableId="2059164903">
    <w:abstractNumId w:val="55"/>
  </w:num>
  <w:num w:numId="12" w16cid:durableId="1149905413">
    <w:abstractNumId w:val="21"/>
  </w:num>
  <w:num w:numId="13" w16cid:durableId="865291518">
    <w:abstractNumId w:val="0"/>
  </w:num>
  <w:num w:numId="14" w16cid:durableId="413093087">
    <w:abstractNumId w:val="63"/>
  </w:num>
  <w:num w:numId="15" w16cid:durableId="534536087">
    <w:abstractNumId w:val="54"/>
  </w:num>
  <w:num w:numId="16" w16cid:durableId="814106936">
    <w:abstractNumId w:val="56"/>
  </w:num>
  <w:num w:numId="17" w16cid:durableId="591092134">
    <w:abstractNumId w:val="60"/>
  </w:num>
  <w:num w:numId="18" w16cid:durableId="1192886739">
    <w:abstractNumId w:val="66"/>
  </w:num>
  <w:num w:numId="19" w16cid:durableId="246766501">
    <w:abstractNumId w:val="32"/>
  </w:num>
  <w:num w:numId="20" w16cid:durableId="445778955">
    <w:abstractNumId w:val="31"/>
  </w:num>
  <w:num w:numId="21" w16cid:durableId="1530289710">
    <w:abstractNumId w:val="42"/>
  </w:num>
  <w:num w:numId="22" w16cid:durableId="1171799370">
    <w:abstractNumId w:val="67"/>
  </w:num>
  <w:num w:numId="23" w16cid:durableId="1583176715">
    <w:abstractNumId w:val="24"/>
  </w:num>
  <w:num w:numId="24" w16cid:durableId="1522669475">
    <w:abstractNumId w:val="36"/>
  </w:num>
  <w:num w:numId="25" w16cid:durableId="1626884738">
    <w:abstractNumId w:val="41"/>
  </w:num>
  <w:num w:numId="26" w16cid:durableId="765537633">
    <w:abstractNumId w:val="76"/>
  </w:num>
  <w:num w:numId="27" w16cid:durableId="855769308">
    <w:abstractNumId w:val="29"/>
  </w:num>
  <w:num w:numId="28" w16cid:durableId="1192255887">
    <w:abstractNumId w:val="83"/>
  </w:num>
  <w:num w:numId="29" w16cid:durableId="166284925">
    <w:abstractNumId w:val="8"/>
  </w:num>
  <w:num w:numId="30" w16cid:durableId="529731827">
    <w:abstractNumId w:val="73"/>
  </w:num>
  <w:num w:numId="31" w16cid:durableId="827480399">
    <w:abstractNumId w:val="69"/>
  </w:num>
  <w:num w:numId="32" w16cid:durableId="707030271">
    <w:abstractNumId w:val="11"/>
  </w:num>
  <w:num w:numId="33" w16cid:durableId="664868044">
    <w:abstractNumId w:val="70"/>
  </w:num>
  <w:num w:numId="34" w16cid:durableId="1139806041">
    <w:abstractNumId w:val="48"/>
  </w:num>
  <w:num w:numId="35" w16cid:durableId="1408112950">
    <w:abstractNumId w:val="7"/>
  </w:num>
  <w:num w:numId="36" w16cid:durableId="885946213">
    <w:abstractNumId w:val="81"/>
  </w:num>
  <w:num w:numId="37" w16cid:durableId="811991582">
    <w:abstractNumId w:val="52"/>
  </w:num>
  <w:num w:numId="38" w16cid:durableId="1495605652">
    <w:abstractNumId w:val="61"/>
  </w:num>
  <w:num w:numId="39" w16cid:durableId="330646551">
    <w:abstractNumId w:val="22"/>
  </w:num>
  <w:num w:numId="40" w16cid:durableId="569077137">
    <w:abstractNumId w:val="68"/>
  </w:num>
  <w:num w:numId="41" w16cid:durableId="813524102">
    <w:abstractNumId w:val="49"/>
  </w:num>
  <w:num w:numId="42" w16cid:durableId="550381722">
    <w:abstractNumId w:val="26"/>
  </w:num>
  <w:num w:numId="43" w16cid:durableId="1832133322">
    <w:abstractNumId w:val="2"/>
  </w:num>
  <w:num w:numId="44" w16cid:durableId="641886592">
    <w:abstractNumId w:val="45"/>
  </w:num>
  <w:num w:numId="45" w16cid:durableId="344405116">
    <w:abstractNumId w:val="51"/>
  </w:num>
  <w:num w:numId="46" w16cid:durableId="877086700">
    <w:abstractNumId w:val="1"/>
  </w:num>
  <w:num w:numId="47" w16cid:durableId="1616252105">
    <w:abstractNumId w:val="71"/>
  </w:num>
  <w:num w:numId="48" w16cid:durableId="914514705">
    <w:abstractNumId w:val="39"/>
  </w:num>
  <w:num w:numId="49" w16cid:durableId="835926744">
    <w:abstractNumId w:val="46"/>
  </w:num>
  <w:num w:numId="50" w16cid:durableId="923294488">
    <w:abstractNumId w:val="12"/>
  </w:num>
  <w:num w:numId="51" w16cid:durableId="1713651444">
    <w:abstractNumId w:val="6"/>
  </w:num>
  <w:num w:numId="52" w16cid:durableId="1399749463">
    <w:abstractNumId w:val="17"/>
  </w:num>
  <w:num w:numId="53" w16cid:durableId="1155221727">
    <w:abstractNumId w:val="58"/>
  </w:num>
  <w:num w:numId="54" w16cid:durableId="780611187">
    <w:abstractNumId w:val="78"/>
  </w:num>
  <w:num w:numId="55" w16cid:durableId="2092316204">
    <w:abstractNumId w:val="62"/>
  </w:num>
  <w:num w:numId="56" w16cid:durableId="326784791">
    <w:abstractNumId w:val="19"/>
  </w:num>
  <w:num w:numId="57" w16cid:durableId="1050305706">
    <w:abstractNumId w:val="20"/>
  </w:num>
  <w:num w:numId="58" w16cid:durableId="688868712">
    <w:abstractNumId w:val="59"/>
  </w:num>
  <w:num w:numId="59" w16cid:durableId="1775830027">
    <w:abstractNumId w:val="4"/>
  </w:num>
  <w:num w:numId="60" w16cid:durableId="1382482966">
    <w:abstractNumId w:val="74"/>
  </w:num>
  <w:num w:numId="61" w16cid:durableId="1602487952">
    <w:abstractNumId w:val="23"/>
  </w:num>
  <w:num w:numId="62" w16cid:durableId="1171530501">
    <w:abstractNumId w:val="16"/>
  </w:num>
  <w:num w:numId="63" w16cid:durableId="1424303751">
    <w:abstractNumId w:val="34"/>
  </w:num>
  <w:num w:numId="64" w16cid:durableId="602423474">
    <w:abstractNumId w:val="37"/>
  </w:num>
  <w:num w:numId="65" w16cid:durableId="935678564">
    <w:abstractNumId w:val="43"/>
  </w:num>
  <w:num w:numId="66" w16cid:durableId="1257861885">
    <w:abstractNumId w:val="35"/>
  </w:num>
  <w:num w:numId="67" w16cid:durableId="765347883">
    <w:abstractNumId w:val="27"/>
  </w:num>
  <w:num w:numId="68" w16cid:durableId="1955863578">
    <w:abstractNumId w:val="64"/>
  </w:num>
  <w:num w:numId="69" w16cid:durableId="329647850">
    <w:abstractNumId w:val="50"/>
  </w:num>
  <w:num w:numId="70" w16cid:durableId="2059161477">
    <w:abstractNumId w:val="28"/>
  </w:num>
  <w:num w:numId="71" w16cid:durableId="1208688961">
    <w:abstractNumId w:val="13"/>
  </w:num>
  <w:num w:numId="72" w16cid:durableId="403648017">
    <w:abstractNumId w:val="15"/>
  </w:num>
  <w:num w:numId="73" w16cid:durableId="1419325617">
    <w:abstractNumId w:val="75"/>
  </w:num>
  <w:num w:numId="74" w16cid:durableId="1296257685">
    <w:abstractNumId w:val="5"/>
  </w:num>
  <w:num w:numId="75" w16cid:durableId="971985126">
    <w:abstractNumId w:val="72"/>
  </w:num>
  <w:num w:numId="76" w16cid:durableId="1119953936">
    <w:abstractNumId w:val="82"/>
  </w:num>
  <w:num w:numId="77" w16cid:durableId="34354375">
    <w:abstractNumId w:val="57"/>
  </w:num>
  <w:num w:numId="78" w16cid:durableId="1040663028">
    <w:abstractNumId w:val="25"/>
  </w:num>
  <w:num w:numId="79" w16cid:durableId="806969935">
    <w:abstractNumId w:val="40"/>
  </w:num>
  <w:num w:numId="80" w16cid:durableId="251932942">
    <w:abstractNumId w:val="30"/>
  </w:num>
  <w:num w:numId="81" w16cid:durableId="179272394">
    <w:abstractNumId w:val="80"/>
  </w:num>
  <w:num w:numId="82" w16cid:durableId="477766912">
    <w:abstractNumId w:val="65"/>
  </w:num>
  <w:num w:numId="83" w16cid:durableId="1266109971">
    <w:abstractNumId w:val="38"/>
  </w:num>
  <w:num w:numId="84" w16cid:durableId="1225482154">
    <w:abstractNumId w:val="79"/>
  </w:num>
  <w:num w:numId="85" w16cid:durableId="1320884528">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SAuthorLogon" w:val="BF11"/>
    <w:docVar w:name="FSAuthorName" w:val="Bethany Fraser"/>
    <w:docVar w:name="FSClientName" w:val="Renewable Transport Fuel Association"/>
    <w:docVar w:name="FSClientNumber" w:val="UK01-2020618"/>
    <w:docVar w:name="FSDocClass" w:val="DOC"/>
    <w:docVar w:name="FSDocNumber" w:val="129989698"/>
    <w:docVar w:name="FSDocVersion" w:val="1"/>
    <w:docVar w:name="FSMatterDesc" w:val="TRA Application"/>
    <w:docVar w:name="FSMatterNumber" w:val="00001"/>
    <w:docVar w:name="FSTypist" w:val="BF11"/>
    <w:docVar w:name="FSTypistLogon" w:val="BF11"/>
    <w:docVar w:name="FSTypistName" w:val="Bethany Fraser"/>
  </w:docVars>
  <w:rsids>
    <w:rsidRoot w:val="00416D85"/>
    <w:rsid w:val="0000128D"/>
    <w:rsid w:val="00007B0A"/>
    <w:rsid w:val="000167B1"/>
    <w:rsid w:val="000322BC"/>
    <w:rsid w:val="00032AA5"/>
    <w:rsid w:val="00035D14"/>
    <w:rsid w:val="00040AE4"/>
    <w:rsid w:val="00061210"/>
    <w:rsid w:val="00067C13"/>
    <w:rsid w:val="0007628B"/>
    <w:rsid w:val="00082193"/>
    <w:rsid w:val="000851EE"/>
    <w:rsid w:val="0008781A"/>
    <w:rsid w:val="000932A9"/>
    <w:rsid w:val="000963CD"/>
    <w:rsid w:val="00097F73"/>
    <w:rsid w:val="000A11A9"/>
    <w:rsid w:val="000A165B"/>
    <w:rsid w:val="000B5A91"/>
    <w:rsid w:val="000C1E5B"/>
    <w:rsid w:val="000C6675"/>
    <w:rsid w:val="000D2EF8"/>
    <w:rsid w:val="000D3BAF"/>
    <w:rsid w:val="000F28D4"/>
    <w:rsid w:val="00107603"/>
    <w:rsid w:val="00114626"/>
    <w:rsid w:val="00117441"/>
    <w:rsid w:val="00130320"/>
    <w:rsid w:val="001463D7"/>
    <w:rsid w:val="00147249"/>
    <w:rsid w:val="00151FE2"/>
    <w:rsid w:val="00175722"/>
    <w:rsid w:val="00184733"/>
    <w:rsid w:val="00185D4F"/>
    <w:rsid w:val="001867E1"/>
    <w:rsid w:val="00192441"/>
    <w:rsid w:val="001930BE"/>
    <w:rsid w:val="001938EC"/>
    <w:rsid w:val="001A17A4"/>
    <w:rsid w:val="001A5AFA"/>
    <w:rsid w:val="001B068E"/>
    <w:rsid w:val="001B3490"/>
    <w:rsid w:val="001C047F"/>
    <w:rsid w:val="001C0AF4"/>
    <w:rsid w:val="001D126F"/>
    <w:rsid w:val="001D4DAC"/>
    <w:rsid w:val="001E18A1"/>
    <w:rsid w:val="001E3C60"/>
    <w:rsid w:val="001E40D2"/>
    <w:rsid w:val="001E58D6"/>
    <w:rsid w:val="001F503C"/>
    <w:rsid w:val="001F555C"/>
    <w:rsid w:val="001F5AF2"/>
    <w:rsid w:val="00205F99"/>
    <w:rsid w:val="002202F2"/>
    <w:rsid w:val="0023344C"/>
    <w:rsid w:val="00244A73"/>
    <w:rsid w:val="002504C9"/>
    <w:rsid w:val="002625CA"/>
    <w:rsid w:val="00264609"/>
    <w:rsid w:val="0026508B"/>
    <w:rsid w:val="002735FD"/>
    <w:rsid w:val="00295032"/>
    <w:rsid w:val="00295255"/>
    <w:rsid w:val="002B464D"/>
    <w:rsid w:val="002B7A80"/>
    <w:rsid w:val="002D1D2C"/>
    <w:rsid w:val="002D24CC"/>
    <w:rsid w:val="002D42E1"/>
    <w:rsid w:val="002D6DB2"/>
    <w:rsid w:val="002F21C4"/>
    <w:rsid w:val="0030418B"/>
    <w:rsid w:val="003104D5"/>
    <w:rsid w:val="00335A97"/>
    <w:rsid w:val="003420DD"/>
    <w:rsid w:val="00350B97"/>
    <w:rsid w:val="003534E7"/>
    <w:rsid w:val="00357808"/>
    <w:rsid w:val="00361369"/>
    <w:rsid w:val="003625DB"/>
    <w:rsid w:val="00362A01"/>
    <w:rsid w:val="00366511"/>
    <w:rsid w:val="00380DFD"/>
    <w:rsid w:val="00385688"/>
    <w:rsid w:val="00391801"/>
    <w:rsid w:val="00392091"/>
    <w:rsid w:val="003972D4"/>
    <w:rsid w:val="003A2575"/>
    <w:rsid w:val="003C4A7C"/>
    <w:rsid w:val="003C62AC"/>
    <w:rsid w:val="003D0BCF"/>
    <w:rsid w:val="003D274D"/>
    <w:rsid w:val="003D28EE"/>
    <w:rsid w:val="003E3134"/>
    <w:rsid w:val="003E4C31"/>
    <w:rsid w:val="003E5E6E"/>
    <w:rsid w:val="003E7FB1"/>
    <w:rsid w:val="00403077"/>
    <w:rsid w:val="0041125C"/>
    <w:rsid w:val="00416D85"/>
    <w:rsid w:val="00423588"/>
    <w:rsid w:val="00432AB4"/>
    <w:rsid w:val="0043532F"/>
    <w:rsid w:val="0043793F"/>
    <w:rsid w:val="004549CE"/>
    <w:rsid w:val="0047404D"/>
    <w:rsid w:val="004775C5"/>
    <w:rsid w:val="00485F75"/>
    <w:rsid w:val="004913E1"/>
    <w:rsid w:val="004B1713"/>
    <w:rsid w:val="004B3E2E"/>
    <w:rsid w:val="004C0D66"/>
    <w:rsid w:val="004D5234"/>
    <w:rsid w:val="004D58CD"/>
    <w:rsid w:val="004E1EE8"/>
    <w:rsid w:val="004E3AAF"/>
    <w:rsid w:val="004E7934"/>
    <w:rsid w:val="004F1127"/>
    <w:rsid w:val="004F2049"/>
    <w:rsid w:val="004F484B"/>
    <w:rsid w:val="005067EC"/>
    <w:rsid w:val="00512ED4"/>
    <w:rsid w:val="00521619"/>
    <w:rsid w:val="00522AF7"/>
    <w:rsid w:val="005249F5"/>
    <w:rsid w:val="00555568"/>
    <w:rsid w:val="005575A8"/>
    <w:rsid w:val="00574461"/>
    <w:rsid w:val="00592FFF"/>
    <w:rsid w:val="005945B9"/>
    <w:rsid w:val="005A2BAD"/>
    <w:rsid w:val="005B1D20"/>
    <w:rsid w:val="005C2755"/>
    <w:rsid w:val="005C61B2"/>
    <w:rsid w:val="005D16C0"/>
    <w:rsid w:val="005F4164"/>
    <w:rsid w:val="00607769"/>
    <w:rsid w:val="0061502B"/>
    <w:rsid w:val="0065605A"/>
    <w:rsid w:val="006779A7"/>
    <w:rsid w:val="00680105"/>
    <w:rsid w:val="00683422"/>
    <w:rsid w:val="006839F8"/>
    <w:rsid w:val="006948C8"/>
    <w:rsid w:val="006B179E"/>
    <w:rsid w:val="006B3832"/>
    <w:rsid w:val="006B62FC"/>
    <w:rsid w:val="006C5D68"/>
    <w:rsid w:val="006C7340"/>
    <w:rsid w:val="006E27F1"/>
    <w:rsid w:val="006E5451"/>
    <w:rsid w:val="006E6E62"/>
    <w:rsid w:val="00701FFE"/>
    <w:rsid w:val="00714A55"/>
    <w:rsid w:val="00715F16"/>
    <w:rsid w:val="00731439"/>
    <w:rsid w:val="007472AF"/>
    <w:rsid w:val="00753DDC"/>
    <w:rsid w:val="00770386"/>
    <w:rsid w:val="00774CB9"/>
    <w:rsid w:val="00785EBF"/>
    <w:rsid w:val="00797725"/>
    <w:rsid w:val="00797E81"/>
    <w:rsid w:val="007A3C03"/>
    <w:rsid w:val="007C4424"/>
    <w:rsid w:val="007C60AF"/>
    <w:rsid w:val="007C6223"/>
    <w:rsid w:val="007D17D2"/>
    <w:rsid w:val="007E2F70"/>
    <w:rsid w:val="007F7672"/>
    <w:rsid w:val="0081219B"/>
    <w:rsid w:val="00815F83"/>
    <w:rsid w:val="008168ED"/>
    <w:rsid w:val="00821EF2"/>
    <w:rsid w:val="0082441E"/>
    <w:rsid w:val="00825EF9"/>
    <w:rsid w:val="0082742A"/>
    <w:rsid w:val="00852C1D"/>
    <w:rsid w:val="00856472"/>
    <w:rsid w:val="00863086"/>
    <w:rsid w:val="008758AD"/>
    <w:rsid w:val="00877296"/>
    <w:rsid w:val="00877AEF"/>
    <w:rsid w:val="008821E5"/>
    <w:rsid w:val="00885447"/>
    <w:rsid w:val="0089200F"/>
    <w:rsid w:val="008941EA"/>
    <w:rsid w:val="008A39C3"/>
    <w:rsid w:val="008B7021"/>
    <w:rsid w:val="008C516D"/>
    <w:rsid w:val="008E5707"/>
    <w:rsid w:val="009026A9"/>
    <w:rsid w:val="009041F7"/>
    <w:rsid w:val="00906F44"/>
    <w:rsid w:val="00907C18"/>
    <w:rsid w:val="00915692"/>
    <w:rsid w:val="00945E6C"/>
    <w:rsid w:val="00950593"/>
    <w:rsid w:val="00970CD5"/>
    <w:rsid w:val="00972E08"/>
    <w:rsid w:val="009744A6"/>
    <w:rsid w:val="00975D94"/>
    <w:rsid w:val="00982983"/>
    <w:rsid w:val="00991572"/>
    <w:rsid w:val="009A3209"/>
    <w:rsid w:val="009A368C"/>
    <w:rsid w:val="009B45ED"/>
    <w:rsid w:val="009B666E"/>
    <w:rsid w:val="009C6853"/>
    <w:rsid w:val="009C70D0"/>
    <w:rsid w:val="009D0A93"/>
    <w:rsid w:val="009E1089"/>
    <w:rsid w:val="009F251A"/>
    <w:rsid w:val="00A022EC"/>
    <w:rsid w:val="00A06A9E"/>
    <w:rsid w:val="00A12944"/>
    <w:rsid w:val="00A14000"/>
    <w:rsid w:val="00A2087A"/>
    <w:rsid w:val="00A22548"/>
    <w:rsid w:val="00A267E4"/>
    <w:rsid w:val="00A32CDE"/>
    <w:rsid w:val="00A32D0A"/>
    <w:rsid w:val="00A338C7"/>
    <w:rsid w:val="00A431E1"/>
    <w:rsid w:val="00A65661"/>
    <w:rsid w:val="00A73B67"/>
    <w:rsid w:val="00A83457"/>
    <w:rsid w:val="00A852F1"/>
    <w:rsid w:val="00A912B8"/>
    <w:rsid w:val="00A931C4"/>
    <w:rsid w:val="00A968EE"/>
    <w:rsid w:val="00A97CEE"/>
    <w:rsid w:val="00AC3023"/>
    <w:rsid w:val="00AC45AA"/>
    <w:rsid w:val="00AD57CA"/>
    <w:rsid w:val="00AD5A32"/>
    <w:rsid w:val="00B1324B"/>
    <w:rsid w:val="00B1635B"/>
    <w:rsid w:val="00B170C5"/>
    <w:rsid w:val="00B213E9"/>
    <w:rsid w:val="00B25321"/>
    <w:rsid w:val="00B27E6C"/>
    <w:rsid w:val="00B36B91"/>
    <w:rsid w:val="00B410B8"/>
    <w:rsid w:val="00B50C9F"/>
    <w:rsid w:val="00B62463"/>
    <w:rsid w:val="00B74019"/>
    <w:rsid w:val="00B75777"/>
    <w:rsid w:val="00B85FC0"/>
    <w:rsid w:val="00BA51B4"/>
    <w:rsid w:val="00BB6C1A"/>
    <w:rsid w:val="00BC63E8"/>
    <w:rsid w:val="00BD49E0"/>
    <w:rsid w:val="00BD743E"/>
    <w:rsid w:val="00BE6888"/>
    <w:rsid w:val="00BF42D0"/>
    <w:rsid w:val="00C004AD"/>
    <w:rsid w:val="00C0742E"/>
    <w:rsid w:val="00C371E9"/>
    <w:rsid w:val="00C37540"/>
    <w:rsid w:val="00C42C26"/>
    <w:rsid w:val="00C43DA8"/>
    <w:rsid w:val="00C542FD"/>
    <w:rsid w:val="00C563D1"/>
    <w:rsid w:val="00C6266D"/>
    <w:rsid w:val="00C701AA"/>
    <w:rsid w:val="00C87314"/>
    <w:rsid w:val="00C92593"/>
    <w:rsid w:val="00C96F97"/>
    <w:rsid w:val="00CA0591"/>
    <w:rsid w:val="00CA6C7E"/>
    <w:rsid w:val="00CC53CC"/>
    <w:rsid w:val="00CC7C46"/>
    <w:rsid w:val="00CD309E"/>
    <w:rsid w:val="00CD4A61"/>
    <w:rsid w:val="00CD5EDC"/>
    <w:rsid w:val="00CE7DDE"/>
    <w:rsid w:val="00CF691C"/>
    <w:rsid w:val="00D07A67"/>
    <w:rsid w:val="00D16478"/>
    <w:rsid w:val="00D227CA"/>
    <w:rsid w:val="00D24CC1"/>
    <w:rsid w:val="00D31469"/>
    <w:rsid w:val="00D4331B"/>
    <w:rsid w:val="00D43953"/>
    <w:rsid w:val="00D56D18"/>
    <w:rsid w:val="00D61C80"/>
    <w:rsid w:val="00D64EB9"/>
    <w:rsid w:val="00D74EC2"/>
    <w:rsid w:val="00D76DC1"/>
    <w:rsid w:val="00D81FF5"/>
    <w:rsid w:val="00D87F81"/>
    <w:rsid w:val="00D91A75"/>
    <w:rsid w:val="00DA0E32"/>
    <w:rsid w:val="00DB02E9"/>
    <w:rsid w:val="00DB4ABA"/>
    <w:rsid w:val="00DC33A6"/>
    <w:rsid w:val="00DC7644"/>
    <w:rsid w:val="00DF04DD"/>
    <w:rsid w:val="00E100B8"/>
    <w:rsid w:val="00E139F3"/>
    <w:rsid w:val="00E26008"/>
    <w:rsid w:val="00E41564"/>
    <w:rsid w:val="00E54E4E"/>
    <w:rsid w:val="00E641A6"/>
    <w:rsid w:val="00E75653"/>
    <w:rsid w:val="00E75745"/>
    <w:rsid w:val="00E77883"/>
    <w:rsid w:val="00EA249C"/>
    <w:rsid w:val="00EA268E"/>
    <w:rsid w:val="00EB2D3B"/>
    <w:rsid w:val="00EB3282"/>
    <w:rsid w:val="00EB4771"/>
    <w:rsid w:val="00EB5B80"/>
    <w:rsid w:val="00ED1C44"/>
    <w:rsid w:val="00ED2C9A"/>
    <w:rsid w:val="00EE45C5"/>
    <w:rsid w:val="00F10402"/>
    <w:rsid w:val="00F1460E"/>
    <w:rsid w:val="00F178A5"/>
    <w:rsid w:val="00F23A69"/>
    <w:rsid w:val="00F25260"/>
    <w:rsid w:val="00F254BA"/>
    <w:rsid w:val="00F3255E"/>
    <w:rsid w:val="00F344F3"/>
    <w:rsid w:val="00F3630D"/>
    <w:rsid w:val="00F443CF"/>
    <w:rsid w:val="00F5618D"/>
    <w:rsid w:val="00F84758"/>
    <w:rsid w:val="00F9528E"/>
    <w:rsid w:val="00F96842"/>
    <w:rsid w:val="00FA460E"/>
    <w:rsid w:val="00FA49F7"/>
    <w:rsid w:val="00FA5A12"/>
    <w:rsid w:val="00FB35BC"/>
    <w:rsid w:val="00FB48EB"/>
    <w:rsid w:val="00FB5381"/>
    <w:rsid w:val="00FC473F"/>
    <w:rsid w:val="00FD4BA8"/>
    <w:rsid w:val="00FE4CC2"/>
    <w:rsid w:val="00FE7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E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E4"/>
    <w:rPr>
      <w:rFonts w:eastAsia="SimSun"/>
      <w:lang w:eastAsia="zh-CN"/>
    </w:rPr>
  </w:style>
  <w:style w:type="paragraph" w:styleId="Heading1">
    <w:name w:val="heading 1"/>
    <w:basedOn w:val="Normal"/>
    <w:next w:val="Normal"/>
    <w:link w:val="Heading1Char"/>
    <w:uiPriority w:val="9"/>
    <w:qFormat/>
    <w:rsid w:val="009C6DE4"/>
    <w:pPr>
      <w:keepNext/>
      <w:keepLines/>
      <w:spacing w:before="240" w:after="0"/>
      <w:outlineLvl w:val="0"/>
    </w:pPr>
    <w:rPr>
      <w:b/>
      <w:color w:val="000000"/>
      <w:u w:val="single"/>
    </w:rPr>
  </w:style>
  <w:style w:type="paragraph" w:styleId="Heading2">
    <w:name w:val="heading 2"/>
    <w:basedOn w:val="Normal"/>
    <w:next w:val="Normal"/>
    <w:link w:val="Heading2Char"/>
    <w:uiPriority w:val="9"/>
    <w:unhideWhenUsed/>
    <w:qFormat/>
    <w:rsid w:val="009C6DE4"/>
    <w:pPr>
      <w:keepNext/>
      <w:keepLines/>
      <w:pBdr>
        <w:top w:val="nil"/>
        <w:left w:val="nil"/>
        <w:bottom w:val="nil"/>
        <w:right w:val="nil"/>
        <w:between w:val="nil"/>
      </w:pBdr>
      <w:spacing w:before="40" w:after="0" w:line="240" w:lineRule="auto"/>
      <w:outlineLvl w:val="1"/>
    </w:pPr>
    <w:rPr>
      <w:color w:val="000000"/>
      <w:u w:val="single"/>
    </w:rPr>
  </w:style>
  <w:style w:type="paragraph" w:styleId="Heading3">
    <w:name w:val="heading 3"/>
    <w:basedOn w:val="Normal"/>
    <w:next w:val="Normal"/>
    <w:link w:val="Heading3Char"/>
    <w:uiPriority w:val="9"/>
    <w:unhideWhenUsed/>
    <w:qFormat/>
    <w:rsid w:val="009C6DE4"/>
    <w:pPr>
      <w:keepNext/>
      <w:keepLines/>
      <w:pBdr>
        <w:top w:val="nil"/>
        <w:left w:val="nil"/>
        <w:bottom w:val="nil"/>
        <w:right w:val="nil"/>
        <w:between w:val="nil"/>
      </w:pBdr>
      <w:spacing w:before="40" w:after="0" w:line="240" w:lineRule="auto"/>
      <w:outlineLvl w:val="2"/>
    </w:pPr>
    <w:rPr>
      <w:color w:val="000000"/>
    </w:rPr>
  </w:style>
  <w:style w:type="paragraph" w:styleId="Heading4">
    <w:name w:val="heading 4"/>
    <w:basedOn w:val="Normal"/>
    <w:next w:val="Normal"/>
    <w:link w:val="Heading4Char"/>
    <w:uiPriority w:val="9"/>
    <w:semiHidden/>
    <w:unhideWhenUsed/>
    <w:qFormat/>
    <w:rsid w:val="009C6DE4"/>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9C6DE4"/>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9C6DE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6DE4"/>
    <w:pPr>
      <w:keepNext/>
      <w:keepLines/>
      <w:spacing w:before="480" w:after="120"/>
    </w:pPr>
    <w:rPr>
      <w:b/>
      <w:sz w:val="72"/>
      <w:szCs w:val="72"/>
    </w:rPr>
  </w:style>
  <w:style w:type="character" w:customStyle="1" w:styleId="Heading1Char">
    <w:name w:val="Heading 1 Char"/>
    <w:basedOn w:val="DefaultParagraphFont"/>
    <w:link w:val="Heading1"/>
    <w:rsid w:val="009C6DE4"/>
    <w:rPr>
      <w:rFonts w:ascii="Arial" w:eastAsia="SimSun" w:hAnsi="Arial" w:cs="Arial"/>
      <w:b/>
      <w:color w:val="000000"/>
      <w:sz w:val="24"/>
      <w:u w:val="single"/>
      <w:lang w:eastAsia="zh-CN"/>
    </w:rPr>
  </w:style>
  <w:style w:type="character" w:customStyle="1" w:styleId="Heading2Char">
    <w:name w:val="Heading 2 Char"/>
    <w:basedOn w:val="DefaultParagraphFont"/>
    <w:link w:val="Heading2"/>
    <w:rsid w:val="009C6DE4"/>
    <w:rPr>
      <w:rFonts w:ascii="Arial" w:eastAsia="SimSun" w:hAnsi="Arial" w:cs="Arial"/>
      <w:color w:val="000000"/>
      <w:sz w:val="24"/>
      <w:u w:val="single"/>
      <w:lang w:eastAsia="zh-CN"/>
    </w:rPr>
  </w:style>
  <w:style w:type="character" w:customStyle="1" w:styleId="Heading3Char">
    <w:name w:val="Heading 3 Char"/>
    <w:basedOn w:val="DefaultParagraphFont"/>
    <w:link w:val="Heading3"/>
    <w:rsid w:val="009C6DE4"/>
    <w:rPr>
      <w:rFonts w:ascii="Arial" w:eastAsia="SimSun" w:hAnsi="Arial" w:cs="Arial"/>
      <w:color w:val="000000"/>
      <w:sz w:val="24"/>
      <w:lang w:eastAsia="zh-CN"/>
    </w:rPr>
  </w:style>
  <w:style w:type="character" w:customStyle="1" w:styleId="Heading4Char">
    <w:name w:val="Heading 4 Char"/>
    <w:basedOn w:val="DefaultParagraphFont"/>
    <w:link w:val="Heading4"/>
    <w:rsid w:val="009C6DE4"/>
    <w:rPr>
      <w:rFonts w:ascii="Arial" w:eastAsia="SimSun" w:hAnsi="Arial" w:cs="Arial"/>
      <w:b/>
      <w:sz w:val="24"/>
      <w:szCs w:val="24"/>
      <w:lang w:eastAsia="zh-CN"/>
    </w:rPr>
  </w:style>
  <w:style w:type="character" w:customStyle="1" w:styleId="Heading5Char">
    <w:name w:val="Heading 5 Char"/>
    <w:basedOn w:val="DefaultParagraphFont"/>
    <w:link w:val="Heading5"/>
    <w:rsid w:val="009C6DE4"/>
    <w:rPr>
      <w:rFonts w:ascii="Arial" w:eastAsia="SimSun" w:hAnsi="Arial" w:cs="Arial"/>
      <w:b/>
      <w:sz w:val="24"/>
      <w:lang w:eastAsia="zh-CN"/>
    </w:rPr>
  </w:style>
  <w:style w:type="character" w:customStyle="1" w:styleId="Heading6Char">
    <w:name w:val="Heading 6 Char"/>
    <w:basedOn w:val="DefaultParagraphFont"/>
    <w:link w:val="Heading6"/>
    <w:rsid w:val="009C6DE4"/>
    <w:rPr>
      <w:rFonts w:ascii="Arial" w:eastAsia="SimSun" w:hAnsi="Arial" w:cs="Arial"/>
      <w:b/>
      <w:sz w:val="20"/>
      <w:szCs w:val="20"/>
      <w:lang w:eastAsia="zh-CN"/>
    </w:rPr>
  </w:style>
  <w:style w:type="character" w:customStyle="1" w:styleId="TitleChar">
    <w:name w:val="Title Char"/>
    <w:basedOn w:val="DefaultParagraphFont"/>
    <w:link w:val="Title"/>
    <w:rsid w:val="009C6DE4"/>
    <w:rPr>
      <w:rFonts w:ascii="Arial" w:eastAsia="SimSun" w:hAnsi="Arial" w:cs="Arial"/>
      <w:b/>
      <w:sz w:val="72"/>
      <w:szCs w:val="72"/>
      <w:lang w:eastAsia="zh-CN"/>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C6DE4"/>
    <w:rPr>
      <w:rFonts w:ascii="Georgia" w:eastAsia="Georgia" w:hAnsi="Georgia" w:cs="Georgia"/>
      <w:i/>
      <w:color w:val="666666"/>
      <w:sz w:val="48"/>
      <w:szCs w:val="48"/>
      <w:lang w:eastAsia="zh-CN"/>
    </w:rPr>
  </w:style>
  <w:style w:type="paragraph" w:styleId="CommentText">
    <w:name w:val="annotation text"/>
    <w:basedOn w:val="Normal"/>
    <w:link w:val="CommentTextChar"/>
    <w:uiPriority w:val="99"/>
    <w:unhideWhenUsed/>
    <w:rsid w:val="009C6DE4"/>
    <w:pPr>
      <w:spacing w:line="240" w:lineRule="auto"/>
    </w:pPr>
    <w:rPr>
      <w:sz w:val="20"/>
      <w:szCs w:val="20"/>
    </w:rPr>
  </w:style>
  <w:style w:type="character" w:customStyle="1" w:styleId="CommentTextChar">
    <w:name w:val="Comment Text Char"/>
    <w:basedOn w:val="DefaultParagraphFont"/>
    <w:link w:val="CommentText"/>
    <w:uiPriority w:val="99"/>
    <w:rsid w:val="009C6DE4"/>
    <w:rPr>
      <w:rFonts w:ascii="Arial" w:eastAsia="SimSun" w:hAnsi="Arial" w:cs="Arial"/>
      <w:sz w:val="20"/>
      <w:szCs w:val="20"/>
      <w:lang w:eastAsia="zh-CN"/>
    </w:rPr>
  </w:style>
  <w:style w:type="character" w:styleId="CommentReference">
    <w:name w:val="annotation reference"/>
    <w:basedOn w:val="DefaultParagraphFont"/>
    <w:uiPriority w:val="99"/>
    <w:semiHidden/>
    <w:unhideWhenUsed/>
    <w:rsid w:val="009C6DE4"/>
    <w:rPr>
      <w:sz w:val="16"/>
      <w:szCs w:val="16"/>
    </w:rPr>
  </w:style>
  <w:style w:type="paragraph" w:styleId="BalloonText">
    <w:name w:val="Balloon Text"/>
    <w:basedOn w:val="Normal"/>
    <w:link w:val="BalloonTextChar"/>
    <w:uiPriority w:val="99"/>
    <w:semiHidden/>
    <w:unhideWhenUsed/>
    <w:rsid w:val="009C6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E4"/>
    <w:rPr>
      <w:rFonts w:ascii="Segoe UI" w:eastAsia="SimSun" w:hAnsi="Segoe UI" w:cs="Segoe UI"/>
      <w:sz w:val="18"/>
      <w:szCs w:val="18"/>
      <w:lang w:eastAsia="zh-CN"/>
    </w:rPr>
  </w:style>
  <w:style w:type="paragraph" w:styleId="Header">
    <w:name w:val="header"/>
    <w:basedOn w:val="Normal"/>
    <w:link w:val="HeaderChar"/>
    <w:uiPriority w:val="99"/>
    <w:unhideWhenUsed/>
    <w:rsid w:val="009C6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DE4"/>
    <w:rPr>
      <w:rFonts w:ascii="Arial" w:eastAsia="SimSun" w:hAnsi="Arial" w:cs="Arial"/>
      <w:sz w:val="24"/>
      <w:lang w:eastAsia="zh-CN"/>
    </w:rPr>
  </w:style>
  <w:style w:type="paragraph" w:styleId="Footer">
    <w:name w:val="footer"/>
    <w:basedOn w:val="Normal"/>
    <w:link w:val="FooterChar"/>
    <w:uiPriority w:val="99"/>
    <w:unhideWhenUsed/>
    <w:rsid w:val="009C6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DE4"/>
    <w:rPr>
      <w:rFonts w:ascii="Arial" w:eastAsia="SimSun" w:hAnsi="Arial" w:cs="Arial"/>
      <w:sz w:val="24"/>
      <w:lang w:eastAsia="zh-CN"/>
    </w:rPr>
  </w:style>
  <w:style w:type="character" w:styleId="Hyperlink">
    <w:name w:val="Hyperlink"/>
    <w:basedOn w:val="DefaultParagraphFont"/>
    <w:uiPriority w:val="99"/>
    <w:unhideWhenUsed/>
    <w:rsid w:val="009C6DE4"/>
    <w:rPr>
      <w:color w:val="0563C1" w:themeColor="hyperlink"/>
      <w:u w:val="single"/>
    </w:rPr>
  </w:style>
  <w:style w:type="character" w:styleId="UnresolvedMention">
    <w:name w:val="Unresolved Mention"/>
    <w:basedOn w:val="DefaultParagraphFont"/>
    <w:uiPriority w:val="99"/>
    <w:unhideWhenUsed/>
    <w:rsid w:val="009C6DE4"/>
    <w:rPr>
      <w:color w:val="808080"/>
      <w:shd w:val="clear" w:color="auto" w:fill="E6E6E6"/>
    </w:rPr>
  </w:style>
  <w:style w:type="paragraph" w:styleId="Revision">
    <w:name w:val="Revision"/>
    <w:hidden/>
    <w:uiPriority w:val="99"/>
    <w:semiHidden/>
    <w:rsid w:val="009C6DE4"/>
    <w:pPr>
      <w:spacing w:after="0" w:line="240" w:lineRule="auto"/>
    </w:pPr>
    <w:rPr>
      <w:rFonts w:eastAsia="SimSun"/>
      <w:lang w:eastAsia="zh-CN"/>
    </w:rPr>
  </w:style>
  <w:style w:type="paragraph" w:styleId="CommentSubject">
    <w:name w:val="annotation subject"/>
    <w:basedOn w:val="CommentText"/>
    <w:next w:val="CommentText"/>
    <w:link w:val="CommentSubjectChar"/>
    <w:uiPriority w:val="99"/>
    <w:semiHidden/>
    <w:unhideWhenUsed/>
    <w:rsid w:val="009C6DE4"/>
    <w:rPr>
      <w:b/>
      <w:bCs/>
    </w:rPr>
  </w:style>
  <w:style w:type="character" w:customStyle="1" w:styleId="CommentSubjectChar">
    <w:name w:val="Comment Subject Char"/>
    <w:basedOn w:val="CommentTextChar"/>
    <w:link w:val="CommentSubject"/>
    <w:uiPriority w:val="99"/>
    <w:semiHidden/>
    <w:rsid w:val="009C6DE4"/>
    <w:rPr>
      <w:rFonts w:ascii="Arial" w:eastAsia="SimSun" w:hAnsi="Arial" w:cs="Arial"/>
      <w:b/>
      <w:bCs/>
      <w:sz w:val="20"/>
      <w:szCs w:val="20"/>
      <w:lang w:eastAsia="zh-CN"/>
    </w:rPr>
  </w:style>
  <w:style w:type="paragraph" w:styleId="ListParagraph">
    <w:name w:val="List Paragraph"/>
    <w:basedOn w:val="Regular"/>
    <w:link w:val="ListParagraphChar"/>
    <w:uiPriority w:val="34"/>
    <w:qFormat/>
    <w:rsid w:val="009C6DE4"/>
    <w:pPr>
      <w:tabs>
        <w:tab w:val="num" w:pos="567"/>
      </w:tabs>
      <w:ind w:left="567" w:hanging="567"/>
      <w:contextualSpacing/>
    </w:pPr>
  </w:style>
  <w:style w:type="table" w:styleId="TableGrid">
    <w:name w:val="Table Grid"/>
    <w:basedOn w:val="TableNormal"/>
    <w:uiPriority w:val="39"/>
    <w:rsid w:val="009C6DE4"/>
    <w:pPr>
      <w:spacing w:after="120" w:line="240" w:lineRule="auto"/>
      <w:contextualSpacing/>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6DE4"/>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DE4"/>
    <w:pPr>
      <w:spacing w:after="0" w:line="240" w:lineRule="auto"/>
    </w:pPr>
    <w:rPr>
      <w:rFonts w:eastAsia="SimSun"/>
      <w:lang w:eastAsia="zh-CN"/>
    </w:rPr>
  </w:style>
  <w:style w:type="paragraph" w:styleId="TOC1">
    <w:name w:val="toc 1"/>
    <w:basedOn w:val="Normal"/>
    <w:next w:val="Normal"/>
    <w:autoRedefine/>
    <w:uiPriority w:val="39"/>
    <w:unhideWhenUsed/>
    <w:rsid w:val="009C6DE4"/>
    <w:pPr>
      <w:spacing w:before="360" w:after="0"/>
    </w:pPr>
    <w:rPr>
      <w:b/>
      <w:bCs/>
    </w:rPr>
  </w:style>
  <w:style w:type="paragraph" w:styleId="TOC2">
    <w:name w:val="toc 2"/>
    <w:basedOn w:val="Normal"/>
    <w:next w:val="Normal"/>
    <w:autoRedefine/>
    <w:uiPriority w:val="39"/>
    <w:unhideWhenUsed/>
    <w:rsid w:val="009C6DE4"/>
    <w:pPr>
      <w:spacing w:before="240" w:after="0"/>
    </w:pPr>
    <w:rPr>
      <w:rFonts w:asciiTheme="minorHAnsi" w:hAnsiTheme="minorHAnsi"/>
      <w:b/>
      <w:bCs/>
      <w:sz w:val="20"/>
      <w:szCs w:val="20"/>
    </w:rPr>
  </w:style>
  <w:style w:type="paragraph" w:styleId="TOCHeading">
    <w:name w:val="TOC Heading"/>
    <w:basedOn w:val="Heading1"/>
    <w:next w:val="Normal"/>
    <w:uiPriority w:val="39"/>
    <w:unhideWhenUsed/>
    <w:qFormat/>
    <w:rsid w:val="009C6DE4"/>
    <w:pPr>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styleId="PlaceholderText">
    <w:name w:val="Placeholder Text"/>
    <w:basedOn w:val="DefaultParagraphFont"/>
    <w:uiPriority w:val="99"/>
    <w:semiHidden/>
    <w:rsid w:val="009C6DE4"/>
    <w:rPr>
      <w:color w:val="808080"/>
    </w:rPr>
  </w:style>
  <w:style w:type="paragraph" w:customStyle="1" w:styleId="HeadingLevel1">
    <w:name w:val="Heading Level 1"/>
    <w:basedOn w:val="Regular"/>
    <w:link w:val="HeadingLevel1Char"/>
    <w:qFormat/>
    <w:rsid w:val="009C6DE4"/>
    <w:pPr>
      <w:spacing w:before="160" w:line="360" w:lineRule="auto"/>
      <w:outlineLvl w:val="1"/>
    </w:pPr>
    <w:rPr>
      <w:rFonts w:eastAsiaTheme="minorHAnsi"/>
      <w:b/>
      <w:sz w:val="28"/>
      <w:lang w:eastAsia="en-US"/>
    </w:rPr>
  </w:style>
  <w:style w:type="character" w:customStyle="1" w:styleId="HeadingLevel1Char">
    <w:name w:val="Heading Level 1 Char"/>
    <w:basedOn w:val="DefaultParagraphFont"/>
    <w:link w:val="HeadingLevel1"/>
    <w:rsid w:val="009C6DE4"/>
    <w:rPr>
      <w:rFonts w:ascii="Arial" w:hAnsi="Arial" w:cs="Arial"/>
      <w:b/>
      <w:sz w:val="28"/>
    </w:rPr>
  </w:style>
  <w:style w:type="paragraph" w:customStyle="1" w:styleId="HeadingLevel2">
    <w:name w:val="Heading Level 2"/>
    <w:basedOn w:val="HeadingLevel1"/>
    <w:link w:val="HeadingLevel2Char"/>
    <w:qFormat/>
    <w:rsid w:val="009C6DE4"/>
    <w:pPr>
      <w:pBdr>
        <w:top w:val="none" w:sz="0" w:space="0" w:color="auto"/>
        <w:left w:val="none" w:sz="0" w:space="0" w:color="auto"/>
        <w:bottom w:val="none" w:sz="0" w:space="0" w:color="auto"/>
        <w:right w:val="none" w:sz="0" w:space="0" w:color="auto"/>
        <w:between w:val="none" w:sz="0" w:space="0" w:color="auto"/>
      </w:pBdr>
      <w:ind w:left="340" w:hanging="340"/>
      <w:outlineLvl w:val="2"/>
    </w:pPr>
  </w:style>
  <w:style w:type="character" w:customStyle="1" w:styleId="HeadingLevel2Char">
    <w:name w:val="Heading Level 2 Char"/>
    <w:basedOn w:val="HeadingLevel1Char"/>
    <w:link w:val="HeadingLevel2"/>
    <w:rsid w:val="009C6DE4"/>
    <w:rPr>
      <w:rFonts w:ascii="Arial" w:hAnsi="Arial" w:cs="Arial"/>
      <w:b/>
      <w:sz w:val="28"/>
    </w:rPr>
  </w:style>
  <w:style w:type="paragraph" w:customStyle="1" w:styleId="SectionTitle">
    <w:name w:val="Section Title"/>
    <w:basedOn w:val="Regular"/>
    <w:next w:val="HeadingLevel1"/>
    <w:link w:val="SectionTitleChar"/>
    <w:qFormat/>
    <w:rsid w:val="009C6DE4"/>
    <w:pPr>
      <w:spacing w:before="360" w:after="120" w:line="360" w:lineRule="auto"/>
      <w:jc w:val="center"/>
      <w:outlineLvl w:val="0"/>
    </w:pPr>
    <w:rPr>
      <w:rFonts w:eastAsiaTheme="minorHAnsi" w:cstheme="minorBidi"/>
      <w:b/>
      <w:sz w:val="36"/>
      <w:lang w:eastAsia="en-US"/>
    </w:rPr>
  </w:style>
  <w:style w:type="character" w:customStyle="1" w:styleId="SectionTitleChar">
    <w:name w:val="Section Title Char"/>
    <w:basedOn w:val="DefaultParagraphFont"/>
    <w:link w:val="SectionTitle"/>
    <w:rsid w:val="009C6DE4"/>
    <w:rPr>
      <w:rFonts w:ascii="Arial" w:hAnsi="Arial"/>
      <w:b/>
      <w:sz w:val="36"/>
    </w:rPr>
  </w:style>
  <w:style w:type="numbering" w:customStyle="1" w:styleId="TRA">
    <w:name w:val="TRA"/>
    <w:uiPriority w:val="99"/>
    <w:rsid w:val="009C6DE4"/>
  </w:style>
  <w:style w:type="numbering" w:customStyle="1" w:styleId="TRID">
    <w:name w:val="TRID"/>
    <w:uiPriority w:val="99"/>
    <w:rsid w:val="009C6DE4"/>
  </w:style>
  <w:style w:type="paragraph" w:customStyle="1" w:styleId="paragraph">
    <w:name w:val="paragraph"/>
    <w:basedOn w:val="Normal"/>
    <w:rsid w:val="009C6DE4"/>
    <w:pPr>
      <w:suppressAutoHyphens/>
      <w:autoSpaceDN w:val="0"/>
      <w:spacing w:before="100" w:after="100" w:line="240" w:lineRule="auto"/>
    </w:pPr>
    <w:rPr>
      <w:rFonts w:ascii="Times New Roman" w:eastAsia="Times New Roman" w:hAnsi="Times New Roman" w:cs="Times New Roman"/>
      <w:lang w:eastAsia="en-GB"/>
    </w:rPr>
  </w:style>
  <w:style w:type="paragraph" w:styleId="NormalWeb">
    <w:name w:val="Normal (Web)"/>
    <w:basedOn w:val="Normal"/>
    <w:uiPriority w:val="99"/>
    <w:unhideWhenUsed/>
    <w:rsid w:val="009C6DE4"/>
    <w:pPr>
      <w:spacing w:before="100" w:beforeAutospacing="1" w:after="100" w:afterAutospacing="1" w:line="240" w:lineRule="auto"/>
    </w:pPr>
    <w:rPr>
      <w:rFonts w:ascii="Calibri" w:eastAsiaTheme="minorHAnsi" w:hAnsi="Calibri" w:cs="Calibri"/>
      <w:lang w:eastAsia="en-GB"/>
    </w:rPr>
  </w:style>
  <w:style w:type="character" w:customStyle="1" w:styleId="eop">
    <w:name w:val="eop"/>
    <w:basedOn w:val="DefaultParagraphFont"/>
    <w:rsid w:val="009C6DE4"/>
  </w:style>
  <w:style w:type="paragraph" w:customStyle="1" w:styleId="legp1paratext">
    <w:name w:val="legp1paratext"/>
    <w:basedOn w:val="Normal"/>
    <w:rsid w:val="009C6DE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legp1no">
    <w:name w:val="legp1no"/>
    <w:basedOn w:val="DefaultParagraphFont"/>
    <w:rsid w:val="009C6DE4"/>
  </w:style>
  <w:style w:type="paragraph" w:customStyle="1" w:styleId="legp2paratext">
    <w:name w:val="legp2paratext"/>
    <w:basedOn w:val="Normal"/>
    <w:rsid w:val="009C6DE4"/>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legclearfix">
    <w:name w:val="legclearfix"/>
    <w:basedOn w:val="Normal"/>
    <w:rsid w:val="009C6DE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legds">
    <w:name w:val="legds"/>
    <w:basedOn w:val="DefaultParagraphFont"/>
    <w:rsid w:val="009C6DE4"/>
  </w:style>
  <w:style w:type="character" w:styleId="FollowedHyperlink">
    <w:name w:val="FollowedHyperlink"/>
    <w:basedOn w:val="DefaultParagraphFont"/>
    <w:uiPriority w:val="99"/>
    <w:semiHidden/>
    <w:unhideWhenUsed/>
    <w:rsid w:val="009C6DE4"/>
    <w:rPr>
      <w:color w:val="954F72" w:themeColor="followedHyperlink"/>
      <w:u w:val="single"/>
    </w:rPr>
  </w:style>
  <w:style w:type="character" w:styleId="Mention">
    <w:name w:val="Mention"/>
    <w:basedOn w:val="DefaultParagraphFont"/>
    <w:uiPriority w:val="99"/>
    <w:unhideWhenUsed/>
    <w:rsid w:val="009C6DE4"/>
    <w:rPr>
      <w:color w:val="2B579A"/>
      <w:shd w:val="clear" w:color="auto" w:fill="E1DFDD"/>
    </w:rPr>
  </w:style>
  <w:style w:type="table" w:customStyle="1" w:styleId="2">
    <w:name w:val="2"/>
    <w:basedOn w:val="TableNormal"/>
    <w:rsid w:val="009C6DE4"/>
    <w:pPr>
      <w:spacing w:after="0" w:line="240" w:lineRule="auto"/>
    </w:pPr>
    <w:rPr>
      <w:rFonts w:ascii="Cambria" w:eastAsia="Cambria" w:hAnsi="Cambria" w:cs="Cambria"/>
      <w:lang w:eastAsia="zh-CN"/>
    </w:rPr>
    <w:tblPr>
      <w:tblStyleRowBandSize w:val="1"/>
      <w:tblStyleColBandSize w:val="1"/>
    </w:tblPr>
  </w:style>
  <w:style w:type="table" w:customStyle="1" w:styleId="1">
    <w:name w:val="1"/>
    <w:basedOn w:val="TableNormal"/>
    <w:rsid w:val="009C6DE4"/>
    <w:pPr>
      <w:spacing w:after="0" w:line="240" w:lineRule="auto"/>
    </w:pPr>
    <w:rPr>
      <w:rFonts w:ascii="Cambria" w:eastAsia="Cambria" w:hAnsi="Cambria" w:cs="Cambria"/>
      <w:lang w:eastAsia="zh-CN"/>
    </w:rPr>
    <w:tblPr>
      <w:tblStyleRowBandSize w:val="1"/>
      <w:tblStyleColBandSize w:val="1"/>
    </w:tblPr>
  </w:style>
  <w:style w:type="character" w:customStyle="1" w:styleId="ListParagraphChar">
    <w:name w:val="List Paragraph Char"/>
    <w:basedOn w:val="DefaultParagraphFont"/>
    <w:link w:val="ListParagraph"/>
    <w:uiPriority w:val="34"/>
    <w:rsid w:val="009C6DE4"/>
    <w:rPr>
      <w:rFonts w:ascii="Arial" w:eastAsia="SimSun" w:hAnsi="Arial" w:cs="Arial"/>
      <w:sz w:val="24"/>
      <w:lang w:eastAsia="zh-CN"/>
    </w:rPr>
  </w:style>
  <w:style w:type="table" w:customStyle="1" w:styleId="TableGrid2">
    <w:name w:val="Table Grid2"/>
    <w:basedOn w:val="TableNormal"/>
    <w:next w:val="TableGrid"/>
    <w:uiPriority w:val="39"/>
    <w:rsid w:val="009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s">
    <w:name w:val="Annexes"/>
    <w:basedOn w:val="SectionTitle"/>
    <w:next w:val="Normal"/>
    <w:link w:val="AnnexesChar"/>
    <w:rsid w:val="009C6DE4"/>
    <w:pPr>
      <w:pageBreakBefore/>
      <w:numPr>
        <w:numId w:val="6"/>
      </w:numPr>
      <w:tabs>
        <w:tab w:val="num" w:pos="360"/>
      </w:tabs>
      <w:spacing w:after="0"/>
    </w:pPr>
    <w:rPr>
      <w:szCs w:val="28"/>
    </w:rPr>
  </w:style>
  <w:style w:type="numbering" w:customStyle="1" w:styleId="AnnexList">
    <w:name w:val="AnnexList"/>
    <w:uiPriority w:val="99"/>
    <w:rsid w:val="009C6DE4"/>
  </w:style>
  <w:style w:type="character" w:customStyle="1" w:styleId="AnnexesChar">
    <w:name w:val="Annexes Char"/>
    <w:basedOn w:val="SectionTitleChar"/>
    <w:link w:val="Annexes"/>
    <w:rsid w:val="009C6DE4"/>
    <w:rPr>
      <w:rFonts w:ascii="Arial" w:hAnsi="Arial"/>
      <w:b/>
      <w:sz w:val="36"/>
      <w:szCs w:val="28"/>
    </w:rPr>
  </w:style>
  <w:style w:type="paragraph" w:customStyle="1" w:styleId="Header2">
    <w:name w:val="Header_2"/>
    <w:basedOn w:val="HeadingLevel1"/>
    <w:next w:val="Normal"/>
    <w:link w:val="Header2Char"/>
    <w:rsid w:val="009C6DE4"/>
    <w:pPr>
      <w:pBdr>
        <w:top w:val="none" w:sz="0" w:space="0" w:color="auto"/>
        <w:left w:val="none" w:sz="0" w:space="0" w:color="auto"/>
        <w:bottom w:val="none" w:sz="0" w:space="0" w:color="auto"/>
        <w:right w:val="none" w:sz="0" w:space="0" w:color="auto"/>
        <w:between w:val="none" w:sz="0" w:space="0" w:color="auto"/>
      </w:pBdr>
      <w:spacing w:before="120" w:after="0" w:line="276" w:lineRule="auto"/>
    </w:pPr>
  </w:style>
  <w:style w:type="paragraph" w:customStyle="1" w:styleId="BulletTight">
    <w:name w:val="BulletTight"/>
    <w:link w:val="BulletTightChar"/>
    <w:qFormat/>
    <w:rsid w:val="009C6DE4"/>
    <w:pPr>
      <w:numPr>
        <w:numId w:val="1"/>
      </w:numPr>
      <w:spacing w:after="0" w:line="276" w:lineRule="auto"/>
    </w:pPr>
    <w:rPr>
      <w:rFonts w:eastAsia="SimSun"/>
      <w:color w:val="000000"/>
      <w:lang w:eastAsia="zh-CN"/>
    </w:rPr>
  </w:style>
  <w:style w:type="character" w:customStyle="1" w:styleId="Header2Char">
    <w:name w:val="Header_2 Char"/>
    <w:basedOn w:val="HeadingLevel1Char"/>
    <w:link w:val="Header2"/>
    <w:rsid w:val="009C6DE4"/>
    <w:rPr>
      <w:rFonts w:ascii="Arial" w:hAnsi="Arial" w:cs="Arial"/>
      <w:b/>
      <w:sz w:val="28"/>
    </w:rPr>
  </w:style>
  <w:style w:type="character" w:customStyle="1" w:styleId="BulletTightChar">
    <w:name w:val="BulletTight Char"/>
    <w:basedOn w:val="DefaultParagraphFont"/>
    <w:link w:val="BulletTight"/>
    <w:rsid w:val="009C6DE4"/>
    <w:rPr>
      <w:rFonts w:ascii="Arial" w:eastAsia="SimSun" w:hAnsi="Arial" w:cs="Arial"/>
      <w:color w:val="000000"/>
      <w:sz w:val="24"/>
      <w:lang w:eastAsia="zh-CN"/>
    </w:rPr>
  </w:style>
  <w:style w:type="paragraph" w:customStyle="1" w:styleId="List-Levela">
    <w:name w:val="List-Levela"/>
    <w:link w:val="List-LevelaChar"/>
    <w:qFormat/>
    <w:rsid w:val="009C6DE4"/>
    <w:pPr>
      <w:spacing w:after="0"/>
      <w:ind w:left="851" w:hanging="567"/>
    </w:pPr>
    <w:rPr>
      <w:rFonts w:eastAsia="SimSun"/>
      <w:lang w:eastAsia="zh-CN"/>
    </w:rPr>
  </w:style>
  <w:style w:type="paragraph" w:customStyle="1" w:styleId="Bullets2">
    <w:name w:val="Bullets2"/>
    <w:link w:val="Bullets2Char"/>
    <w:qFormat/>
    <w:rsid w:val="009C6DE4"/>
    <w:pPr>
      <w:numPr>
        <w:numId w:val="7"/>
      </w:numPr>
      <w:spacing w:after="120"/>
      <w:contextualSpacing/>
    </w:pPr>
    <w:rPr>
      <w:rFonts w:eastAsia="SimSun"/>
      <w:color w:val="000000"/>
      <w:lang w:eastAsia="zh-CN"/>
    </w:rPr>
  </w:style>
  <w:style w:type="character" w:customStyle="1" w:styleId="List-LevelaChar">
    <w:name w:val="List-Levela Char"/>
    <w:basedOn w:val="ListParagraphChar"/>
    <w:link w:val="List-Levela"/>
    <w:rsid w:val="009C6DE4"/>
    <w:rPr>
      <w:rFonts w:ascii="Arial" w:eastAsia="SimSun" w:hAnsi="Arial" w:cs="Arial"/>
      <w:sz w:val="24"/>
      <w:lang w:eastAsia="zh-CN"/>
    </w:rPr>
  </w:style>
  <w:style w:type="paragraph" w:styleId="TOC3">
    <w:name w:val="toc 3"/>
    <w:basedOn w:val="Normal"/>
    <w:next w:val="Normal"/>
    <w:autoRedefine/>
    <w:uiPriority w:val="39"/>
    <w:unhideWhenUsed/>
    <w:rsid w:val="009C6DE4"/>
    <w:pPr>
      <w:spacing w:before="120" w:after="0"/>
      <w:ind w:left="240"/>
    </w:pPr>
    <w:rPr>
      <w:rFonts w:asciiTheme="minorHAnsi" w:hAnsiTheme="minorHAnsi"/>
      <w:sz w:val="20"/>
      <w:szCs w:val="20"/>
    </w:rPr>
  </w:style>
  <w:style w:type="character" w:customStyle="1" w:styleId="Bullets2Char">
    <w:name w:val="Bullets2 Char"/>
    <w:basedOn w:val="DefaultParagraphFont"/>
    <w:link w:val="Bullets2"/>
    <w:rsid w:val="009C6DE4"/>
    <w:rPr>
      <w:rFonts w:ascii="Arial" w:eastAsia="SimSun" w:hAnsi="Arial" w:cs="Arial"/>
      <w:color w:val="000000"/>
      <w:sz w:val="24"/>
      <w:lang w:eastAsia="zh-CN"/>
    </w:rPr>
  </w:style>
  <w:style w:type="paragraph" w:styleId="TOC4">
    <w:name w:val="toc 4"/>
    <w:basedOn w:val="Normal"/>
    <w:next w:val="Normal"/>
    <w:autoRedefine/>
    <w:uiPriority w:val="39"/>
    <w:unhideWhenUsed/>
    <w:rsid w:val="009C6DE4"/>
    <w:pPr>
      <w:spacing w:before="120" w:after="0"/>
      <w:ind w:left="480"/>
    </w:pPr>
    <w:rPr>
      <w:rFonts w:asciiTheme="minorHAnsi" w:hAnsiTheme="minorHAnsi"/>
      <w:sz w:val="20"/>
      <w:szCs w:val="20"/>
    </w:rPr>
  </w:style>
  <w:style w:type="paragraph" w:styleId="TOC9">
    <w:name w:val="toc 9"/>
    <w:basedOn w:val="Normal"/>
    <w:next w:val="Normal"/>
    <w:autoRedefine/>
    <w:uiPriority w:val="39"/>
    <w:unhideWhenUsed/>
    <w:rsid w:val="009C6DE4"/>
    <w:pPr>
      <w:spacing w:before="120" w:after="0"/>
      <w:ind w:left="1680"/>
    </w:pPr>
    <w:rPr>
      <w:rFonts w:asciiTheme="minorHAnsi" w:hAnsiTheme="minorHAnsi"/>
      <w:sz w:val="20"/>
      <w:szCs w:val="20"/>
    </w:rPr>
  </w:style>
  <w:style w:type="paragraph" w:styleId="TOC5">
    <w:name w:val="toc 5"/>
    <w:basedOn w:val="Normal"/>
    <w:next w:val="Normal"/>
    <w:autoRedefine/>
    <w:uiPriority w:val="39"/>
    <w:unhideWhenUsed/>
    <w:rsid w:val="009C6DE4"/>
    <w:pPr>
      <w:spacing w:before="120" w:after="0"/>
      <w:ind w:left="720"/>
    </w:pPr>
    <w:rPr>
      <w:rFonts w:asciiTheme="minorHAnsi" w:hAnsiTheme="minorHAnsi"/>
      <w:sz w:val="20"/>
      <w:szCs w:val="20"/>
    </w:rPr>
  </w:style>
  <w:style w:type="paragraph" w:styleId="TOC6">
    <w:name w:val="toc 6"/>
    <w:basedOn w:val="Normal"/>
    <w:next w:val="Normal"/>
    <w:autoRedefine/>
    <w:uiPriority w:val="39"/>
    <w:unhideWhenUsed/>
    <w:rsid w:val="009C6DE4"/>
    <w:pPr>
      <w:spacing w:before="120" w:after="0"/>
      <w:ind w:left="960"/>
    </w:pPr>
    <w:rPr>
      <w:rFonts w:asciiTheme="minorHAnsi" w:hAnsiTheme="minorHAnsi"/>
      <w:sz w:val="20"/>
      <w:szCs w:val="20"/>
    </w:rPr>
  </w:style>
  <w:style w:type="paragraph" w:styleId="TOC7">
    <w:name w:val="toc 7"/>
    <w:basedOn w:val="Normal"/>
    <w:next w:val="Normal"/>
    <w:autoRedefine/>
    <w:uiPriority w:val="39"/>
    <w:unhideWhenUsed/>
    <w:rsid w:val="009C6DE4"/>
    <w:pPr>
      <w:spacing w:before="120" w:after="0"/>
      <w:ind w:left="1200"/>
    </w:pPr>
    <w:rPr>
      <w:rFonts w:asciiTheme="minorHAnsi" w:hAnsiTheme="minorHAnsi"/>
      <w:sz w:val="20"/>
      <w:szCs w:val="20"/>
    </w:rPr>
  </w:style>
  <w:style w:type="paragraph" w:styleId="TOC8">
    <w:name w:val="toc 8"/>
    <w:basedOn w:val="Normal"/>
    <w:next w:val="Normal"/>
    <w:autoRedefine/>
    <w:uiPriority w:val="39"/>
    <w:unhideWhenUsed/>
    <w:rsid w:val="009C6DE4"/>
    <w:pPr>
      <w:spacing w:before="120" w:after="0"/>
      <w:ind w:left="1440"/>
    </w:pPr>
    <w:rPr>
      <w:rFonts w:asciiTheme="minorHAnsi" w:hAnsiTheme="minorHAnsi"/>
      <w:sz w:val="20"/>
      <w:szCs w:val="20"/>
    </w:rPr>
  </w:style>
  <w:style w:type="paragraph" w:customStyle="1" w:styleId="BulletLoose">
    <w:name w:val="BulletLoose"/>
    <w:basedOn w:val="Normal"/>
    <w:link w:val="BulletLooseChar"/>
    <w:qFormat/>
    <w:rsid w:val="009C6DE4"/>
    <w:pPr>
      <w:numPr>
        <w:numId w:val="4"/>
      </w:numPr>
      <w:spacing w:before="120" w:after="0" w:line="276" w:lineRule="auto"/>
    </w:pPr>
  </w:style>
  <w:style w:type="character" w:customStyle="1" w:styleId="BulletLooseChar">
    <w:name w:val="BulletLoose Char"/>
    <w:basedOn w:val="DefaultParagraphFont"/>
    <w:link w:val="BulletLoose"/>
    <w:rsid w:val="009C6DE4"/>
    <w:rPr>
      <w:rFonts w:ascii="Arial" w:eastAsia="SimSun" w:hAnsi="Arial" w:cs="Arial"/>
      <w:sz w:val="24"/>
      <w:lang w:eastAsia="zh-CN"/>
    </w:rPr>
  </w:style>
  <w:style w:type="paragraph" w:customStyle="1" w:styleId="Regular">
    <w:name w:val="Regular"/>
    <w:link w:val="RegularChar"/>
    <w:qFormat/>
    <w:rsid w:val="009C6DE4"/>
    <w:pPr>
      <w:pBdr>
        <w:top w:val="nil"/>
        <w:left w:val="nil"/>
        <w:bottom w:val="nil"/>
        <w:right w:val="nil"/>
        <w:between w:val="nil"/>
      </w:pBdr>
      <w:spacing w:before="120" w:line="276" w:lineRule="auto"/>
    </w:pPr>
    <w:rPr>
      <w:rFonts w:eastAsia="SimSun"/>
      <w:lang w:eastAsia="zh-CN"/>
    </w:rPr>
  </w:style>
  <w:style w:type="character" w:customStyle="1" w:styleId="RegularChar">
    <w:name w:val="Regular Char"/>
    <w:basedOn w:val="DefaultParagraphFont"/>
    <w:link w:val="Regular"/>
    <w:rsid w:val="009C6DE4"/>
    <w:rPr>
      <w:rFonts w:ascii="Arial" w:eastAsia="SimSun" w:hAnsi="Arial" w:cs="Arial"/>
      <w:sz w:val="24"/>
      <w:lang w:eastAsia="zh-CN"/>
    </w:rPr>
  </w:style>
  <w:style w:type="paragraph" w:styleId="FootnoteText">
    <w:name w:val="footnote text"/>
    <w:basedOn w:val="Normal"/>
    <w:link w:val="FootnoteTextChar"/>
    <w:uiPriority w:val="99"/>
    <w:unhideWhenUsed/>
    <w:rsid w:val="008212A2"/>
    <w:pPr>
      <w:spacing w:after="0" w:line="240" w:lineRule="auto"/>
    </w:pPr>
    <w:rPr>
      <w:sz w:val="20"/>
      <w:szCs w:val="20"/>
    </w:rPr>
  </w:style>
  <w:style w:type="character" w:customStyle="1" w:styleId="FootnoteTextChar">
    <w:name w:val="Footnote Text Char"/>
    <w:basedOn w:val="DefaultParagraphFont"/>
    <w:link w:val="FootnoteText"/>
    <w:uiPriority w:val="99"/>
    <w:rsid w:val="008212A2"/>
    <w:rPr>
      <w:rFonts w:ascii="Arial" w:eastAsia="SimSun" w:hAnsi="Arial" w:cs="Arial"/>
      <w:sz w:val="20"/>
      <w:szCs w:val="20"/>
      <w:lang w:eastAsia="zh-CN"/>
    </w:rPr>
  </w:style>
  <w:style w:type="character" w:styleId="FootnoteReference">
    <w:name w:val="footnote reference"/>
    <w:basedOn w:val="DefaultParagraphFont"/>
    <w:uiPriority w:val="99"/>
    <w:semiHidden/>
    <w:unhideWhenUsed/>
    <w:rsid w:val="008212A2"/>
    <w:rPr>
      <w:vertAlign w:val="superscript"/>
    </w:rPr>
  </w:style>
  <w:style w:type="paragraph" w:customStyle="1" w:styleId="FFWLevel1">
    <w:name w:val="FFW Level 1"/>
    <w:basedOn w:val="Normal"/>
    <w:uiPriority w:val="4"/>
    <w:qFormat/>
    <w:rsid w:val="005D3CB9"/>
    <w:pPr>
      <w:numPr>
        <w:numId w:val="24"/>
      </w:numPr>
      <w:spacing w:before="240" w:after="0" w:line="260" w:lineRule="atLeast"/>
      <w:jc w:val="both"/>
      <w:outlineLvl w:val="0"/>
    </w:pPr>
    <w:rPr>
      <w:rFonts w:eastAsiaTheme="minorHAnsi" w:cstheme="minorBidi"/>
      <w:sz w:val="20"/>
      <w:lang w:eastAsia="en-US"/>
    </w:rPr>
  </w:style>
  <w:style w:type="paragraph" w:customStyle="1" w:styleId="FFWLevel2">
    <w:name w:val="FFW Level 2"/>
    <w:basedOn w:val="Normal"/>
    <w:uiPriority w:val="4"/>
    <w:qFormat/>
    <w:rsid w:val="005D3CB9"/>
    <w:pPr>
      <w:numPr>
        <w:ilvl w:val="1"/>
        <w:numId w:val="24"/>
      </w:numPr>
      <w:spacing w:before="240" w:after="0" w:line="260" w:lineRule="atLeast"/>
      <w:jc w:val="both"/>
      <w:outlineLvl w:val="1"/>
    </w:pPr>
    <w:rPr>
      <w:rFonts w:eastAsiaTheme="minorHAnsi" w:cstheme="minorBidi"/>
      <w:sz w:val="20"/>
      <w:lang w:eastAsia="en-US"/>
    </w:rPr>
  </w:style>
  <w:style w:type="paragraph" w:customStyle="1" w:styleId="FFWLevel3">
    <w:name w:val="FFW Level 3"/>
    <w:basedOn w:val="Normal"/>
    <w:uiPriority w:val="4"/>
    <w:qFormat/>
    <w:rsid w:val="005D3CB9"/>
    <w:pPr>
      <w:numPr>
        <w:ilvl w:val="2"/>
        <w:numId w:val="24"/>
      </w:numPr>
      <w:spacing w:before="240" w:after="0" w:line="260" w:lineRule="atLeast"/>
      <w:jc w:val="both"/>
      <w:outlineLvl w:val="2"/>
    </w:pPr>
    <w:rPr>
      <w:rFonts w:eastAsiaTheme="minorHAnsi" w:cstheme="minorBidi"/>
      <w:sz w:val="20"/>
      <w:lang w:eastAsia="en-US"/>
    </w:rPr>
  </w:style>
  <w:style w:type="paragraph" w:customStyle="1" w:styleId="FFWLevel4">
    <w:name w:val="FFW Level 4"/>
    <w:basedOn w:val="Normal"/>
    <w:link w:val="FFWLevel4Char"/>
    <w:uiPriority w:val="5"/>
    <w:qFormat/>
    <w:rsid w:val="005D3CB9"/>
    <w:pPr>
      <w:numPr>
        <w:ilvl w:val="3"/>
        <w:numId w:val="24"/>
      </w:numPr>
      <w:spacing w:before="240" w:after="0" w:line="260" w:lineRule="atLeast"/>
      <w:jc w:val="both"/>
      <w:outlineLvl w:val="3"/>
    </w:pPr>
    <w:rPr>
      <w:rFonts w:eastAsiaTheme="minorHAnsi"/>
      <w:kern w:val="2"/>
      <w:sz w:val="20"/>
      <w:lang w:eastAsia="en-US"/>
    </w:rPr>
  </w:style>
  <w:style w:type="paragraph" w:customStyle="1" w:styleId="FFWLevel6">
    <w:name w:val="FFW Level 6"/>
    <w:basedOn w:val="Normal"/>
    <w:uiPriority w:val="5"/>
    <w:qFormat/>
    <w:rsid w:val="005D3CB9"/>
    <w:pPr>
      <w:numPr>
        <w:ilvl w:val="5"/>
        <w:numId w:val="24"/>
      </w:numPr>
      <w:spacing w:before="240" w:after="0" w:line="260" w:lineRule="atLeast"/>
      <w:jc w:val="both"/>
      <w:outlineLvl w:val="5"/>
    </w:pPr>
    <w:rPr>
      <w:rFonts w:eastAsiaTheme="minorHAnsi" w:cstheme="minorBidi"/>
      <w:sz w:val="20"/>
      <w:lang w:eastAsia="en-US"/>
    </w:rPr>
  </w:style>
  <w:style w:type="numbering" w:customStyle="1" w:styleId="NumbListLegal">
    <w:name w:val="NumbList Legal"/>
    <w:uiPriority w:val="99"/>
    <w:rsid w:val="005D3CB9"/>
  </w:style>
  <w:style w:type="character" w:customStyle="1" w:styleId="FFWLevel4Char">
    <w:name w:val="FFW Level 4 Char"/>
    <w:link w:val="FFWLevel4"/>
    <w:uiPriority w:val="5"/>
    <w:locked/>
    <w:rsid w:val="002421F9"/>
    <w:rPr>
      <w:rFonts w:ascii="Arial" w:hAnsi="Arial" w:cs="Arial"/>
      <w:kern w:val="2"/>
      <w:sz w:val="20"/>
    </w:rPr>
  </w:style>
  <w:style w:type="paragraph" w:customStyle="1" w:styleId="FFWBody1">
    <w:name w:val="FFW Body 1"/>
    <w:basedOn w:val="Normal"/>
    <w:uiPriority w:val="6"/>
    <w:rsid w:val="00C66202"/>
    <w:pPr>
      <w:numPr>
        <w:numId w:val="31"/>
      </w:numPr>
      <w:spacing w:before="240" w:after="0" w:line="260" w:lineRule="atLeast"/>
      <w:jc w:val="both"/>
    </w:pPr>
    <w:rPr>
      <w:rFonts w:eastAsiaTheme="minorHAnsi" w:cstheme="minorBidi"/>
      <w:sz w:val="20"/>
      <w:lang w:eastAsia="en-US"/>
    </w:rPr>
  </w:style>
  <w:style w:type="paragraph" w:customStyle="1" w:styleId="FFWBody2">
    <w:name w:val="FFW Body 2"/>
    <w:basedOn w:val="Normal"/>
    <w:uiPriority w:val="6"/>
    <w:qFormat/>
    <w:rsid w:val="00C66202"/>
    <w:pPr>
      <w:numPr>
        <w:ilvl w:val="1"/>
        <w:numId w:val="31"/>
      </w:numPr>
      <w:spacing w:before="240" w:after="0" w:line="260" w:lineRule="atLeast"/>
      <w:jc w:val="both"/>
    </w:pPr>
    <w:rPr>
      <w:rFonts w:eastAsiaTheme="minorHAnsi" w:cstheme="minorBidi"/>
      <w:sz w:val="20"/>
      <w:lang w:eastAsia="en-US"/>
    </w:rPr>
  </w:style>
  <w:style w:type="paragraph" w:customStyle="1" w:styleId="FFWBody3">
    <w:name w:val="FFW Body 3"/>
    <w:basedOn w:val="Normal"/>
    <w:uiPriority w:val="6"/>
    <w:qFormat/>
    <w:rsid w:val="00C66202"/>
    <w:pPr>
      <w:numPr>
        <w:ilvl w:val="2"/>
        <w:numId w:val="31"/>
      </w:numPr>
      <w:spacing w:before="240" w:after="0" w:line="260" w:lineRule="atLeast"/>
      <w:jc w:val="both"/>
    </w:pPr>
    <w:rPr>
      <w:rFonts w:eastAsiaTheme="minorHAnsi" w:cstheme="minorBidi"/>
      <w:sz w:val="20"/>
      <w:lang w:eastAsia="en-US"/>
    </w:rPr>
  </w:style>
  <w:style w:type="paragraph" w:customStyle="1" w:styleId="FFWBody4">
    <w:name w:val="FFW Body 4"/>
    <w:basedOn w:val="Normal"/>
    <w:uiPriority w:val="6"/>
    <w:qFormat/>
    <w:rsid w:val="00C66202"/>
    <w:pPr>
      <w:numPr>
        <w:ilvl w:val="3"/>
        <w:numId w:val="31"/>
      </w:numPr>
      <w:spacing w:before="240" w:after="0" w:line="260" w:lineRule="atLeast"/>
      <w:jc w:val="both"/>
    </w:pPr>
    <w:rPr>
      <w:rFonts w:eastAsiaTheme="minorHAnsi" w:cstheme="minorBidi"/>
      <w:sz w:val="20"/>
      <w:lang w:eastAsia="en-US"/>
    </w:rPr>
  </w:style>
  <w:style w:type="paragraph" w:customStyle="1" w:styleId="FFWBody5">
    <w:name w:val="FFW Body 5"/>
    <w:basedOn w:val="Normal"/>
    <w:uiPriority w:val="6"/>
    <w:qFormat/>
    <w:rsid w:val="00C66202"/>
    <w:pPr>
      <w:numPr>
        <w:ilvl w:val="4"/>
        <w:numId w:val="31"/>
      </w:numPr>
      <w:spacing w:before="240" w:after="0" w:line="260" w:lineRule="atLeast"/>
      <w:jc w:val="both"/>
    </w:pPr>
    <w:rPr>
      <w:rFonts w:eastAsiaTheme="minorHAnsi" w:cstheme="minorBidi"/>
      <w:sz w:val="20"/>
      <w:lang w:eastAsia="en-US"/>
    </w:rPr>
  </w:style>
  <w:style w:type="paragraph" w:customStyle="1" w:styleId="FFWBody6">
    <w:name w:val="FFW Body 6"/>
    <w:basedOn w:val="Normal"/>
    <w:uiPriority w:val="6"/>
    <w:qFormat/>
    <w:rsid w:val="00C66202"/>
    <w:pPr>
      <w:numPr>
        <w:ilvl w:val="5"/>
        <w:numId w:val="31"/>
      </w:numPr>
      <w:spacing w:before="240" w:after="0" w:line="260" w:lineRule="atLeast"/>
      <w:jc w:val="both"/>
    </w:pPr>
    <w:rPr>
      <w:rFonts w:eastAsiaTheme="minorHAnsi" w:cstheme="minorBidi"/>
      <w:sz w:val="20"/>
      <w:lang w:eastAsia="en-US"/>
    </w:rPr>
  </w:style>
  <w:style w:type="numbering" w:customStyle="1" w:styleId="NumbListBodyText">
    <w:name w:val="NumbList Body Text"/>
    <w:uiPriority w:val="99"/>
    <w:rsid w:val="00C66202"/>
  </w:style>
  <w:style w:type="character" w:customStyle="1" w:styleId="cf01">
    <w:name w:val="cf01"/>
    <w:basedOn w:val="DefaultParagraphFont"/>
    <w:rsid w:val="000047E4"/>
    <w:rPr>
      <w:rFonts w:ascii="Segoe UI" w:hAnsi="Segoe UI" w:cs="Segoe UI" w:hint="default"/>
      <w:sz w:val="18"/>
      <w:szCs w:val="18"/>
      <w:shd w:val="clear" w:color="auto" w:fill="00FFFF"/>
    </w:rPr>
  </w:style>
  <w:style w:type="paragraph" w:styleId="BodyTextIndent">
    <w:name w:val="Body Text Indent"/>
    <w:basedOn w:val="Normal"/>
    <w:link w:val="BodyTextIndentChar"/>
    <w:uiPriority w:val="99"/>
    <w:unhideWhenUsed/>
    <w:rsid w:val="008F58C5"/>
    <w:pPr>
      <w:suppressAutoHyphens/>
      <w:autoSpaceDE w:val="0"/>
      <w:autoSpaceDN w:val="0"/>
      <w:adjustRightInd w:val="0"/>
      <w:spacing w:line="22" w:lineRule="atLeast"/>
      <w:ind w:left="720"/>
      <w:jc w:val="both"/>
    </w:pPr>
    <w:rPr>
      <w:rFonts w:eastAsia="MS Gothic"/>
      <w:color w:val="4472C4" w:themeColor="accent1"/>
      <w:sz w:val="20"/>
      <w:szCs w:val="20"/>
    </w:rPr>
  </w:style>
  <w:style w:type="character" w:customStyle="1" w:styleId="BodyTextIndentChar">
    <w:name w:val="Body Text Indent Char"/>
    <w:basedOn w:val="DefaultParagraphFont"/>
    <w:link w:val="BodyTextIndent"/>
    <w:uiPriority w:val="99"/>
    <w:rsid w:val="008F58C5"/>
    <w:rPr>
      <w:rFonts w:ascii="Arial" w:eastAsia="MS Gothic" w:hAnsi="Arial" w:cs="Arial"/>
      <w:color w:val="4472C4" w:themeColor="accent1"/>
      <w:sz w:val="20"/>
      <w:szCs w:val="20"/>
      <w:lang w:eastAsia="zh-CN"/>
    </w:rPr>
  </w:style>
  <w:style w:type="table" w:customStyle="1" w:styleId="a">
    <w:basedOn w:val="TableNormal"/>
    <w:pPr>
      <w:spacing w:after="120" w:line="240" w:lineRule="auto"/>
    </w:pPr>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pPr>
      <w:spacing w:after="120" w:line="240" w:lineRule="auto"/>
    </w:pPr>
    <w:tblPr>
      <w:tblStyleRowBandSize w:val="1"/>
      <w:tblStyleColBandSize w:val="1"/>
    </w:tblPr>
  </w:style>
  <w:style w:type="table" w:customStyle="1" w:styleId="afff4">
    <w:basedOn w:val="TableNormal"/>
    <w:tblPr>
      <w:tblStyleRowBandSize w:val="1"/>
      <w:tblStyleColBandSize w:val="1"/>
      <w:tblCellMar>
        <w:top w:w="28" w:type="dxa"/>
        <w:left w:w="57" w:type="dxa"/>
        <w:bottom w:w="28" w:type="dxa"/>
        <w:right w:w="28" w:type="dxa"/>
      </w:tblCellMar>
    </w:tblPr>
  </w:style>
  <w:style w:type="table" w:customStyle="1" w:styleId="afff5">
    <w:basedOn w:val="TableNormal"/>
    <w:pPr>
      <w:spacing w:after="120" w:line="240" w:lineRule="auto"/>
    </w:pPr>
    <w:tblPr>
      <w:tblStyleRowBandSize w:val="1"/>
      <w:tblStyleColBandSize w:val="1"/>
    </w:tblPr>
  </w:style>
  <w:style w:type="table" w:customStyle="1" w:styleId="afff6">
    <w:basedOn w:val="TableNormal"/>
    <w:pPr>
      <w:spacing w:after="120" w:line="240" w:lineRule="auto"/>
    </w:pPr>
    <w:tblPr>
      <w:tblStyleRowBandSize w:val="1"/>
      <w:tblStyleColBandSize w:val="1"/>
    </w:tblPr>
  </w:style>
  <w:style w:type="table" w:customStyle="1" w:styleId="afff7">
    <w:basedOn w:val="TableNormal"/>
    <w:pPr>
      <w:spacing w:after="120" w:line="240" w:lineRule="auto"/>
    </w:pPr>
    <w:tblPr>
      <w:tblStyleRowBandSize w:val="1"/>
      <w:tblStyleColBandSize w:val="1"/>
    </w:tblPr>
  </w:style>
  <w:style w:type="table" w:customStyle="1" w:styleId="afff8">
    <w:basedOn w:val="TableNormal"/>
    <w:tblPr>
      <w:tblStyleRowBandSize w:val="1"/>
      <w:tblStyleColBandSize w:val="1"/>
      <w:tblCellMar>
        <w:left w:w="10" w:type="dxa"/>
        <w:right w:w="10"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0" w:type="dxa"/>
        <w:right w:w="10" w:type="dxa"/>
      </w:tblCellMar>
    </w:tblPr>
  </w:style>
  <w:style w:type="table" w:customStyle="1" w:styleId="afffb">
    <w:basedOn w:val="TableNormal"/>
    <w:tblPr>
      <w:tblStyleRowBandSize w:val="1"/>
      <w:tblStyleColBandSize w:val="1"/>
      <w:tblCellMar>
        <w:left w:w="10" w:type="dxa"/>
        <w:right w:w="10" w:type="dxa"/>
      </w:tblCellMar>
    </w:tblPr>
  </w:style>
  <w:style w:type="table" w:customStyle="1" w:styleId="afffc">
    <w:basedOn w:val="TableNormal"/>
    <w:tblPr>
      <w:tblStyleRowBandSize w:val="1"/>
      <w:tblStyleColBandSize w:val="1"/>
      <w:tblCellMar>
        <w:left w:w="10" w:type="dxa"/>
        <w:right w:w="10" w:type="dxa"/>
      </w:tblCellMar>
    </w:tblPr>
  </w:style>
  <w:style w:type="table" w:customStyle="1" w:styleId="afffd">
    <w:basedOn w:val="TableNormal"/>
    <w:tblPr>
      <w:tblStyleRowBandSize w:val="1"/>
      <w:tblStyleColBandSize w:val="1"/>
      <w:tblCellMar>
        <w:left w:w="10" w:type="dxa"/>
        <w:right w:w="10" w:type="dxa"/>
      </w:tblCellMar>
    </w:tblPr>
  </w:style>
  <w:style w:type="table" w:customStyle="1" w:styleId="afffe">
    <w:basedOn w:val="TableNormal"/>
    <w:pPr>
      <w:spacing w:after="120" w:line="240" w:lineRule="auto"/>
    </w:pPr>
    <w:tblPr>
      <w:tblStyleRowBandSize w:val="1"/>
      <w:tblStyleColBandSize w:val="1"/>
    </w:tblPr>
  </w:style>
  <w:style w:type="table" w:customStyle="1" w:styleId="affff">
    <w:basedOn w:val="TableNormal"/>
    <w:tblPr>
      <w:tblStyleRowBandSize w:val="1"/>
      <w:tblStyleColBandSize w:val="1"/>
      <w:tblCellMar>
        <w:left w:w="10" w:type="dxa"/>
        <w:right w:w="10" w:type="dxa"/>
      </w:tblCellMar>
    </w:tblPr>
  </w:style>
  <w:style w:type="table" w:customStyle="1" w:styleId="affff0">
    <w:basedOn w:val="TableNormal"/>
    <w:tblPr>
      <w:tblStyleRowBandSize w:val="1"/>
      <w:tblStyleColBandSize w:val="1"/>
      <w:tblCellMar>
        <w:left w:w="10" w:type="dxa"/>
        <w:right w:w="10" w:type="dxa"/>
      </w:tblCellMar>
    </w:tblPr>
  </w:style>
  <w:style w:type="table" w:customStyle="1" w:styleId="affff1">
    <w:basedOn w:val="TableNormal"/>
    <w:tblPr>
      <w:tblStyleRowBandSize w:val="1"/>
      <w:tblStyleColBandSize w:val="1"/>
      <w:tblCellMar>
        <w:left w:w="10" w:type="dxa"/>
        <w:right w:w="10" w:type="dxa"/>
      </w:tblCellMar>
    </w:tblPr>
  </w:style>
  <w:style w:type="table" w:customStyle="1" w:styleId="affff2">
    <w:basedOn w:val="TableNormal"/>
    <w:tblPr>
      <w:tblStyleRowBandSize w:val="1"/>
      <w:tblStyleColBandSize w:val="1"/>
      <w:tblCellMar>
        <w:left w:w="10" w:type="dxa"/>
        <w:right w:w="10" w:type="dxa"/>
      </w:tblCellMar>
    </w:tblPr>
  </w:style>
  <w:style w:type="table" w:customStyle="1" w:styleId="affff3">
    <w:basedOn w:val="TableNormal"/>
    <w:tblPr>
      <w:tblStyleRowBandSize w:val="1"/>
      <w:tblStyleColBandSize w:val="1"/>
      <w:tblCellMar>
        <w:left w:w="10" w:type="dxa"/>
        <w:right w:w="10" w:type="dxa"/>
      </w:tblCellMar>
    </w:tblPr>
  </w:style>
  <w:style w:type="table" w:customStyle="1" w:styleId="affff4">
    <w:basedOn w:val="TableNormal"/>
    <w:tblPr>
      <w:tblStyleRowBandSize w:val="1"/>
      <w:tblStyleColBandSize w:val="1"/>
      <w:tblCellMar>
        <w:left w:w="10" w:type="dxa"/>
        <w:right w:w="10" w:type="dxa"/>
      </w:tblCellMar>
    </w:tblPr>
  </w:style>
  <w:style w:type="table" w:customStyle="1" w:styleId="affff5">
    <w:basedOn w:val="TableNormal"/>
    <w:tblPr>
      <w:tblStyleRowBandSize w:val="1"/>
      <w:tblStyleColBandSize w:val="1"/>
      <w:tblCellMar>
        <w:left w:w="10" w:type="dxa"/>
        <w:right w:w="10" w:type="dxa"/>
      </w:tblCellMar>
    </w:tblPr>
  </w:style>
  <w:style w:type="table" w:customStyle="1" w:styleId="affff6">
    <w:basedOn w:val="TableNormal"/>
    <w:tblPr>
      <w:tblStyleRowBandSize w:val="1"/>
      <w:tblStyleColBandSize w:val="1"/>
      <w:tblCellMar>
        <w:left w:w="10" w:type="dxa"/>
        <w:right w:w="10" w:type="dxa"/>
      </w:tblCellMar>
    </w:tblPr>
  </w:style>
  <w:style w:type="table" w:customStyle="1" w:styleId="affff7">
    <w:basedOn w:val="TableNormal"/>
    <w:tblPr>
      <w:tblStyleRowBandSize w:val="1"/>
      <w:tblStyleColBandSize w:val="1"/>
      <w:tblCellMar>
        <w:left w:w="10" w:type="dxa"/>
        <w:right w:w="10" w:type="dxa"/>
      </w:tblCellMar>
    </w:tblPr>
  </w:style>
  <w:style w:type="table" w:customStyle="1" w:styleId="affff8">
    <w:basedOn w:val="TableNormal"/>
    <w:pPr>
      <w:spacing w:after="120" w:line="240" w:lineRule="auto"/>
    </w:pPr>
    <w:tblPr>
      <w:tblStyleRowBandSize w:val="1"/>
      <w:tblStyleColBandSize w:val="1"/>
    </w:tblPr>
  </w:style>
  <w:style w:type="table" w:customStyle="1" w:styleId="affff9">
    <w:basedOn w:val="TableNormal"/>
    <w:tblPr>
      <w:tblStyleRowBandSize w:val="1"/>
      <w:tblStyleColBandSize w:val="1"/>
      <w:tblCellMar>
        <w:left w:w="10" w:type="dxa"/>
        <w:right w:w="10" w:type="dxa"/>
      </w:tblCellMar>
    </w:tblPr>
  </w:style>
  <w:style w:type="table" w:customStyle="1" w:styleId="affffa">
    <w:basedOn w:val="TableNormal"/>
    <w:tblPr>
      <w:tblStyleRowBandSize w:val="1"/>
      <w:tblStyleColBandSize w:val="1"/>
      <w:tblCellMar>
        <w:left w:w="10" w:type="dxa"/>
        <w:right w:w="10" w:type="dxa"/>
      </w:tblCellMar>
    </w:tblPr>
  </w:style>
  <w:style w:type="table" w:customStyle="1" w:styleId="affffb">
    <w:basedOn w:val="TableNormal"/>
    <w:tblPr>
      <w:tblStyleRowBandSize w:val="1"/>
      <w:tblStyleColBandSize w:val="1"/>
      <w:tblCellMar>
        <w:left w:w="10" w:type="dxa"/>
        <w:right w:w="10" w:type="dxa"/>
      </w:tblCellMar>
    </w:tblPr>
  </w:style>
  <w:style w:type="table" w:customStyle="1" w:styleId="affffc">
    <w:basedOn w:val="TableNormal"/>
    <w:tblPr>
      <w:tblStyleRowBandSize w:val="1"/>
      <w:tblStyleColBandSize w:val="1"/>
      <w:tblCellMar>
        <w:left w:w="10" w:type="dxa"/>
        <w:right w:w="10" w:type="dxa"/>
      </w:tblCellMar>
    </w:tblPr>
  </w:style>
  <w:style w:type="table" w:customStyle="1" w:styleId="affffd">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e">
    <w:basedOn w:val="TableNormal"/>
    <w:tblPr>
      <w:tblStyleRowBandSize w:val="1"/>
      <w:tblStyleColBandSize w:val="1"/>
      <w:tblCellMar>
        <w:left w:w="10" w:type="dxa"/>
        <w:right w:w="10" w:type="dxa"/>
      </w:tblCellMar>
    </w:tblPr>
  </w:style>
  <w:style w:type="table" w:customStyle="1" w:styleId="afffff">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tblPr>
      <w:tblStyleRowBandSize w:val="1"/>
      <w:tblStyleColBandSize w:val="1"/>
      <w:tblCellMar>
        <w:left w:w="10" w:type="dxa"/>
        <w:right w:w="10" w:type="dxa"/>
      </w:tblCellMar>
    </w:tblPr>
  </w:style>
  <w:style w:type="table" w:customStyle="1" w:styleId="afffff2">
    <w:basedOn w:val="TableNormal"/>
    <w:pPr>
      <w:spacing w:after="120" w:line="240" w:lineRule="auto"/>
    </w:pPr>
    <w:tblPr>
      <w:tblStyleRowBandSize w:val="1"/>
      <w:tblStyleColBandSize w:val="1"/>
    </w:tblPr>
  </w:style>
  <w:style w:type="table" w:customStyle="1" w:styleId="afffff3">
    <w:basedOn w:val="TableNormal"/>
    <w:tblPr>
      <w:tblStyleRowBandSize w:val="1"/>
      <w:tblStyleColBandSize w:val="1"/>
      <w:tblCellMar>
        <w:left w:w="10" w:type="dxa"/>
        <w:right w:w="10" w:type="dxa"/>
      </w:tblCellMar>
    </w:tblPr>
  </w:style>
  <w:style w:type="table" w:customStyle="1" w:styleId="afffff4">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5">
    <w:basedOn w:val="TableNormal"/>
    <w:tblPr>
      <w:tblStyleRowBandSize w:val="1"/>
      <w:tblStyleColBandSize w:val="1"/>
      <w:tblCellMar>
        <w:left w:w="10" w:type="dxa"/>
        <w:right w:w="10" w:type="dxa"/>
      </w:tblCellMar>
    </w:tblPr>
  </w:style>
  <w:style w:type="table" w:customStyle="1" w:styleId="afffff6">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7">
    <w:basedOn w:val="TableNormal"/>
    <w:tblPr>
      <w:tblStyleRowBandSize w:val="1"/>
      <w:tblStyleColBandSize w:val="1"/>
      <w:tblCellMar>
        <w:left w:w="10" w:type="dxa"/>
        <w:right w:w="10" w:type="dxa"/>
      </w:tblCellMar>
    </w:tblPr>
  </w:style>
  <w:style w:type="table" w:customStyle="1" w:styleId="afffff8">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9">
    <w:basedOn w:val="TableNormal"/>
    <w:tblPr>
      <w:tblStyleRowBandSize w:val="1"/>
      <w:tblStyleColBandSize w:val="1"/>
      <w:tblCellMar>
        <w:left w:w="10" w:type="dxa"/>
        <w:right w:w="10" w:type="dxa"/>
      </w:tblCellMar>
    </w:tblPr>
  </w:style>
  <w:style w:type="table" w:customStyle="1" w:styleId="afffffa">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b">
    <w:basedOn w:val="TableNormal"/>
    <w:tblPr>
      <w:tblStyleRowBandSize w:val="1"/>
      <w:tblStyleColBandSize w:val="1"/>
      <w:tblCellMar>
        <w:left w:w="10" w:type="dxa"/>
        <w:right w:w="10" w:type="dxa"/>
      </w:tblCellMar>
    </w:tblPr>
  </w:style>
  <w:style w:type="table" w:customStyle="1" w:styleId="afffffc">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d">
    <w:basedOn w:val="TableNormal"/>
    <w:tblPr>
      <w:tblStyleRowBandSize w:val="1"/>
      <w:tblStyleColBandSize w:val="1"/>
      <w:tblCellMar>
        <w:left w:w="10" w:type="dxa"/>
        <w:right w:w="10" w:type="dxa"/>
      </w:tblCellMar>
    </w:tblPr>
  </w:style>
  <w:style w:type="table" w:customStyle="1" w:styleId="afffffe">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
    <w:basedOn w:val="TableNormal"/>
    <w:tblPr>
      <w:tblStyleRowBandSize w:val="1"/>
      <w:tblStyleColBandSize w:val="1"/>
      <w:tblCellMar>
        <w:left w:w="10" w:type="dxa"/>
        <w:right w:w="10" w:type="dxa"/>
      </w:tblCellMar>
    </w:tblPr>
  </w:style>
  <w:style w:type="table" w:customStyle="1" w:styleId="affffff0">
    <w:basedOn w:val="TableNormal"/>
    <w:pPr>
      <w:spacing w:after="120" w:line="240" w:lineRule="auto"/>
    </w:pPr>
    <w:tblPr>
      <w:tblStyleRowBandSize w:val="1"/>
      <w:tblStyleColBandSize w:val="1"/>
    </w:tblPr>
  </w:style>
  <w:style w:type="table" w:customStyle="1" w:styleId="affffff1">
    <w:basedOn w:val="TableNormal"/>
    <w:pPr>
      <w:spacing w:after="120" w:line="240" w:lineRule="auto"/>
    </w:pPr>
    <w:tblPr>
      <w:tblStyleRowBandSize w:val="1"/>
      <w:tblStyleColBandSize w:val="1"/>
    </w:tblPr>
  </w:style>
  <w:style w:type="table" w:customStyle="1" w:styleId="affffff2">
    <w:basedOn w:val="TableNormal"/>
    <w:pPr>
      <w:spacing w:after="120" w:line="240" w:lineRule="auto"/>
    </w:pPr>
    <w:tblPr>
      <w:tblStyleRowBandSize w:val="1"/>
      <w:tblStyleColBandSize w:val="1"/>
    </w:tblPr>
  </w:style>
  <w:style w:type="table" w:customStyle="1" w:styleId="affffff3">
    <w:basedOn w:val="TableNormal"/>
    <w:pPr>
      <w:spacing w:after="120" w:line="240" w:lineRule="auto"/>
    </w:pPr>
    <w:tblPr>
      <w:tblStyleRowBandSize w:val="1"/>
      <w:tblStyleColBandSize w:val="1"/>
    </w:tblPr>
  </w:style>
  <w:style w:type="table" w:customStyle="1" w:styleId="affffff4">
    <w:basedOn w:val="TableNormal"/>
    <w:pPr>
      <w:spacing w:after="120" w:line="240" w:lineRule="auto"/>
    </w:pPr>
    <w:tblPr>
      <w:tblStyleRowBandSize w:val="1"/>
      <w:tblStyleColBandSize w:val="1"/>
    </w:tblPr>
  </w:style>
  <w:style w:type="table" w:customStyle="1" w:styleId="affffff5">
    <w:basedOn w:val="TableNormal"/>
    <w:pPr>
      <w:spacing w:after="120" w:line="240" w:lineRule="auto"/>
    </w:pPr>
    <w:tblPr>
      <w:tblStyleRowBandSize w:val="1"/>
      <w:tblStyleColBandSize w:val="1"/>
    </w:tblPr>
  </w:style>
  <w:style w:type="table" w:customStyle="1" w:styleId="affffff6">
    <w:basedOn w:val="TableNormal"/>
    <w:pPr>
      <w:spacing w:after="120" w:line="240" w:lineRule="auto"/>
    </w:pPr>
    <w:tblPr>
      <w:tblStyleRowBandSize w:val="1"/>
      <w:tblStyleColBandSize w:val="1"/>
    </w:tblPr>
  </w:style>
  <w:style w:type="table" w:customStyle="1" w:styleId="affffff7">
    <w:basedOn w:val="TableNormal"/>
    <w:pPr>
      <w:spacing w:after="120" w:line="240" w:lineRule="auto"/>
    </w:pPr>
    <w:tblPr>
      <w:tblStyleRowBandSize w:val="1"/>
      <w:tblStyleColBandSize w:val="1"/>
    </w:tblPr>
  </w:style>
  <w:style w:type="table" w:customStyle="1" w:styleId="affffff8">
    <w:basedOn w:val="TableNormal"/>
    <w:pPr>
      <w:spacing w:after="120" w:line="240" w:lineRule="auto"/>
    </w:pPr>
    <w:tblPr>
      <w:tblStyleRowBandSize w:val="1"/>
      <w:tblStyleColBandSize w:val="1"/>
    </w:tblPr>
  </w:style>
  <w:style w:type="table" w:customStyle="1" w:styleId="affffff9">
    <w:basedOn w:val="TableNormal"/>
    <w:pPr>
      <w:spacing w:after="120" w:line="240" w:lineRule="auto"/>
    </w:pPr>
    <w:tblPr>
      <w:tblStyleRowBandSize w:val="1"/>
      <w:tblStyleColBandSize w:val="1"/>
    </w:tblPr>
  </w:style>
  <w:style w:type="table" w:customStyle="1" w:styleId="affffffa">
    <w:basedOn w:val="TableNormal"/>
    <w:pPr>
      <w:spacing w:after="120" w:line="240" w:lineRule="auto"/>
    </w:pPr>
    <w:tblPr>
      <w:tblStyleRowBandSize w:val="1"/>
      <w:tblStyleColBandSize w:val="1"/>
    </w:tblPr>
  </w:style>
  <w:style w:type="table" w:customStyle="1" w:styleId="affffffb">
    <w:basedOn w:val="TableNormal"/>
    <w:pPr>
      <w:spacing w:after="120" w:line="240" w:lineRule="auto"/>
    </w:pPr>
    <w:tblPr>
      <w:tblStyleRowBandSize w:val="1"/>
      <w:tblStyleColBandSize w:val="1"/>
    </w:tblPr>
  </w:style>
  <w:style w:type="table" w:customStyle="1" w:styleId="affffffc">
    <w:basedOn w:val="TableNormal"/>
    <w:pPr>
      <w:spacing w:after="120" w:line="240" w:lineRule="auto"/>
    </w:pPr>
    <w:tblPr>
      <w:tblStyleRowBandSize w:val="1"/>
      <w:tblStyleColBandSize w:val="1"/>
    </w:tblPr>
  </w:style>
  <w:style w:type="table" w:customStyle="1" w:styleId="affffffd">
    <w:basedOn w:val="TableNormal"/>
    <w:pPr>
      <w:spacing w:after="120" w:line="240" w:lineRule="auto"/>
    </w:pPr>
    <w:tblPr>
      <w:tblStyleRowBandSize w:val="1"/>
      <w:tblStyleColBandSize w:val="1"/>
    </w:tblPr>
  </w:style>
  <w:style w:type="table" w:customStyle="1" w:styleId="affffffe">
    <w:basedOn w:val="TableNormal"/>
    <w:pPr>
      <w:spacing w:after="120" w:line="240" w:lineRule="auto"/>
    </w:pPr>
    <w:tblPr>
      <w:tblStyleRowBandSize w:val="1"/>
      <w:tblStyleColBandSize w:val="1"/>
    </w:tblPr>
  </w:style>
  <w:style w:type="table" w:customStyle="1" w:styleId="afffffff">
    <w:basedOn w:val="TableNormal"/>
    <w:pPr>
      <w:spacing w:after="120" w:line="240" w:lineRule="auto"/>
    </w:pPr>
    <w:tblPr>
      <w:tblStyleRowBandSize w:val="1"/>
      <w:tblStyleColBandSize w:val="1"/>
    </w:tblPr>
  </w:style>
  <w:style w:type="table" w:customStyle="1" w:styleId="afffffff0">
    <w:basedOn w:val="TableNormal"/>
    <w:pPr>
      <w:spacing w:after="120" w:line="240" w:lineRule="auto"/>
    </w:pPr>
    <w:tblPr>
      <w:tblStyleRowBandSize w:val="1"/>
      <w:tblStyleColBandSize w:val="1"/>
    </w:tblPr>
  </w:style>
  <w:style w:type="table" w:customStyle="1" w:styleId="afffffff1">
    <w:basedOn w:val="TableNormal"/>
    <w:pPr>
      <w:spacing w:after="120" w:line="240" w:lineRule="auto"/>
    </w:pPr>
    <w:tblPr>
      <w:tblStyleRowBandSize w:val="1"/>
      <w:tblStyleColBandSize w:val="1"/>
    </w:tblPr>
  </w:style>
  <w:style w:type="table" w:customStyle="1" w:styleId="afffffff2">
    <w:basedOn w:val="TableNormal"/>
    <w:pPr>
      <w:spacing w:after="120" w:line="240" w:lineRule="auto"/>
    </w:pPr>
    <w:tblPr>
      <w:tblStyleRowBandSize w:val="1"/>
      <w:tblStyleColBandSize w:val="1"/>
    </w:tblPr>
  </w:style>
  <w:style w:type="table" w:customStyle="1" w:styleId="afffffff3">
    <w:basedOn w:val="TableNormal"/>
    <w:pPr>
      <w:spacing w:after="120" w:line="240" w:lineRule="auto"/>
    </w:pPr>
    <w:tblPr>
      <w:tblStyleRowBandSize w:val="1"/>
      <w:tblStyleColBandSize w:val="1"/>
    </w:tblPr>
  </w:style>
  <w:style w:type="table" w:customStyle="1" w:styleId="afffffff4">
    <w:basedOn w:val="TableNormal"/>
    <w:pPr>
      <w:spacing w:after="120" w:line="240" w:lineRule="auto"/>
    </w:pPr>
    <w:tblPr>
      <w:tblStyleRowBandSize w:val="1"/>
      <w:tblStyleColBandSize w:val="1"/>
    </w:tblPr>
  </w:style>
  <w:style w:type="table" w:customStyle="1" w:styleId="afffffff5">
    <w:basedOn w:val="TableNormal"/>
    <w:pPr>
      <w:spacing w:after="120" w:line="240" w:lineRule="auto"/>
    </w:pPr>
    <w:tblPr>
      <w:tblStyleRowBandSize w:val="1"/>
      <w:tblStyleColBandSize w:val="1"/>
    </w:tblPr>
  </w:style>
  <w:style w:type="table" w:customStyle="1" w:styleId="afffffff6">
    <w:basedOn w:val="TableNormal"/>
    <w:pPr>
      <w:spacing w:after="120" w:line="240" w:lineRule="auto"/>
    </w:pPr>
    <w:tblPr>
      <w:tblStyleRowBandSize w:val="1"/>
      <w:tblStyleColBandSize w:val="1"/>
    </w:tblPr>
  </w:style>
  <w:style w:type="table" w:customStyle="1" w:styleId="afffffff7">
    <w:basedOn w:val="TableNormal"/>
    <w:pPr>
      <w:spacing w:after="120" w:line="240" w:lineRule="auto"/>
    </w:pPr>
    <w:tblPr>
      <w:tblStyleRowBandSize w:val="1"/>
      <w:tblStyleColBandSize w:val="1"/>
    </w:tblPr>
  </w:style>
  <w:style w:type="table" w:customStyle="1" w:styleId="afffffff8">
    <w:basedOn w:val="TableNormal"/>
    <w:pPr>
      <w:spacing w:after="120" w:line="240" w:lineRule="auto"/>
    </w:pPr>
    <w:tblPr>
      <w:tblStyleRowBandSize w:val="1"/>
      <w:tblStyleColBandSize w:val="1"/>
    </w:tblPr>
  </w:style>
  <w:style w:type="table" w:customStyle="1" w:styleId="afffffff9">
    <w:basedOn w:val="TableNormal"/>
    <w:pPr>
      <w:spacing w:after="120" w:line="240" w:lineRule="auto"/>
    </w:pPr>
    <w:tblPr>
      <w:tblStyleRowBandSize w:val="1"/>
      <w:tblStyleColBandSize w:val="1"/>
    </w:tblPr>
  </w:style>
  <w:style w:type="table" w:customStyle="1" w:styleId="afffffffa">
    <w:basedOn w:val="TableNormal"/>
    <w:pPr>
      <w:spacing w:after="120" w:line="240" w:lineRule="auto"/>
    </w:pPr>
    <w:tblPr>
      <w:tblStyleRowBandSize w:val="1"/>
      <w:tblStyleColBandSize w:val="1"/>
    </w:tblPr>
  </w:style>
  <w:style w:type="table" w:customStyle="1" w:styleId="afffffffb">
    <w:basedOn w:val="TableNormal"/>
    <w:pPr>
      <w:spacing w:after="120" w:line="240" w:lineRule="auto"/>
    </w:pPr>
    <w:tblPr>
      <w:tblStyleRowBandSize w:val="1"/>
      <w:tblStyleColBandSize w:val="1"/>
    </w:tblPr>
  </w:style>
  <w:style w:type="table" w:customStyle="1" w:styleId="afffffffc">
    <w:basedOn w:val="TableNormal"/>
    <w:pPr>
      <w:spacing w:after="120" w:line="240" w:lineRule="auto"/>
    </w:pPr>
    <w:tblPr>
      <w:tblStyleRowBandSize w:val="1"/>
      <w:tblStyleColBandSize w:val="1"/>
    </w:tblPr>
  </w:style>
  <w:style w:type="table" w:customStyle="1" w:styleId="afffffffd">
    <w:basedOn w:val="TableNormal"/>
    <w:pPr>
      <w:spacing w:after="120" w:line="240" w:lineRule="auto"/>
    </w:pPr>
    <w:tblPr>
      <w:tblStyleRowBandSize w:val="1"/>
      <w:tblStyleColBandSize w:val="1"/>
    </w:tblPr>
  </w:style>
  <w:style w:type="table" w:customStyle="1" w:styleId="afffffffe">
    <w:basedOn w:val="TableNormal"/>
    <w:pPr>
      <w:spacing w:after="120" w:line="240" w:lineRule="auto"/>
    </w:pPr>
    <w:tblPr>
      <w:tblStyleRowBandSize w:val="1"/>
      <w:tblStyleColBandSize w:val="1"/>
    </w:tblPr>
  </w:style>
  <w:style w:type="table" w:customStyle="1" w:styleId="affffffff">
    <w:basedOn w:val="TableNormal"/>
    <w:pPr>
      <w:spacing w:after="120" w:line="240" w:lineRule="auto"/>
    </w:pPr>
    <w:tblPr>
      <w:tblStyleRowBandSize w:val="1"/>
      <w:tblStyleColBandSize w:val="1"/>
    </w:tblPr>
  </w:style>
  <w:style w:type="table" w:customStyle="1" w:styleId="affffffff0">
    <w:basedOn w:val="TableNormal"/>
    <w:pPr>
      <w:spacing w:after="120" w:line="240" w:lineRule="auto"/>
    </w:pPr>
    <w:tblPr>
      <w:tblStyleRowBandSize w:val="1"/>
      <w:tblStyleColBandSize w:val="1"/>
    </w:tblPr>
  </w:style>
  <w:style w:type="table" w:customStyle="1" w:styleId="affffffff1">
    <w:basedOn w:val="TableNormal"/>
    <w:pPr>
      <w:spacing w:after="120" w:line="240" w:lineRule="auto"/>
    </w:pPr>
    <w:tblPr>
      <w:tblStyleRowBandSize w:val="1"/>
      <w:tblStyleColBandSize w:val="1"/>
    </w:tblPr>
  </w:style>
  <w:style w:type="table" w:customStyle="1" w:styleId="affffffff2">
    <w:basedOn w:val="TableNormal"/>
    <w:pPr>
      <w:spacing w:after="120" w:line="240" w:lineRule="auto"/>
    </w:pPr>
    <w:tblPr>
      <w:tblStyleRowBandSize w:val="1"/>
      <w:tblStyleColBandSize w:val="1"/>
    </w:tblPr>
  </w:style>
  <w:style w:type="table" w:customStyle="1" w:styleId="affffffff3">
    <w:basedOn w:val="TableNormal"/>
    <w:tblPr>
      <w:tblStyleRowBandSize w:val="1"/>
      <w:tblStyleColBandSize w:val="1"/>
      <w:tblCellMar>
        <w:left w:w="10" w:type="dxa"/>
        <w:right w:w="10" w:type="dxa"/>
      </w:tblCellMar>
    </w:tblPr>
  </w:style>
  <w:style w:type="table" w:customStyle="1" w:styleId="affffffff4">
    <w:basedOn w:val="TableNormal"/>
    <w:tblPr>
      <w:tblStyleRowBandSize w:val="1"/>
      <w:tblStyleColBandSize w:val="1"/>
      <w:tblCellMar>
        <w:left w:w="10" w:type="dxa"/>
        <w:right w:w="10" w:type="dxa"/>
      </w:tblCellMar>
    </w:tblPr>
  </w:style>
  <w:style w:type="table" w:customStyle="1" w:styleId="affffffff5">
    <w:basedOn w:val="TableNormal"/>
    <w:pPr>
      <w:spacing w:after="120" w:line="240" w:lineRule="auto"/>
    </w:pPr>
    <w:tblPr>
      <w:tblStyleRowBandSize w:val="1"/>
      <w:tblStyleColBandSize w:val="1"/>
    </w:tblPr>
  </w:style>
  <w:style w:type="table" w:customStyle="1" w:styleId="affffffff6">
    <w:basedOn w:val="TableNormal"/>
    <w:pPr>
      <w:spacing w:after="120" w:line="240" w:lineRule="auto"/>
    </w:pPr>
    <w:tblPr>
      <w:tblStyleRowBandSize w:val="1"/>
      <w:tblStyleColBandSize w:val="1"/>
    </w:tblPr>
  </w:style>
  <w:style w:type="table" w:customStyle="1" w:styleId="affffffff7">
    <w:basedOn w:val="TableNormal"/>
    <w:pPr>
      <w:spacing w:after="120" w:line="240" w:lineRule="auto"/>
    </w:pPr>
    <w:tblPr>
      <w:tblStyleRowBandSize w:val="1"/>
      <w:tblStyleColBandSize w:val="1"/>
    </w:tblPr>
  </w:style>
  <w:style w:type="table" w:customStyle="1" w:styleId="affffffff8">
    <w:basedOn w:val="TableNormal"/>
    <w:pPr>
      <w:spacing w:after="120" w:line="240" w:lineRule="auto"/>
    </w:pPr>
    <w:tblPr>
      <w:tblStyleRowBandSize w:val="1"/>
      <w:tblStyleColBandSize w:val="1"/>
    </w:tblPr>
  </w:style>
  <w:style w:type="table" w:customStyle="1" w:styleId="affffffff9">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ffa">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ffb">
    <w:basedOn w:val="TableNormal"/>
    <w:tblPr>
      <w:tblStyleRowBandSize w:val="1"/>
      <w:tblStyleColBandSize w:val="1"/>
      <w:tblCellMar>
        <w:left w:w="10" w:type="dxa"/>
        <w:right w:w="10" w:type="dxa"/>
      </w:tblCellMar>
    </w:tblPr>
  </w:style>
  <w:style w:type="table" w:customStyle="1" w:styleId="affffffffc">
    <w:basedOn w:val="TableNormal"/>
    <w:tblPr>
      <w:tblStyleRowBandSize w:val="1"/>
      <w:tblStyleColBandSize w:val="1"/>
      <w:tblCellMar>
        <w:left w:w="10" w:type="dxa"/>
        <w:right w:w="10" w:type="dxa"/>
      </w:tblCellMar>
    </w:tblPr>
  </w:style>
  <w:style w:type="table" w:customStyle="1" w:styleId="affffffffd">
    <w:basedOn w:val="TableNormal"/>
    <w:tblPr>
      <w:tblStyleRowBandSize w:val="1"/>
      <w:tblStyleColBandSize w:val="1"/>
      <w:tblCellMar>
        <w:left w:w="10" w:type="dxa"/>
        <w:right w:w="10" w:type="dxa"/>
      </w:tblCellMar>
    </w:tblPr>
  </w:style>
  <w:style w:type="table" w:customStyle="1" w:styleId="affffffffe">
    <w:basedOn w:val="TableNormal"/>
    <w:tblPr>
      <w:tblStyleRowBandSize w:val="1"/>
      <w:tblStyleColBandSize w:val="1"/>
      <w:tblCellMar>
        <w:left w:w="10" w:type="dxa"/>
        <w:right w:w="10" w:type="dxa"/>
      </w:tblCellMar>
    </w:tblPr>
  </w:style>
  <w:style w:type="table" w:customStyle="1" w:styleId="afffffffff">
    <w:basedOn w:val="TableNormal"/>
    <w:tblPr>
      <w:tblStyleRowBandSize w:val="1"/>
      <w:tblStyleColBandSize w:val="1"/>
      <w:tblCellMar>
        <w:left w:w="10" w:type="dxa"/>
        <w:right w:w="10" w:type="dxa"/>
      </w:tblCellMar>
    </w:tblPr>
  </w:style>
  <w:style w:type="table" w:customStyle="1" w:styleId="afffffffff0">
    <w:basedOn w:val="TableNormal"/>
    <w:pPr>
      <w:spacing w:after="120" w:line="240" w:lineRule="auto"/>
    </w:pPr>
    <w:tblPr>
      <w:tblStyleRowBandSize w:val="1"/>
      <w:tblStyleColBandSize w:val="1"/>
    </w:tblPr>
  </w:style>
  <w:style w:type="table" w:customStyle="1" w:styleId="afffffffff1">
    <w:basedOn w:val="TableNormal"/>
    <w:pPr>
      <w:spacing w:after="120" w:line="240" w:lineRule="auto"/>
    </w:pPr>
    <w:tblPr>
      <w:tblStyleRowBandSize w:val="1"/>
      <w:tblStyleColBandSize w:val="1"/>
    </w:tblPr>
  </w:style>
  <w:style w:type="table" w:customStyle="1" w:styleId="afffffffff2">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fff3">
    <w:basedOn w:val="TableNormal"/>
    <w:pPr>
      <w:spacing w:after="120" w:line="240" w:lineRule="auto"/>
    </w:pPr>
    <w:tblPr>
      <w:tblStyleRowBandSize w:val="1"/>
      <w:tblStyleColBandSize w:val="1"/>
    </w:tblPr>
  </w:style>
  <w:style w:type="table" w:customStyle="1" w:styleId="afffffffff4">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pPr>
      <w:spacing w:after="12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trade-remedies.service.gov.uk" TargetMode="External"/><Relationship Id="rId18" Type="http://schemas.openxmlformats.org/officeDocument/2006/relationships/hyperlink" Target="http://www.trade-remedies.service.gov.uk" TargetMode="External"/><Relationship Id="rId26" Type="http://schemas.openxmlformats.org/officeDocument/2006/relationships/hyperlink" Target="https://url.uk.m.mimecastprotect.com/s/qRCRCxGZ7H5Gz9rs8fgSyulHS?domain=gov.uk" TargetMode="External"/><Relationship Id="rId39" Type="http://schemas.openxmlformats.org/officeDocument/2006/relationships/image" Target="media/image7.png"/><Relationship Id="rId21" Type="http://schemas.openxmlformats.org/officeDocument/2006/relationships/image" Target="media/image1.jpg"/><Relationship Id="rId34" Type="http://schemas.openxmlformats.org/officeDocument/2006/relationships/hyperlink" Target="https://www.gov.uk/government/publications/the-uk-trade-remedies-investigations-process/how-we-carry-out-a-dumping-investigation" TargetMode="External"/><Relationship Id="rId42" Type="http://schemas.openxmlformats.org/officeDocument/2006/relationships/hyperlink" Target="https://www.gov.uk/government/publications/the-uk-trade-remedies-investigations-process/how-we-carry-out-a-subsidy-investigation" TargetMode="Externa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the-uk-trade-remedies-investigations-process/the-trid-pre-application-office" TargetMode="External"/><Relationship Id="rId29" Type="http://schemas.openxmlformats.org/officeDocument/2006/relationships/hyperlink" Target="http://www.legislation.gov.uk/uksi/2019/450/regulation/14/made" TargetMode="External"/><Relationship Id="rId11" Type="http://schemas.openxmlformats.org/officeDocument/2006/relationships/hyperlink" Target="https://www.gov.uk/government/publications/the-uk-trade-remedies-investigations-process/an-introduction-to-our-investigations-process" TargetMode="External"/><Relationship Id="rId24" Type="http://schemas.openxmlformats.org/officeDocument/2006/relationships/image" Target="media/image4.png"/><Relationship Id="rId32" Type="http://schemas.openxmlformats.org/officeDocument/2006/relationships/hyperlink" Target="mailto:contact@traderemedies.gov.uk"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www.legislation.gov.uk/uksi/2019/450/contents/made" TargetMode="External"/><Relationship Id="rId19" Type="http://schemas.openxmlformats.org/officeDocument/2006/relationships/hyperlink" Target="mailto:contact@traderemedies.gov.uk" TargetMode="External"/><Relationship Id="rId31" Type="http://schemas.openxmlformats.org/officeDocument/2006/relationships/hyperlink" Target="https://www.gov.uk/government/publications/the-uk-trade-remedies-investigations-process/how-we-carry-out-a-dumping-investigation" TargetMode="External"/><Relationship Id="rId44" Type="http://schemas.openxmlformats.org/officeDocument/2006/relationships/hyperlink" Target="mailto:contact@traderemedies.gov.uk"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legislation.gov.uk/ukpga/2018/22/contents/enacted" TargetMode="External"/><Relationship Id="rId14" Type="http://schemas.openxmlformats.org/officeDocument/2006/relationships/hyperlink" Target="https://www.gov.uk/government/publications/the-uk-trade-remedies-investigations-process/an-introduction-to-our-investigations-process" TargetMode="External"/><Relationship Id="rId22" Type="http://schemas.openxmlformats.org/officeDocument/2006/relationships/image" Target="media/image2.png"/><Relationship Id="rId27" Type="http://schemas.openxmlformats.org/officeDocument/2006/relationships/hyperlink" Target="http://www.legislation.gov.uk/uksi/2018/1248/regulation/128/made" TargetMode="External"/><Relationship Id="rId30" Type="http://schemas.openxmlformats.org/officeDocument/2006/relationships/hyperlink" Target="https://www.gov.uk/government/publications/the-uk-trade-remedies-investigations-process/how-we-carry-out-a-dumping-investigation" TargetMode="External"/><Relationship Id="rId35" Type="http://schemas.openxmlformats.org/officeDocument/2006/relationships/hyperlink" Target="https://www.wto.org/english/res_e/publications_e/ai17_e/gatt1994_art16_gatt47.pdf" TargetMode="External"/><Relationship Id="rId43" Type="http://schemas.openxmlformats.org/officeDocument/2006/relationships/hyperlink" Target="https://www.gov.uk/government/publications/the-uk-trade-remedies-investigations-process/how-we-carry-out-a-subsidy-investigation" TargetMode="External"/><Relationship Id="rId48" Type="http://schemas.openxmlformats.org/officeDocument/2006/relationships/header" Target="header1.xml"/><Relationship Id="rId8" Type="http://schemas.openxmlformats.org/officeDocument/2006/relationships/hyperlink" Target="http://www.trade-remedies.service.gov.uk"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the-uk-trade-remedies-investigations-process/how-to-make-an-application-for-a-trade-remedies-investigation" TargetMode="External"/><Relationship Id="rId17" Type="http://schemas.openxmlformats.org/officeDocument/2006/relationships/hyperlink" Target="https://www.gov.uk/government/publications/the-uk-trade-remedies-investigations-process/how-to-make-an-application-for-a-trade-remedies-investigation" TargetMode="External"/><Relationship Id="rId25" Type="http://schemas.openxmlformats.org/officeDocument/2006/relationships/hyperlink" Target="https://url.uk.m.mimecastprotect.com/s/qRCRCxGZ7H5Gz9rs8fgSyulHS?domain=gov.uk" TargetMode="External"/><Relationship Id="rId33" Type="http://schemas.openxmlformats.org/officeDocument/2006/relationships/hyperlink" Target="http://www.legislation.gov.uk/uksi/2019/450/regulation/14/made"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https://iccwbo.org/resources-for-business/incoterms-rules/incoterms-rules-2010/" TargetMode="External"/><Relationship Id="rId41" Type="http://schemas.openxmlformats.org/officeDocument/2006/relationships/hyperlink" Target="https://www.gov.uk/government/publications/the-uk-trade-remedies-investigations-process/how-we-carry-out-a-subsidy-investigation"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ntact@traderemedies.gov.uk" TargetMode="External"/><Relationship Id="rId23" Type="http://schemas.openxmlformats.org/officeDocument/2006/relationships/image" Target="media/image3.png"/><Relationship Id="rId28" Type="http://schemas.openxmlformats.org/officeDocument/2006/relationships/hyperlink" Target="mailto:contact@traderemedies.gov.uk" TargetMode="External"/><Relationship Id="rId36" Type="http://schemas.openxmlformats.org/officeDocument/2006/relationships/hyperlink" Target="https://www.gov.uk/government/publications/the-uk-trade-remedies-investigations-process/how-we-carry-out-a-subsidy-investigation"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curia.europa.eu/juris/document/document.jsf?text=&amp;docid=80866&amp;pageIndex=0&amp;doclang=en&amp;mode=lst&amp;dir=&amp;occ=first&amp;part=1&amp;cid=7692444" TargetMode="External"/><Relationship Id="rId117" Type="http://schemas.openxmlformats.org/officeDocument/2006/relationships/hyperlink" Target="https://eur-lex.europa.eu/legal-content/EN/TXT/?uri=OJ%3AL_202402163" TargetMode="External"/><Relationship Id="rId21" Type="http://schemas.openxmlformats.org/officeDocument/2006/relationships/hyperlink" Target="https://www.gov.uk/government/publications/trade-remedies-notices-countervailing-duty-on-biodiesel-from-indonesia/notice-of-determination-202036-countervailing-duty-on-biodiesel-originating-in-indonesia" TargetMode="External"/><Relationship Id="rId42" Type="http://schemas.openxmlformats.org/officeDocument/2006/relationships/hyperlink" Target="https://eur-lex.europa.eu/legal-content/EN/TXT/?uri=OJ%3AL_202402163" TargetMode="External"/><Relationship Id="rId47" Type="http://schemas.openxmlformats.org/officeDocument/2006/relationships/hyperlink" Target="https://eur-lex.europa.eu/legal-content/EN/TXT/?uri=CELEX%3A32009R0599" TargetMode="External"/><Relationship Id="rId63" Type="http://schemas.openxmlformats.org/officeDocument/2006/relationships/hyperlink" Target="https://www.trade-remedies.service.gov.uk/public/case/TS0005/submission/f76c7919-a587-46e0-b85b-97252d8ab494/" TargetMode="External"/><Relationship Id="rId68" Type="http://schemas.openxmlformats.org/officeDocument/2006/relationships/hyperlink" Target="https://www.trade-remedies.service.gov.uk/public/case/TS0005/submission/f76c7919-a587-46e0-b85b-97252d8ab494/" TargetMode="External"/><Relationship Id="rId84" Type="http://schemas.openxmlformats.org/officeDocument/2006/relationships/hyperlink" Target="https://www.google.com/url?sa=t&amp;rct=j&amp;q=&amp;esrc=s&amp;source=web&amp;cd=&amp;cad=rja&amp;uact=8&amp;ved=2ahUKEwid19bRy66IAxWqVUEAHTYUEdIQFnoECBIQAQ&amp;url=https%3A%2F%2Fassets.publishing.service.gov.uk%2Fmedia%2F63ef58228fa8f56139fc0cb2%2FRTFO_Compliance_Guidance_2023_Final.pdf&amp;usg=AOvVaw2Inqq5jEllqAjFNOPypaYG&amp;opi=89978449" TargetMode="External"/><Relationship Id="rId89" Type="http://schemas.openxmlformats.org/officeDocument/2006/relationships/hyperlink" Target="https://www.gov.uk/government/publications/renewable-transport-fuel-obligation-rtfo-voluntary-schemes/rtfo-list-of-recognised-voluntary-schemes" TargetMode="External"/><Relationship Id="rId112" Type="http://schemas.openxmlformats.org/officeDocument/2006/relationships/hyperlink" Target="https://www.gov.uk/government/publications/renewable-fuel-statistics-information/renewable-fuel-statistics-notes-and-definitions" TargetMode="External"/><Relationship Id="rId16" Type="http://schemas.openxmlformats.org/officeDocument/2006/relationships/hyperlink" Target="https://www.trade-remedies.service.gov.uk/public/case/TS0044/" TargetMode="External"/><Relationship Id="rId107" Type="http://schemas.openxmlformats.org/officeDocument/2006/relationships/hyperlink" Target="https://www.gov.uk/government/statistics/renewable-fuel-statistics-2022-final-report/renewable-fuel-statistics-2022-final-report" TargetMode="External"/><Relationship Id="rId11" Type="http://schemas.openxmlformats.org/officeDocument/2006/relationships/hyperlink" Target="https://www.globaltradealert.org/intervention/20315/anti-dumping/peru-extension-of-definitive-antidumping-duty-on-imports-of-biodiesel-from-the-united-states-of-americ" TargetMode="External"/><Relationship Id="rId32" Type="http://schemas.openxmlformats.org/officeDocument/2006/relationships/hyperlink" Target="https://www.trade-remedies.service.gov.uk/public/case/TS0005/submission/0dfc1b3d-dcc9-45de-a290-daa2267e598b/" TargetMode="External"/><Relationship Id="rId37" Type="http://schemas.openxmlformats.org/officeDocument/2006/relationships/hyperlink" Target="https://www.wto.org/english/tratop_e/dispu_e/cases_e/ds54_e.htm" TargetMode="External"/><Relationship Id="rId53" Type="http://schemas.openxmlformats.org/officeDocument/2006/relationships/hyperlink" Target="https://www.trade-remedies.service.gov.uk/public/case/TD0004/submission/58471eb0-72c7-4e12-9190-b145b48f15e5/" TargetMode="External"/><Relationship Id="rId58" Type="http://schemas.openxmlformats.org/officeDocument/2006/relationships/hyperlink" Target="https://www.trade-remedies.service.gov.uk/public/case/TD0004/submission/58471eb0-72c7-4e12-9190-b145b48f15e5/" TargetMode="External"/><Relationship Id="rId74" Type="http://schemas.openxmlformats.org/officeDocument/2006/relationships/hyperlink" Target="https://www.trade-remedies.service.gov.uk/public/case/TD0004/submission/58471eb0-72c7-4e12-9190-b145b48f15e5/" TargetMode="External"/><Relationship Id="rId79" Type="http://schemas.openxmlformats.org/officeDocument/2006/relationships/hyperlink" Target="https://www.legislation.gov.uk/uksi/2007/3072/contents" TargetMode="External"/><Relationship Id="rId102" Type="http://schemas.openxmlformats.org/officeDocument/2006/relationships/hyperlink" Target="https://www.trade-remedies.service.gov.uk/public/case/TS0005/submission/f76c7919-a587-46e0-b85b-97252d8ab494/" TargetMode="External"/><Relationship Id="rId123" Type="http://schemas.openxmlformats.org/officeDocument/2006/relationships/hyperlink" Target="https://www.legislation.gov.uk/uksi/2019/450/contents" TargetMode="External"/><Relationship Id="rId5" Type="http://schemas.openxmlformats.org/officeDocument/2006/relationships/hyperlink" Target="https://eur-lex.europa.eu/legal-content/EN/TXT/?uri=CELEX%3A32009R0599" TargetMode="External"/><Relationship Id="rId90" Type="http://schemas.openxmlformats.org/officeDocument/2006/relationships/hyperlink" Target="https://www.trade-remedies.service.gov.uk/public/case/TD0004/submission/58471eb0-72c7-4e12-9190-b145b48f15e5/" TargetMode="External"/><Relationship Id="rId95" Type="http://schemas.openxmlformats.org/officeDocument/2006/relationships/hyperlink" Target="https://www.trade-remedies.service.gov.uk/public/case/TS0005/submission/f76c7919-a587-46e0-b85b-97252d8ab494/" TargetMode="External"/><Relationship Id="rId22" Type="http://schemas.openxmlformats.org/officeDocument/2006/relationships/hyperlink" Target="https://eur-lex.europa.eu/legal-content/en/TXT/?uri=CELEX%3A32019R2092" TargetMode="External"/><Relationship Id="rId27" Type="http://schemas.openxmlformats.org/officeDocument/2006/relationships/hyperlink" Target="https://www.trade-remedies.service.gov.uk/public/case/TD0001/submission/7e7ff292-60da-4793-aa51-4012265bb7b8/" TargetMode="External"/><Relationship Id="rId43" Type="http://schemas.openxmlformats.org/officeDocument/2006/relationships/hyperlink" Target="https://www.wto.org/english/tratop_e/dispu_e/cases_e/ds600_e.htm" TargetMode="External"/><Relationship Id="rId48" Type="http://schemas.openxmlformats.org/officeDocument/2006/relationships/hyperlink" Target="https://eur-lex.europa.eu/legal-content/GA/TXT/?uri=CELEX:32009R0598" TargetMode="External"/><Relationship Id="rId64" Type="http://schemas.openxmlformats.org/officeDocument/2006/relationships/hyperlink" Target="https://standards.cencenelec.eu/dyn/www/f?p=CEN:5" TargetMode="External"/><Relationship Id="rId69" Type="http://schemas.openxmlformats.org/officeDocument/2006/relationships/hyperlink" Target="https://www.trade-remedies.service.gov.uk/public/case/TD0004/submission/58471eb0-72c7-4e12-9190-b145b48f15e5/" TargetMode="External"/><Relationship Id="rId113" Type="http://schemas.openxmlformats.org/officeDocument/2006/relationships/hyperlink" Target="https://eur-lex.europa.eu/legal-content/EN/TXT/?uri=uriserv%3AOJ.L_.2021.277.01.0062.01.ENG&amp;toc=OJ%3AL%3A2021%3A277%3ATOC" TargetMode="External"/><Relationship Id="rId118" Type="http://schemas.openxmlformats.org/officeDocument/2006/relationships/hyperlink" Target="https://www.trade-remedies.service.gov.uk/public/case/TS0005/submission/f76c7919-a587-46e0-b85b-97252d8ab494/" TargetMode="External"/><Relationship Id="rId80" Type="http://schemas.openxmlformats.org/officeDocument/2006/relationships/hyperlink" Target="https://www.trade-remedies.service.gov.uk/public/case/TS0005/submission/f76c7919-a587-46e0-b85b-97252d8ab494/" TargetMode="External"/><Relationship Id="rId85" Type="http://schemas.openxmlformats.org/officeDocument/2006/relationships/hyperlink" Target="https://www.legislation.gov.uk/uksi/2007/3072/contents" TargetMode="External"/><Relationship Id="rId12" Type="http://schemas.openxmlformats.org/officeDocument/2006/relationships/hyperlink" Target="https://www.globaltradealert.org/intervention/18172/anti-subsidy/peru-extension-of-definitive-countervailing-duty-on-imports-of-biodiesel-from-the-united-states-of-america" TargetMode="External"/><Relationship Id="rId17" Type="http://schemas.openxmlformats.org/officeDocument/2006/relationships/hyperlink" Target="https://eur-lex.europa.eu/legal-content/EN/TXT/?uri=CELEX%3A02019R0244-20230318" TargetMode="External"/><Relationship Id="rId33" Type="http://schemas.openxmlformats.org/officeDocument/2006/relationships/hyperlink" Target="https://www.trade-remedies.service.gov.uk/public/case/TD0004/submission/58471eb0-72c7-4e12-9190-b145b48f15e5/" TargetMode="External"/><Relationship Id="rId38" Type="http://schemas.openxmlformats.org/officeDocument/2006/relationships/hyperlink" Target="https://www.trade-remedies.service.gov.uk/public/case/TD0004/submission/58471eb0-72c7-4e12-9190-b145b48f15e5/" TargetMode="External"/><Relationship Id="rId59" Type="http://schemas.openxmlformats.org/officeDocument/2006/relationships/hyperlink" Target="https://www.trade-remedies.service.gov.uk/public/case/TS0005/submission/f76c7919-a587-46e0-b85b-97252d8ab494/" TargetMode="External"/><Relationship Id="rId103" Type="http://schemas.openxmlformats.org/officeDocument/2006/relationships/hyperlink" Target="https://www.trade-remedies.service.gov.uk/public/case/TD0004/submission/58471eb0-72c7-4e12-9190-b145b48f15e5/" TargetMode="External"/><Relationship Id="rId108" Type="http://schemas.openxmlformats.org/officeDocument/2006/relationships/hyperlink" Target="https://www.uktradeinfo.com/trade-data/" TargetMode="External"/><Relationship Id="rId54" Type="http://schemas.openxmlformats.org/officeDocument/2006/relationships/hyperlink" Target="https://www.trade-remedies.service.gov.uk/public/case/TS0005/submission/f76c7919-a587-46e0-b85b-97252d8ab494/" TargetMode="External"/><Relationship Id="rId70" Type="http://schemas.openxmlformats.org/officeDocument/2006/relationships/hyperlink" Target="https://www.trade-remedies.service.gov.uk/public/case/TS0005/submission/f76c7919-a587-46e0-b85b-97252d8ab494/" TargetMode="External"/><Relationship Id="rId75" Type="http://schemas.openxmlformats.org/officeDocument/2006/relationships/hyperlink" Target="https://www.trade-remedies.service.gov.uk/public/case/TS0005/submission/f76c7919-a587-46e0-b85b-97252d8ab494/" TargetMode="External"/><Relationship Id="rId91" Type="http://schemas.openxmlformats.org/officeDocument/2006/relationships/hyperlink" Target="https://www.trade-remedies.service.gov.uk/public/case/TS0005/submission/f76c7919-a587-46e0-b85b-97252d8ab494/" TargetMode="External"/><Relationship Id="rId96" Type="http://schemas.openxmlformats.org/officeDocument/2006/relationships/hyperlink" Target="https://www.trade-remedies.service.gov.uk/public/case/TD0004/submission/58471eb0-72c7-4e12-9190-b145b48f15e5/" TargetMode="External"/><Relationship Id="rId1" Type="http://schemas.openxmlformats.org/officeDocument/2006/relationships/hyperlink" Target="https://www.trade-remedies.service.gov.uk/public/case/TD0004/submission/58471eb0-72c7-4e12-9190-b145b48f15e5/" TargetMode="External"/><Relationship Id="rId6" Type="http://schemas.openxmlformats.org/officeDocument/2006/relationships/hyperlink" Target="https://eur-lex.europa.eu/legal-content/GA/TXT/?uri=CELEX:32009R0598" TargetMode="External"/><Relationship Id="rId23" Type="http://schemas.openxmlformats.org/officeDocument/2006/relationships/hyperlink" Target="https://ids.usitc.gov/case/4529/investigation/8317" TargetMode="External"/><Relationship Id="rId28" Type="http://schemas.openxmlformats.org/officeDocument/2006/relationships/hyperlink" Target="https://www.trade-remedies.service.gov.uk/public/case/TD0010/submission/ae3d3620-8800-48bd-b678-9d102b5ca7b5/" TargetMode="External"/><Relationship Id="rId49" Type="http://schemas.openxmlformats.org/officeDocument/2006/relationships/hyperlink" Target="https://eur-lex.europa.eu/legal-content/EN/TXT/?uri=CELEX%3A32015R1518" TargetMode="External"/><Relationship Id="rId114" Type="http://schemas.openxmlformats.org/officeDocument/2006/relationships/hyperlink" Target="https://curia.europa.eu/juris/document/document.jsf?text=&amp;docid=286168&amp;pageIndex=0&amp;doclang=EN&amp;mode=lst&amp;dir=&amp;occ=first&amp;part=1&amp;cid=5283076" TargetMode="External"/><Relationship Id="rId119" Type="http://schemas.openxmlformats.org/officeDocument/2006/relationships/hyperlink" Target="https://eur-lex.europa.eu/legal-content/EN/TXT/?uri=OJ%3AL_202402163" TargetMode="External"/><Relationship Id="rId44" Type="http://schemas.openxmlformats.org/officeDocument/2006/relationships/hyperlink" Target="https://www.wto.org/english/tratop_e/dispu_e/cases_e/ds600_e.htm" TargetMode="External"/><Relationship Id="rId60" Type="http://schemas.openxmlformats.org/officeDocument/2006/relationships/hyperlink" Target="https://www.trade-remedies.service.gov.uk/public/case/TD0004/submission/58471eb0-72c7-4e12-9190-b145b48f15e5/" TargetMode="External"/><Relationship Id="rId65" Type="http://schemas.openxmlformats.org/officeDocument/2006/relationships/hyperlink" Target="https://www.trade-remedies.service.gov.uk/public/case/TD0004/submission/58471eb0-72c7-4e12-9190-b145b48f15e5/" TargetMode="External"/><Relationship Id="rId81" Type="http://schemas.openxmlformats.org/officeDocument/2006/relationships/hyperlink" Target="https://committees.parliament.uk/writtenevidence/43665/html/" TargetMode="External"/><Relationship Id="rId86" Type="http://schemas.openxmlformats.org/officeDocument/2006/relationships/hyperlink" Target="https://www.legislation.gov.uk/uksi/2007/3072/contents" TargetMode="External"/><Relationship Id="rId4" Type="http://schemas.openxmlformats.org/officeDocument/2006/relationships/hyperlink" Target="https://eur-lex.europa.eu/legal-content/EN/TXT/?uri=CELEX%3A32011R0443&amp;qid=1725534584387" TargetMode="External"/><Relationship Id="rId9" Type="http://schemas.openxmlformats.org/officeDocument/2006/relationships/hyperlink" Target="https://www.trade-remedies.service.gov.uk/public/case/TD0004/" TargetMode="External"/><Relationship Id="rId13" Type="http://schemas.openxmlformats.org/officeDocument/2006/relationships/hyperlink" Target="https://eur-lex.europa.eu/legal-content/EN/TXT/?uri=OJ%3AC_202301574" TargetMode="External"/><Relationship Id="rId18" Type="http://schemas.openxmlformats.org/officeDocument/2006/relationships/hyperlink" Target="https://ids.usitc.gov/case/4529/investigation/8317" TargetMode="External"/><Relationship Id="rId39" Type="http://schemas.openxmlformats.org/officeDocument/2006/relationships/hyperlink" Target="https://www.trade-remedies.service.gov.uk/public/case/TS0005/submission/f76c7919-a587-46e0-b85b-97252d8ab494/" TargetMode="External"/><Relationship Id="rId109" Type="http://schemas.openxmlformats.org/officeDocument/2006/relationships/hyperlink" Target="https://www.uktradeinfo.com/trade-data/ots-custom-table/" TargetMode="External"/><Relationship Id="rId34" Type="http://schemas.openxmlformats.org/officeDocument/2006/relationships/hyperlink" Target="https://www.trade-remedies.service.gov.uk/public/case/TS0005/submission/f76c7919-a587-46e0-b85b-97252d8ab494/" TargetMode="External"/><Relationship Id="rId50" Type="http://schemas.openxmlformats.org/officeDocument/2006/relationships/hyperlink" Target="https://eur-lex.europa.eu/legal-content/EN/TXT/?uri=CELEX%3A32015R1519" TargetMode="External"/><Relationship Id="rId55" Type="http://schemas.openxmlformats.org/officeDocument/2006/relationships/hyperlink" Target="https://www.trade-remedies.service.gov.uk/public/case/TD0004/submission/58471eb0-72c7-4e12-9190-b145b48f15e5/" TargetMode="External"/><Relationship Id="rId76" Type="http://schemas.openxmlformats.org/officeDocument/2006/relationships/hyperlink" Target="https://www.trade-remedies.service.gov.uk/public/case/TD0004/submission/58471eb0-72c7-4e12-9190-b145b48f15e5/" TargetMode="External"/><Relationship Id="rId97" Type="http://schemas.openxmlformats.org/officeDocument/2006/relationships/hyperlink" Target="https://www.trade-remedies.service.gov.uk/public/case/TS0005/submission/f76c7919-a587-46e0-b85b-97252d8ab494/" TargetMode="External"/><Relationship Id="rId104" Type="http://schemas.openxmlformats.org/officeDocument/2006/relationships/hyperlink" Target="https://www.trade-remedies.service.gov.uk/public/case/TS0005/submission/f76c7919-a587-46e0-b85b-97252d8ab494/" TargetMode="External"/><Relationship Id="rId120" Type="http://schemas.openxmlformats.org/officeDocument/2006/relationships/hyperlink" Target="https://www.legislation.gov.uk/ukpga/2018/22/schedule/4/enacted" TargetMode="External"/><Relationship Id="rId7" Type="http://schemas.openxmlformats.org/officeDocument/2006/relationships/hyperlink" Target="https://eur-lex.europa.eu/legal-content/EN/TXT/?uri=CELEX%3A02021R1266-20220514" TargetMode="External"/><Relationship Id="rId71" Type="http://schemas.openxmlformats.org/officeDocument/2006/relationships/hyperlink" Target="https://www.trade-remedies.service.gov.uk/public/case/TD0004/submission/58471eb0-72c7-4e12-9190-b145b48f15e5/" TargetMode="External"/><Relationship Id="rId92" Type="http://schemas.openxmlformats.org/officeDocument/2006/relationships/hyperlink" Target="https://www.trade-remedies.service.gov.uk/public/case/TD0004/submission/58471eb0-72c7-4e12-9190-b145b48f15e5/" TargetMode="External"/><Relationship Id="rId2" Type="http://schemas.openxmlformats.org/officeDocument/2006/relationships/hyperlink" Target="https://www.trade-remedies.service.gov.uk/public/case/TS0005/submission/f76c7919-a587-46e0-b85b-97252d8ab494/" TargetMode="External"/><Relationship Id="rId29" Type="http://schemas.openxmlformats.org/officeDocument/2006/relationships/hyperlink" Target="https://www.trade-remedies.service.gov.uk/public/case/TD0008/submission/5ed6ea9a-6d9c-47dd-a72a-46c9e677ada5/" TargetMode="External"/><Relationship Id="rId24" Type="http://schemas.openxmlformats.org/officeDocument/2006/relationships/hyperlink" Target="https://www.govinfo.gov/content/pkg/FR-2023-06-15/pdf/2023-12827.pdf" TargetMode="External"/><Relationship Id="rId40" Type="http://schemas.openxmlformats.org/officeDocument/2006/relationships/hyperlink" Target="https://www.legislation.gov.uk/uksi/2007/3072/contents" TargetMode="External"/><Relationship Id="rId45" Type="http://schemas.openxmlformats.org/officeDocument/2006/relationships/hyperlink" Target="https://www.wto.org/english/tratop_e/dispu_e/cases_e/ds600_e.htm" TargetMode="External"/><Relationship Id="rId66" Type="http://schemas.openxmlformats.org/officeDocument/2006/relationships/hyperlink" Target="https://www.trade-remedies.service.gov.uk/public/case/TS0005/submission/f76c7919-a587-46e0-b85b-97252d8ab494/" TargetMode="External"/><Relationship Id="rId87" Type="http://schemas.openxmlformats.org/officeDocument/2006/relationships/hyperlink" Target="https://www.legislation.gov.uk/uksi/2007/3072/contents" TargetMode="External"/><Relationship Id="rId110" Type="http://schemas.openxmlformats.org/officeDocument/2006/relationships/hyperlink" Target="https://www.uktradeinfo.com/trade-data/latest-bulk-datasets/bulk-datasets-archive/" TargetMode="External"/><Relationship Id="rId115" Type="http://schemas.openxmlformats.org/officeDocument/2006/relationships/hyperlink" Target="https://www.investing.com/indices/bloomberg-agriculture" TargetMode="External"/><Relationship Id="rId61" Type="http://schemas.openxmlformats.org/officeDocument/2006/relationships/hyperlink" Target="https://www.trade-remedies.service.gov.uk/public/case/TS0005/submission/f76c7919-a587-46e0-b85b-97252d8ab494/" TargetMode="External"/><Relationship Id="rId82"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19" Type="http://schemas.openxmlformats.org/officeDocument/2006/relationships/hyperlink" Target="https://www.govinfo.gov/content/pkg/FR-2023-06-15/pdf/2023-12712.pdf" TargetMode="External"/><Relationship Id="rId14" Type="http://schemas.openxmlformats.org/officeDocument/2006/relationships/hyperlink" Target="https://www.trade-remedies.service.gov.uk/public/case/AD0058/submission/0162d62c-0cab-4bcb-8fd7-a6ba1c651633/" TargetMode="External"/><Relationship Id="rId30" Type="http://schemas.openxmlformats.org/officeDocument/2006/relationships/hyperlink" Target="https://www.trade-remedies.service.gov.uk/public/case/TS0009/submission/6782ba2b-675a-4804-85ce-daf305eea28a/" TargetMode="External"/><Relationship Id="rId35" Type="http://schemas.openxmlformats.org/officeDocument/2006/relationships/hyperlink" Target="https://www.trade-remedies.service.gov.uk/public/case/TD0004/submission/58471eb0-72c7-4e12-9190-b145b48f15e5/" TargetMode="External"/><Relationship Id="rId56" Type="http://schemas.openxmlformats.org/officeDocument/2006/relationships/hyperlink" Target="https://www.trade-remedies.service.gov.uk/public/case/TS0005/submission/f76c7919-a587-46e0-b85b-97252d8ab494/" TargetMode="External"/><Relationship Id="rId77" Type="http://schemas.openxmlformats.org/officeDocument/2006/relationships/hyperlink" Target="https://www.trade-remedies.service.gov.uk/public/case/TS0005/submission/f76c7919-a587-46e0-b85b-97252d8ab494/" TargetMode="External"/><Relationship Id="rId100" Type="http://schemas.openxmlformats.org/officeDocument/2006/relationships/hyperlink" Target="https://www.trade-remedies.service.gov.uk/public/case/TS0005/submission/f76c7919-a587-46e0-b85b-97252d8ab494/" TargetMode="External"/><Relationship Id="rId105" Type="http://schemas.openxmlformats.org/officeDocument/2006/relationships/hyperlink" Target="https://www.gov.uk/government/statistics/bioenergy-crops-in-england-and-the-uk-2008-2023/bioenergy-crops-in-england-and-the-uk-2008-2023" TargetMode="External"/><Relationship Id="rId8" Type="http://schemas.openxmlformats.org/officeDocument/2006/relationships/hyperlink" Target="https://eur-lex.europa.eu/legal-content/EN/TXT/?uri=CELEX%3A02021R1267-20220514" TargetMode="External"/><Relationship Id="rId51" Type="http://schemas.openxmlformats.org/officeDocument/2006/relationships/hyperlink" Target="https://eur-lex.europa.eu/legal-content/EN/TXT/?toc=OJ%3AL%3A2021%3A277%3ATOC&amp;uri=uriserv%3AOJ.L_.2021.277.01.0034.01.ENG" TargetMode="External"/><Relationship Id="rId72" Type="http://schemas.openxmlformats.org/officeDocument/2006/relationships/hyperlink" Target="https://www.trade-remedies.service.gov.uk/public/case/TS0005/submission/f76c7919-a587-46e0-b85b-97252d8ab494/" TargetMode="External"/><Relationship Id="rId93" Type="http://schemas.openxmlformats.org/officeDocument/2006/relationships/hyperlink" Target="https://www.trade-remedies.service.gov.uk/public/case/TS0005/submission/f76c7919-a587-46e0-b85b-97252d8ab494/" TargetMode="External"/><Relationship Id="rId98" Type="http://schemas.openxmlformats.org/officeDocument/2006/relationships/hyperlink" Target="https://www.trade-remedies.service.gov.uk/public/case/TS0005/submission/f76c7919-a587-46e0-b85b-97252d8ab494/" TargetMode="External"/><Relationship Id="rId121" Type="http://schemas.openxmlformats.org/officeDocument/2006/relationships/hyperlink" Target="https://eur-lex.europa.eu/legal-content/EN/TXT/?uri=CELEX%3A02021R1266-20220514" TargetMode="External"/><Relationship Id="rId3" Type="http://schemas.openxmlformats.org/officeDocument/2006/relationships/hyperlink" Target="https://eur-lex.europa.eu/legal-content/EN/ALL/?uri=CELEX%3A32011R0444" TargetMode="External"/><Relationship Id="rId25" Type="http://schemas.openxmlformats.org/officeDocument/2006/relationships/hyperlink" Target="https://eur-lex.europa.eu/eli/reg/2000/2263/oj" TargetMode="External"/><Relationship Id="rId46" Type="http://schemas.openxmlformats.org/officeDocument/2006/relationships/hyperlink" Target="https://www.wto.org/english/tratop_e/dispu_e/cases_e/ds600_e.htm" TargetMode="External"/><Relationship Id="rId67" Type="http://schemas.openxmlformats.org/officeDocument/2006/relationships/hyperlink" Target="https://www.trade-remedies.service.gov.uk/public/case/TD0004/submission/58471eb0-72c7-4e12-9190-b145b48f15e5/" TargetMode="External"/><Relationship Id="rId116" Type="http://schemas.openxmlformats.org/officeDocument/2006/relationships/hyperlink" Target="https://www.cnbc.com/quotes/.BCOMEN" TargetMode="External"/><Relationship Id="rId20" Type="http://schemas.openxmlformats.org/officeDocument/2006/relationships/hyperlink" Target="https://www.gob.pe/institucion/indecopi/noticias/695264-indecopi-no-corresponde-suprimir-derechos-antidumping-ni-compensatorios-a-las-importaciones-de-biodiesel-b100-argentino" TargetMode="External"/><Relationship Id="rId41"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62" Type="http://schemas.openxmlformats.org/officeDocument/2006/relationships/hyperlink" Target="https://www.trade-remedies.service.gov.uk/public/case/TD0004/submission/58471eb0-72c7-4e12-9190-b145b48f15e5/" TargetMode="External"/><Relationship Id="rId83" Type="http://schemas.openxmlformats.org/officeDocument/2006/relationships/hyperlink" Target="https://www.legislation.gov.uk/uksi/2007/3072/contents" TargetMode="External"/><Relationship Id="rId88" Type="http://schemas.openxmlformats.org/officeDocument/2006/relationships/hyperlink" Target="https://www.gov.uk/guidance/renewable-transport-fuels-obligation" TargetMode="External"/><Relationship Id="rId111" Type="http://schemas.openxmlformats.org/officeDocument/2006/relationships/hyperlink" Target="https://www.gov.uk/government/collections/renewable-fuel-statistics" TargetMode="External"/><Relationship Id="rId15" Type="http://schemas.openxmlformats.org/officeDocument/2006/relationships/hyperlink" Target="https://www.gob.pe/institucion/indecopi/noticias/695264-indecopi-no-corresponde-suprimir-derechos-antidumping-ni-compensatorios-a-las-importaciones-de-biodiesel-b100-argentino" TargetMode="External"/><Relationship Id="rId36" Type="http://schemas.openxmlformats.org/officeDocument/2006/relationships/hyperlink" Target="https://www.trade-remedies.service.gov.uk/public/case/TS0005/submission/f76c7919-a587-46e0-b85b-97252d8ab494/" TargetMode="External"/><Relationship Id="rId57" Type="http://schemas.openxmlformats.org/officeDocument/2006/relationships/hyperlink" Target="https://eur-lex.europa.eu/legal-content/EN/TXT/?uri=OJ%3AL_202402163" TargetMode="External"/><Relationship Id="rId106" Type="http://schemas.openxmlformats.org/officeDocument/2006/relationships/hyperlink" Target="https://www.trade-remedies.service.gov.uk/public/case/TS0005/submission/f76c7919-a587-46e0-b85b-97252d8ab494/" TargetMode="External"/><Relationship Id="rId10" Type="http://schemas.openxmlformats.org/officeDocument/2006/relationships/hyperlink" Target="https://www.trade-remedies.service.gov.uk/public/case/TS0005/" TargetMode="External"/><Relationship Id="rId31" Type="http://schemas.openxmlformats.org/officeDocument/2006/relationships/hyperlink" Target="https://www.trade-remedies.service.gov.uk/public/case/TD0004/submission/a8fa1a1e-4ba7-433e-b358-edcbf0d17450/" TargetMode="External"/><Relationship Id="rId52" Type="http://schemas.openxmlformats.org/officeDocument/2006/relationships/hyperlink" Target="https://eur-lex.europa.eu/legal-content/EN/TXT/?uri=uriserv%3AOJ.L_.2021.277.01.0062.01.ENG&amp;toc=OJ%3AL%3A2021%3A277%3ATOC" TargetMode="External"/><Relationship Id="rId73" Type="http://schemas.openxmlformats.org/officeDocument/2006/relationships/hyperlink" Target="https://www.gov.uk/government/statistics/renewable-fuel-statistics-2022-final-report/renewable-fuel-statistics-2022-final-report" TargetMode="External"/><Relationship Id="rId78" Type="http://schemas.openxmlformats.org/officeDocument/2006/relationships/hyperlink" Target="https://eur-lex.europa.eu/legal-content/EN/TXT/?uri=OJ%3AL_202402163" TargetMode="External"/><Relationship Id="rId94" Type="http://schemas.openxmlformats.org/officeDocument/2006/relationships/hyperlink" Target="https://www.trade-remedies.service.gov.uk/public/case/TD0004/submission/58471eb0-72c7-4e12-9190-b145b48f15e5/" TargetMode="External"/><Relationship Id="rId99" Type="http://schemas.openxmlformats.org/officeDocument/2006/relationships/hyperlink" Target="https://www.trade-remedies.service.gov.uk/public/case/TD0004/submission/58471eb0-72c7-4e12-9190-b145b48f15e5/" TargetMode="External"/><Relationship Id="rId101" Type="http://schemas.openxmlformats.org/officeDocument/2006/relationships/hyperlink" Target="https://www.trade-remedies.service.gov.uk/public/case/TD0004/submission/58471eb0-72c7-4e12-9190-b145b48f15e5/" TargetMode="External"/><Relationship Id="rId122" Type="http://schemas.openxmlformats.org/officeDocument/2006/relationships/hyperlink" Target="https://eur-lex.europa.eu/legal-content/EN/TXT/?uri=uriserv%3AOJ.L_.2021.277.01.0062.01.ENG&amp;toc=OJ%3AL%3A2021%3A277%3AT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2" ma:contentTypeDescription="Create a new document." ma:contentTypeScope="" ma:versionID="56950577f264f632766a75cb3b9aba8c">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aa30e3010c7aed7f30ac38113d41b4b5"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f760887-92d3-413b-b11d-236601df688e">
      <Terms xmlns="http://schemas.microsoft.com/office/infopath/2007/PartnerControls"/>
    </lcf76f155ced4ddcb4097134ff3c332f>
    <_ip_UnifiedCompliancePolicyProperties xmlns="http://schemas.microsoft.com/sharepoint/v3" xsi:nil="true"/>
    <TaxCatchAll xmlns="e30f7a5d-8fa8-41c9-ac7a-9b097ed4b6af" xsi:nil="true"/>
  </documentManagement>
</p:properties>
</file>

<file path=customXml/itemProps1.xml><?xml version="1.0" encoding="utf-8"?>
<ds:datastoreItem xmlns:ds="http://schemas.openxmlformats.org/officeDocument/2006/customXml" ds:itemID="{1FDE0006-2047-4E74-A162-B6A778C5AEE8}">
  <ds:schemaRefs>
    <ds:schemaRef ds:uri="http://schemas.openxmlformats.org/officeDocument/2006/bibliography"/>
  </ds:schemaRefs>
</ds:datastoreItem>
</file>

<file path=customXml/itemProps2.xml><?xml version="1.0" encoding="utf-8"?>
<ds:datastoreItem xmlns:ds="http://schemas.openxmlformats.org/officeDocument/2006/customXml" ds:itemID="{66B9E0C2-7766-4F89-B83E-B6D440B27706}"/>
</file>

<file path=customXml/itemProps3.xml><?xml version="1.0" encoding="utf-8"?>
<ds:datastoreItem xmlns:ds="http://schemas.openxmlformats.org/officeDocument/2006/customXml" ds:itemID="{FD6318E5-A9FB-4571-BF37-F88A43B66D65}"/>
</file>

<file path=customXml/itemProps4.xml><?xml version="1.0" encoding="utf-8"?>
<ds:datastoreItem xmlns:ds="http://schemas.openxmlformats.org/officeDocument/2006/customXml" ds:itemID="{851B21B2-5828-4942-9A68-BACBD3E1EA52}"/>
</file>

<file path=docProps/app.xml><?xml version="1.0" encoding="utf-8"?>
<Properties xmlns="http://schemas.openxmlformats.org/officeDocument/2006/extended-properties" xmlns:vt="http://schemas.openxmlformats.org/officeDocument/2006/docPropsVTypes">
  <Template>Normal</Template>
  <TotalTime>0</TotalTime>
  <Pages>148</Pages>
  <Words>34669</Words>
  <Characters>197616</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2025-06-24T14:52:00Z</dcterms:created>
  <dcterms:modified xsi:type="dcterms:W3CDTF">2025-06-24T14:52:00Z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0x010100C9280E48E807ED4AA4BA7BE40CA69573</vt:lpwstr>
  </property>
</Properties>
</file>