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D607" w14:textId="5A3E8E82" w:rsidR="001B5BDA" w:rsidRPr="005F16F3" w:rsidRDefault="001B5BDA" w:rsidP="001B5BDA">
      <w:pPr>
        <w:spacing w:line="264" w:lineRule="auto"/>
        <w:jc w:val="both"/>
        <w:rPr>
          <w:rFonts w:ascii="Arial" w:eastAsia="Arial" w:hAnsi="Arial" w:cs="Arial"/>
        </w:rPr>
      </w:pPr>
      <w:hyperlink r:id="rId7">
        <w:r w:rsidRPr="005F16F3">
          <w:rPr>
            <w:rStyle w:val="Hyperlink"/>
            <w:color w:val="auto"/>
          </w:rPr>
          <w:t>99th Session of the Steel Committee: Statement by the Chair</w:t>
        </w:r>
      </w:hyperlink>
      <w:r w:rsidRPr="005F16F3">
        <w:rPr>
          <w:rFonts w:ascii="Arial" w:eastAsia="Arial" w:hAnsi="Arial" w:cs="Arial"/>
        </w:rPr>
        <w:t>)</w:t>
      </w:r>
    </w:p>
    <w:p w14:paraId="5DAA93AC" w14:textId="77777777" w:rsidR="001B5BDA" w:rsidRPr="005F16F3" w:rsidRDefault="001B5BDA" w:rsidP="001B5BDA">
      <w:pPr>
        <w:spacing w:line="264" w:lineRule="auto"/>
        <w:jc w:val="both"/>
        <w:rPr>
          <w:rFonts w:ascii="Arial" w:eastAsiaTheme="minorEastAsia" w:hAnsi="Arial" w:cs="Arial"/>
          <w:sz w:val="24"/>
          <w:szCs w:val="24"/>
        </w:rPr>
      </w:pPr>
    </w:p>
    <w:p w14:paraId="73F0121C" w14:textId="77777777" w:rsidR="001B5BDA" w:rsidRPr="005F16F3" w:rsidRDefault="001B5BDA" w:rsidP="001B5BDA">
      <w:pPr>
        <w:rPr>
          <w:rFonts w:ascii="Arial" w:eastAsia="Arial" w:hAnsi="Arial" w:cs="Arial"/>
        </w:rPr>
      </w:pPr>
      <w:r w:rsidRPr="005F16F3">
        <w:rPr>
          <w:rFonts w:ascii="Arial" w:eastAsia="Arial" w:hAnsi="Arial" w:cs="Arial"/>
          <w:i/>
          <w:iCs/>
          <w:color w:val="000000" w:themeColor="text1"/>
        </w:rPr>
        <w:t xml:space="preserve">The latest data shows that, in 2024, the median Chinese firm received 15 times more subsidies relative to its asset size than a median firm elsewhere, compared to 10 times more in previous years. Moreover, China’s steel subsidy rate has nearly doubled since 2019, a trend that will sustain excess capacity in the years ahead absent fundamental structural reforms to address the underlying distortions. The Committee’s new monitoring work shows that 59 new provincial and municipal subsidy programmes to support the domestic steel industry were introduced in China in 2025. Many of these programmes were found by the Steel Committee to be highly distortive. Moreover, capacity swap programmes to replace BF-BOF with EAF and other low-emission technologies are not delivering the expected net capacity reductions, as new low-emission capacity is being added without </w:t>
      </w:r>
      <w:r w:rsidRPr="005F16F3">
        <w:rPr>
          <w:rFonts w:ascii="Arial" w:eastAsia="Arial" w:hAnsi="Arial" w:cs="Arial"/>
          <w:i/>
          <w:iCs/>
        </w:rPr>
        <w:t>equivalent retirement of existing capacity.”</w:t>
      </w:r>
      <w:r w:rsidRPr="005F16F3">
        <w:rPr>
          <w:rFonts w:ascii="Arial" w:eastAsia="Arial" w:hAnsi="Arial" w:cs="Arial"/>
        </w:rPr>
        <w:t xml:space="preserve"> (</w:t>
      </w:r>
      <w:hyperlink r:id="rId8">
        <w:r w:rsidRPr="005F16F3">
          <w:rPr>
            <w:rStyle w:val="Hyperlink"/>
            <w:color w:val="auto"/>
          </w:rPr>
          <w:t>99th Session of the Steel Committee: Statement by the Chair</w:t>
        </w:r>
      </w:hyperlink>
      <w:r w:rsidRPr="005F16F3">
        <w:rPr>
          <w:rFonts w:ascii="Arial" w:eastAsia="Arial" w:hAnsi="Arial" w:cs="Arial"/>
        </w:rPr>
        <w:t>)</w:t>
      </w:r>
    </w:p>
    <w:p w14:paraId="2E04BE2E" w14:textId="77777777" w:rsidR="006C2382" w:rsidRDefault="006C2382"/>
    <w:sectPr w:rsidR="006C23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DA"/>
    <w:rsid w:val="001B5BDA"/>
    <w:rsid w:val="005F16F3"/>
    <w:rsid w:val="006C2382"/>
    <w:rsid w:val="0074290D"/>
    <w:rsid w:val="008903AB"/>
    <w:rsid w:val="00914641"/>
    <w:rsid w:val="00AB7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398C"/>
  <w15:chartTrackingRefBased/>
  <w15:docId w15:val="{E610FEAF-60A0-47B5-9AF7-441F6C4F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BDA"/>
    <w:rPr>
      <w:kern w:val="0"/>
      <w14:ligatures w14:val="none"/>
    </w:rPr>
  </w:style>
  <w:style w:type="paragraph" w:styleId="Heading1">
    <w:name w:val="heading 1"/>
    <w:basedOn w:val="Normal"/>
    <w:next w:val="Normal"/>
    <w:link w:val="Heading1Char"/>
    <w:uiPriority w:val="9"/>
    <w:qFormat/>
    <w:rsid w:val="001B5BDA"/>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5BDA"/>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5BDA"/>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5BDA"/>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5BDA"/>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5BD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5BDA"/>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5BDA"/>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5BDA"/>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BD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B5BD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B5BD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B5BD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B5BD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B5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BDA"/>
    <w:rPr>
      <w:rFonts w:eastAsiaTheme="majorEastAsia" w:cstheme="majorBidi"/>
      <w:color w:val="272727" w:themeColor="text1" w:themeTint="D8"/>
    </w:rPr>
  </w:style>
  <w:style w:type="paragraph" w:styleId="Title">
    <w:name w:val="Title"/>
    <w:basedOn w:val="Normal"/>
    <w:next w:val="Normal"/>
    <w:link w:val="TitleChar"/>
    <w:uiPriority w:val="10"/>
    <w:qFormat/>
    <w:rsid w:val="001B5BD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5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BD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5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BDA"/>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B5BDA"/>
    <w:rPr>
      <w:i/>
      <w:iCs/>
      <w:color w:val="404040" w:themeColor="text1" w:themeTint="BF"/>
    </w:rPr>
  </w:style>
  <w:style w:type="paragraph" w:styleId="ListParagraph">
    <w:name w:val="List Paragraph"/>
    <w:basedOn w:val="Normal"/>
    <w:uiPriority w:val="34"/>
    <w:qFormat/>
    <w:rsid w:val="001B5BDA"/>
    <w:pPr>
      <w:ind w:left="720"/>
      <w:contextualSpacing/>
    </w:pPr>
    <w:rPr>
      <w:kern w:val="2"/>
      <w14:ligatures w14:val="standardContextual"/>
    </w:rPr>
  </w:style>
  <w:style w:type="character" w:styleId="IntenseEmphasis">
    <w:name w:val="Intense Emphasis"/>
    <w:basedOn w:val="DefaultParagraphFont"/>
    <w:uiPriority w:val="21"/>
    <w:qFormat/>
    <w:rsid w:val="001B5BDA"/>
    <w:rPr>
      <w:i/>
      <w:iCs/>
      <w:color w:val="2E74B5" w:themeColor="accent1" w:themeShade="BF"/>
    </w:rPr>
  </w:style>
  <w:style w:type="paragraph" w:styleId="IntenseQuote">
    <w:name w:val="Intense Quote"/>
    <w:basedOn w:val="Normal"/>
    <w:next w:val="Normal"/>
    <w:link w:val="IntenseQuoteChar"/>
    <w:uiPriority w:val="30"/>
    <w:qFormat/>
    <w:rsid w:val="001B5BD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1B5BDA"/>
    <w:rPr>
      <w:i/>
      <w:iCs/>
      <w:color w:val="2E74B5" w:themeColor="accent1" w:themeShade="BF"/>
    </w:rPr>
  </w:style>
  <w:style w:type="character" w:styleId="IntenseReference">
    <w:name w:val="Intense Reference"/>
    <w:basedOn w:val="DefaultParagraphFont"/>
    <w:uiPriority w:val="32"/>
    <w:qFormat/>
    <w:rsid w:val="001B5BDA"/>
    <w:rPr>
      <w:b/>
      <w:bCs/>
      <w:smallCaps/>
      <w:color w:val="2E74B5" w:themeColor="accent1" w:themeShade="BF"/>
      <w:spacing w:val="5"/>
    </w:rPr>
  </w:style>
  <w:style w:type="character" w:styleId="Hyperlink">
    <w:name w:val="Hyperlink"/>
    <w:basedOn w:val="DefaultParagraphFont"/>
    <w:uiPriority w:val="99"/>
    <w:unhideWhenUsed/>
    <w:rsid w:val="001B5B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www.oecd.org/en/about/news/speech-statements/2026/03/99th-session-of-the-steel-committee-statement-by-the-chair.html__;!!NOtXTH94nKmerQ!TWMqKkhMGLJ78jF5FkC32_d6OTX1efhFlH0teIYSbAFv5Hv0rjEU37HyqcZw09z7Z1a24T3L2lULIwVWnN79PA$" TargetMode="External"/><Relationship Id="rId3" Type="http://schemas.openxmlformats.org/officeDocument/2006/relationships/customXml" Target="../customXml/item3.xml"/><Relationship Id="rId7" Type="http://schemas.openxmlformats.org/officeDocument/2006/relationships/hyperlink" Target="https://urldefense.com/v3/__https:/www.oecd.org/en/about/news/speech-statements/2026/03/99th-session-of-the-steel-committee-statement-by-the-chair.html__;!!NOtXTH94nKmerQ!TWMqKkhMGLJ78jF5FkC32_d6OTX1efhFlH0teIYSbAFv5Hv0rjEU37HyqcZw09z7Z1a24T3L2lULIwVWnN79P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60887-92d3-413b-b11d-236601df688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e30f7a5d-8fa8-41c9-ac7a-9b097ed4b6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6B146-9A88-4B73-9DD2-DD5B41496089}">
  <ds:schemaRefs>
    <ds:schemaRef ds:uri="http://schemas.microsoft.com/office/2006/metadata/properties"/>
    <ds:schemaRef ds:uri="http://schemas.microsoft.com/office/infopath/2007/PartnerControls"/>
    <ds:schemaRef ds:uri="21f70951-4bcd-4e7b-8240-015810ba2b35"/>
  </ds:schemaRefs>
</ds:datastoreItem>
</file>

<file path=customXml/itemProps2.xml><?xml version="1.0" encoding="utf-8"?>
<ds:datastoreItem xmlns:ds="http://schemas.openxmlformats.org/officeDocument/2006/customXml" ds:itemID="{2F18A88F-7C88-42B7-B5F9-AC9843D0F555}">
  <ds:schemaRefs>
    <ds:schemaRef ds:uri="http://schemas.microsoft.com/sharepoint/v3/contenttype/forms"/>
  </ds:schemaRefs>
</ds:datastoreItem>
</file>

<file path=customXml/itemProps3.xml><?xml version="1.0" encoding="utf-8"?>
<ds:datastoreItem xmlns:ds="http://schemas.openxmlformats.org/officeDocument/2006/customXml" ds:itemID="{3A45EB64-A421-4A0E-ADA8-D2C4963B59F6}"/>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1351</Characters>
  <Application>Microsoft Office Word</Application>
  <DocSecurity>0</DocSecurity>
  <Lines>11</Lines>
  <Paragraphs>3</Paragraphs>
  <ScaleCrop>false</ScaleCrop>
  <Company>Celsa Group, S.A.</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Thomas</dc:creator>
  <cp:keywords/>
  <dc:description/>
  <cp:lastModifiedBy>Ceri Davies</cp:lastModifiedBy>
  <cp:revision>2</cp:revision>
  <dcterms:created xsi:type="dcterms:W3CDTF">2026-07-27T15:47:00Z</dcterms:created>
  <dcterms:modified xsi:type="dcterms:W3CDTF">2026-07-30T14:28:00Z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