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C34EE" w:rsidRDefault="009B1497" w14:paraId="74859E45" w14:textId="77777777">
      <w:pPr>
        <w:pStyle w:val="Heading1"/>
      </w:pPr>
      <w:bookmarkStart w:name="eagley-plastics-ltd" w:id="0"/>
      <w:r>
        <w:t>Eagley Plastics Ltd</w:t>
      </w:r>
    </w:p>
    <w:p w:rsidR="009C34EE" w:rsidRDefault="009B1497" w14:paraId="4515A1C5" w14:textId="77777777">
      <w:pPr>
        <w:pStyle w:val="Heading2"/>
      </w:pPr>
      <w:bookmarkStart w:name="X3b284f640261c4a8e45ecedc5c243b0f0ca4902" w:id="1"/>
      <w:r>
        <w:t>Response to TRA Investigation AD0092 – Suspension PVC from China, Mexico and South Korea</w:t>
      </w:r>
    </w:p>
    <w:p w:rsidR="009C34EE" w:rsidRDefault="009B1497" w14:paraId="69EBE133" w14:textId="77777777">
      <w:pPr>
        <w:pStyle w:val="Heading3"/>
      </w:pPr>
      <w:bookmarkStart w:name="introduction" w:id="2"/>
      <w:r>
        <w:t>1. Introduction</w:t>
      </w:r>
    </w:p>
    <w:p w:rsidR="009C34EE" w:rsidRDefault="009B1497" w14:paraId="192B4B2E" w14:textId="442BBC4A">
      <w:pPr>
        <w:pStyle w:val="FirstParagraph"/>
      </w:pPr>
      <w:r>
        <w:t xml:space="preserve">Eagley Plastics Ltd is an independent UK </w:t>
      </w:r>
      <w:r w:rsidR="000F0744">
        <w:t xml:space="preserve">SME </w:t>
      </w:r>
      <w:r>
        <w:t xml:space="preserve">manufacturer of PVC compounds, employing approximately </w:t>
      </w:r>
      <w:r>
        <w:rPr>
          <w:b/>
          <w:bCs/>
        </w:rPr>
        <w:t>60 people</w:t>
      </w:r>
      <w:r>
        <w:t xml:space="preserve"> and generating annual turnover of approximately </w:t>
      </w:r>
      <w:r>
        <w:rPr>
          <w:b/>
          <w:bCs/>
        </w:rPr>
        <w:t>£10 million</w:t>
      </w:r>
      <w:r>
        <w:t>.</w:t>
      </w:r>
    </w:p>
    <w:p w:rsidR="009C34EE" w:rsidRDefault="009B1497" w14:paraId="2CEFDB89" w14:textId="58DE71C1">
      <w:pPr>
        <w:pStyle w:val="BodyText"/>
      </w:pPr>
      <w:r>
        <w:t xml:space="preserve">Eagley purchases approximately </w:t>
      </w:r>
      <w:r>
        <w:rPr>
          <w:b/>
          <w:bCs/>
        </w:rPr>
        <w:t>4,080 tonnes per annum</w:t>
      </w:r>
      <w:r>
        <w:t xml:space="preserve"> of suspension PVC resin manufactured by </w:t>
      </w:r>
      <w:r>
        <w:rPr>
          <w:b/>
          <w:bCs/>
        </w:rPr>
        <w:t>Tianjin Dagu Chemical Co., Ltd., China</w:t>
      </w:r>
      <w:r>
        <w:t xml:space="preserve">, supplied through </w:t>
      </w:r>
      <w:r w:rsidR="000F0744">
        <w:t xml:space="preserve">multiple significant trading </w:t>
      </w:r>
      <w:proofErr w:type="spellStart"/>
      <w:r w:rsidR="000F0744">
        <w:t>organisations</w:t>
      </w:r>
      <w:proofErr w:type="spellEnd"/>
      <w:r>
        <w:t>.</w:t>
      </w:r>
    </w:p>
    <w:p w:rsidR="009C34EE" w:rsidRDefault="009B1497" w14:paraId="08C5D69D" w14:textId="77777777">
      <w:pPr>
        <w:pStyle w:val="BodyText"/>
      </w:pPr>
      <w:r>
        <w:t>Our normal annual purchasing profile is:</w:t>
      </w:r>
    </w:p>
    <w:tbl>
      <w:tblPr>
        <w:tblStyle w:val="Table"/>
        <w:tblW w:w="0" w:type="auto"/>
        <w:tblLook w:val="0020" w:firstRow="1" w:lastRow="0" w:firstColumn="0" w:lastColumn="0" w:noHBand="0" w:noVBand="0"/>
      </w:tblPr>
      <w:tblGrid>
        <w:gridCol w:w="855"/>
        <w:gridCol w:w="1764"/>
      </w:tblGrid>
      <w:tr w:rsidR="009C34EE" w:rsidTr="009C34EE" w14:paraId="4E281849" w14:textId="77777777">
        <w:trPr>
          <w:cnfStyle w:val="100000000000" w:firstRow="1" w:lastRow="0" w:firstColumn="0" w:lastColumn="0" w:oddVBand="0" w:evenVBand="0" w:oddHBand="0" w:evenHBand="0" w:firstRowFirstColumn="0" w:firstRowLastColumn="0" w:lastRowFirstColumn="0" w:lastRowLastColumn="0"/>
          <w:tblHeader/>
        </w:trPr>
        <w:tc>
          <w:tcPr>
            <w:tcW w:w="0" w:type="auto"/>
          </w:tcPr>
          <w:p w:rsidR="009C34EE" w:rsidRDefault="009B1497" w14:paraId="28C6EF39" w14:textId="77777777">
            <w:pPr>
              <w:pStyle w:val="Compact"/>
            </w:pPr>
            <w:r>
              <w:t>Grade</w:t>
            </w:r>
          </w:p>
        </w:tc>
        <w:tc>
          <w:tcPr>
            <w:tcW w:w="0" w:type="auto"/>
          </w:tcPr>
          <w:p w:rsidR="009C34EE" w:rsidRDefault="009B1497" w14:paraId="72D41B4C" w14:textId="77777777">
            <w:pPr>
              <w:pStyle w:val="Compact"/>
              <w:jc w:val="right"/>
            </w:pPr>
            <w:r>
              <w:t>Annual volume</w:t>
            </w:r>
          </w:p>
        </w:tc>
      </w:tr>
      <w:tr w:rsidR="009C34EE" w14:paraId="44D83BC6" w14:textId="77777777">
        <w:tc>
          <w:tcPr>
            <w:tcW w:w="0" w:type="auto"/>
          </w:tcPr>
          <w:p w:rsidR="009C34EE" w:rsidRDefault="009B1497" w14:paraId="73389516" w14:textId="77777777">
            <w:pPr>
              <w:pStyle w:val="Compact"/>
            </w:pPr>
            <w:r>
              <w:t>K57</w:t>
            </w:r>
          </w:p>
        </w:tc>
        <w:tc>
          <w:tcPr>
            <w:tcW w:w="0" w:type="auto"/>
          </w:tcPr>
          <w:p w:rsidR="009C34EE" w:rsidRDefault="009B1497" w14:paraId="5CBC74C3" w14:textId="77777777">
            <w:pPr>
              <w:pStyle w:val="Compact"/>
              <w:jc w:val="right"/>
            </w:pPr>
            <w:r>
              <w:t>2,400 tonnes</w:t>
            </w:r>
          </w:p>
        </w:tc>
      </w:tr>
      <w:tr w:rsidR="009C34EE" w14:paraId="32CD8ACA" w14:textId="77777777">
        <w:tc>
          <w:tcPr>
            <w:tcW w:w="0" w:type="auto"/>
          </w:tcPr>
          <w:p w:rsidR="009C34EE" w:rsidRDefault="009B1497" w14:paraId="3679FA17" w14:textId="77777777">
            <w:pPr>
              <w:pStyle w:val="Compact"/>
            </w:pPr>
            <w:r>
              <w:t>K60</w:t>
            </w:r>
          </w:p>
        </w:tc>
        <w:tc>
          <w:tcPr>
            <w:tcW w:w="0" w:type="auto"/>
          </w:tcPr>
          <w:p w:rsidR="009C34EE" w:rsidRDefault="009B1497" w14:paraId="007C120F" w14:textId="77777777">
            <w:pPr>
              <w:pStyle w:val="Compact"/>
              <w:jc w:val="right"/>
            </w:pPr>
            <w:r>
              <w:t>1,200 tonnes</w:t>
            </w:r>
          </w:p>
        </w:tc>
      </w:tr>
      <w:tr w:rsidR="009C34EE" w14:paraId="550005E3" w14:textId="77777777">
        <w:tc>
          <w:tcPr>
            <w:tcW w:w="0" w:type="auto"/>
          </w:tcPr>
          <w:p w:rsidR="009C34EE" w:rsidRDefault="009B1497" w14:paraId="125229D9" w14:textId="77777777">
            <w:pPr>
              <w:pStyle w:val="Compact"/>
            </w:pPr>
            <w:r>
              <w:t>K66</w:t>
            </w:r>
          </w:p>
        </w:tc>
        <w:tc>
          <w:tcPr>
            <w:tcW w:w="0" w:type="auto"/>
          </w:tcPr>
          <w:p w:rsidR="009C34EE" w:rsidRDefault="009B1497" w14:paraId="751C2D3A" w14:textId="77777777">
            <w:pPr>
              <w:pStyle w:val="Compact"/>
              <w:jc w:val="right"/>
            </w:pPr>
            <w:r>
              <w:t>240 tonnes</w:t>
            </w:r>
          </w:p>
        </w:tc>
      </w:tr>
      <w:tr w:rsidR="009C34EE" w14:paraId="6B5F6A17" w14:textId="77777777">
        <w:tc>
          <w:tcPr>
            <w:tcW w:w="0" w:type="auto"/>
          </w:tcPr>
          <w:p w:rsidR="009C34EE" w:rsidRDefault="009B1497" w14:paraId="7CEEC8C7" w14:textId="77777777">
            <w:pPr>
              <w:pStyle w:val="Compact"/>
            </w:pPr>
            <w:r>
              <w:t>K70</w:t>
            </w:r>
          </w:p>
        </w:tc>
        <w:tc>
          <w:tcPr>
            <w:tcW w:w="0" w:type="auto"/>
          </w:tcPr>
          <w:p w:rsidR="009C34EE" w:rsidRDefault="009B1497" w14:paraId="6F996909" w14:textId="77777777">
            <w:pPr>
              <w:pStyle w:val="Compact"/>
              <w:jc w:val="right"/>
            </w:pPr>
            <w:r>
              <w:t>240 tonnes</w:t>
            </w:r>
          </w:p>
        </w:tc>
      </w:tr>
      <w:tr w:rsidR="009C34EE" w14:paraId="60C84E92" w14:textId="77777777">
        <w:tc>
          <w:tcPr>
            <w:tcW w:w="0" w:type="auto"/>
          </w:tcPr>
          <w:p w:rsidR="009C34EE" w:rsidRDefault="009B1497" w14:paraId="4675DCE1" w14:textId="77777777">
            <w:pPr>
              <w:pStyle w:val="Compact"/>
            </w:pPr>
            <w:r>
              <w:rPr>
                <w:b/>
                <w:bCs/>
              </w:rPr>
              <w:t>Total</w:t>
            </w:r>
          </w:p>
        </w:tc>
        <w:tc>
          <w:tcPr>
            <w:tcW w:w="0" w:type="auto"/>
          </w:tcPr>
          <w:p w:rsidR="009C34EE" w:rsidRDefault="009B1497" w14:paraId="32A78C90" w14:textId="77777777">
            <w:pPr>
              <w:pStyle w:val="Compact"/>
              <w:jc w:val="right"/>
            </w:pPr>
            <w:r>
              <w:rPr>
                <w:b/>
                <w:bCs/>
              </w:rPr>
              <w:t>4,080 tonnes</w:t>
            </w:r>
          </w:p>
        </w:tc>
      </w:tr>
    </w:tbl>
    <w:p w:rsidR="009C34EE" w:rsidRDefault="009B1497" w14:paraId="7F7B2435" w14:textId="77777777">
      <w:pPr>
        <w:pStyle w:val="BodyText"/>
      </w:pPr>
      <w:r>
        <w:t>Eagley supports the principle that genuine dumping which causes material injury may require a trade remedy. However, we are concerned that a broad anti-dumping duty on Chinese S-PVC could significantly damage UK downstream manufacturers without properly addressing the underlying causes of the European PVC industry’s competitive position.</w:t>
      </w:r>
    </w:p>
    <w:p w:rsidR="009C34EE" w:rsidRDefault="009B1497" w14:paraId="3228F80C" w14:textId="77777777">
      <w:pPr>
        <w:pStyle w:val="BodyText"/>
      </w:pPr>
      <w:r>
        <w:t>We therefore ask the TRA to consider carefully:</w:t>
      </w:r>
    </w:p>
    <w:p w:rsidR="009C34EE" w:rsidRDefault="009B1497" w14:paraId="68C0A253" w14:textId="77777777">
      <w:pPr>
        <w:pStyle w:val="Compact"/>
        <w:numPr>
          <w:ilvl w:val="0"/>
          <w:numId w:val="2"/>
        </w:numPr>
      </w:pPr>
      <w:r>
        <w:t>whether dumping by Tianjin Dagu is actually established;</w:t>
      </w:r>
    </w:p>
    <w:p w:rsidR="009C34EE" w:rsidRDefault="009B1497" w14:paraId="41202C4F" w14:textId="77777777">
      <w:pPr>
        <w:pStyle w:val="Compact"/>
        <w:numPr>
          <w:ilvl w:val="0"/>
          <w:numId w:val="2"/>
        </w:numPr>
      </w:pPr>
      <w:r>
        <w:t>whether the alleged injury has been caused by dumped imports rather than other factors;</w:t>
      </w:r>
    </w:p>
    <w:p w:rsidR="009C34EE" w:rsidRDefault="009B1497" w14:paraId="0A50AA98" w14:textId="77777777">
      <w:pPr>
        <w:pStyle w:val="Compact"/>
        <w:numPr>
          <w:ilvl w:val="0"/>
          <w:numId w:val="2"/>
        </w:numPr>
      </w:pPr>
      <w:r>
        <w:t>the role of European energy and production costs;</w:t>
      </w:r>
    </w:p>
    <w:p w:rsidR="009C34EE" w:rsidRDefault="009B1497" w14:paraId="53AD3F2B" w14:textId="77777777">
      <w:pPr>
        <w:pStyle w:val="Compact"/>
        <w:numPr>
          <w:ilvl w:val="0"/>
          <w:numId w:val="2"/>
        </w:numPr>
      </w:pPr>
      <w:r>
        <w:t>whether 2022 is an appropriate benchmark for assessing injury;</w:t>
      </w:r>
    </w:p>
    <w:p w:rsidR="009C34EE" w:rsidRDefault="009B1497" w14:paraId="385D2612" w14:textId="77777777">
      <w:pPr>
        <w:pStyle w:val="Compact"/>
        <w:numPr>
          <w:ilvl w:val="0"/>
          <w:numId w:val="2"/>
        </w:numPr>
      </w:pPr>
      <w:r>
        <w:t>the Applicant’s own evidence concerning price undercutting;</w:t>
      </w:r>
    </w:p>
    <w:p w:rsidR="009C34EE" w:rsidRDefault="009B1497" w14:paraId="688A4505" w14:textId="77777777">
      <w:pPr>
        <w:pStyle w:val="Compact"/>
        <w:numPr>
          <w:ilvl w:val="0"/>
          <w:numId w:val="2"/>
        </w:numPr>
      </w:pPr>
      <w:r>
        <w:t>the impact on UK compounders and converters; and</w:t>
      </w:r>
    </w:p>
    <w:p w:rsidR="009C34EE" w:rsidRDefault="009B1497" w14:paraId="1B86D1C5" w14:textId="77777777">
      <w:pPr>
        <w:pStyle w:val="Compact"/>
        <w:numPr>
          <w:ilvl w:val="0"/>
          <w:numId w:val="2"/>
        </w:numPr>
      </w:pPr>
      <w:r>
        <w:t>whether a more targeted remedy would be appropriate if intervention is ultimately justified.</w:t>
      </w:r>
    </w:p>
    <w:p w:rsidR="009C34EE" w:rsidRDefault="009B1497" w14:paraId="1E2A3D33" w14:textId="77777777">
      <w:r>
        <w:pict w14:anchorId="44193177">
          <v:rect id="_x0000_i1025" style="width:0;height:1.5pt" o:hr="t" o:hrstd="t" o:hralign="center"/>
        </w:pict>
      </w:r>
    </w:p>
    <w:p w:rsidR="009C34EE" w:rsidRDefault="009B1497" w14:paraId="557A7DB5" w14:textId="77777777">
      <w:pPr>
        <w:pStyle w:val="Heading2"/>
      </w:pPr>
      <w:bookmarkStart w:name="impact-on-eagley-plastics" w:id="3"/>
      <w:bookmarkEnd w:id="1"/>
      <w:bookmarkEnd w:id="2"/>
      <w:r>
        <w:lastRenderedPageBreak/>
        <w:t>2. Impact on Eagley Plastics</w:t>
      </w:r>
    </w:p>
    <w:p w:rsidRPr="008C100F" w:rsidR="008C100F" w:rsidP="008C100F" w:rsidRDefault="008C100F" w14:paraId="2DBCC563" w14:textId="3628A008">
      <w:pPr>
        <w:rPr>
          <w:lang w:val="en-GB"/>
        </w:rPr>
      </w:pPr>
      <w:r w:rsidRPr="008C100F">
        <w:rPr>
          <w:lang w:val="en-GB"/>
        </w:rPr>
        <w:t xml:space="preserve">Any </w:t>
      </w:r>
      <w:r w:rsidRPr="008C100F">
        <w:rPr>
          <w:b/>
          <w:bCs/>
          <w:lang w:val="en-GB"/>
        </w:rPr>
        <w:t>producer-specific Anti-Dumping Duty (ADD)</w:t>
      </w:r>
      <w:r w:rsidRPr="008C100F">
        <w:rPr>
          <w:lang w:val="en-GB"/>
        </w:rPr>
        <w:t xml:space="preserve"> imposed on PVC resin, particularly at the levels applied to</w:t>
      </w:r>
      <w:r>
        <w:rPr>
          <w:lang w:val="en-GB"/>
        </w:rPr>
        <w:t xml:space="preserve"> </w:t>
      </w:r>
      <w:r w:rsidRPr="008C100F">
        <w:rPr>
          <w:lang w:val="en-GB"/>
        </w:rPr>
        <w:t xml:space="preserve">US producers, would have a direct and material impact on Eagley Plastics’ </w:t>
      </w:r>
      <w:r>
        <w:rPr>
          <w:lang w:val="en-GB"/>
        </w:rPr>
        <w:t xml:space="preserve">and all similar UK SMEs </w:t>
      </w:r>
      <w:r w:rsidRPr="008C100F">
        <w:rPr>
          <w:lang w:val="en-GB"/>
        </w:rPr>
        <w:t>ability to remain economically competitive.</w:t>
      </w:r>
    </w:p>
    <w:p w:rsidRPr="008C100F" w:rsidR="008C100F" w:rsidP="008C100F" w:rsidRDefault="008C100F" w14:paraId="3DED2EE5" w14:textId="77777777">
      <w:pPr>
        <w:rPr>
          <w:lang w:val="en-GB"/>
        </w:rPr>
      </w:pPr>
      <w:r w:rsidRPr="008C100F">
        <w:rPr>
          <w:lang w:val="en-GB"/>
        </w:rPr>
        <w:t>Eagley cannot simply assume that the additional cost created by an ADD could be passed on to customers. We compete directly with overseas compounders and manufacturers who would continue to purchase Chinese resin outside the UK without being subject to the same UK import duty, before exporting PVC compound or finished PVC products into Britain.</w:t>
      </w:r>
    </w:p>
    <w:p w:rsidRPr="008C100F" w:rsidR="008C100F" w:rsidP="008C100F" w:rsidRDefault="008C100F" w14:paraId="4F2CEF6B" w14:textId="77777777">
      <w:pPr>
        <w:rPr>
          <w:lang w:val="en-GB"/>
        </w:rPr>
      </w:pPr>
      <w:r w:rsidRPr="008C100F">
        <w:rPr>
          <w:lang w:val="en-GB"/>
        </w:rPr>
        <w:t>A producer-specific ADD on the raw material therefore risks placing UK manufacturers such as Eagley at a significant cost disadvantage, potentially making UK-manufactured PVC compound economically uncompetitive against imported compound and finished PVC products.</w:t>
      </w:r>
    </w:p>
    <w:p w:rsidR="009C34EE" w:rsidRDefault="009B1497" w14:paraId="1D6807A7" w14:textId="77777777">
      <w:r>
        <w:pict w14:anchorId="158B82AB">
          <v:rect id="_x0000_i1026" style="width:0;height:1.5pt" o:hr="t" o:hrstd="t" o:hralign="center"/>
        </w:pict>
      </w:r>
    </w:p>
    <w:p w:rsidR="009C34EE" w:rsidRDefault="009B1497" w14:paraId="3AFA6391" w14:textId="77777777">
      <w:pPr>
        <w:pStyle w:val="Heading2"/>
      </w:pPr>
      <w:bookmarkStart w:name="low-price-is-not-necessarily-dumping" w:id="4"/>
      <w:bookmarkEnd w:id="3"/>
      <w:r>
        <w:t>3. Low price is not necessarily dumping</w:t>
      </w:r>
    </w:p>
    <w:p w:rsidR="009C34EE" w:rsidRDefault="009B1497" w14:paraId="32CA799C" w14:textId="77777777">
      <w:pPr>
        <w:pStyle w:val="FirstParagraph"/>
      </w:pPr>
      <w:r>
        <w:t>The investigation should distinguish between a genuinely dumped export price and a legitimate international production-cost advantage.</w:t>
      </w:r>
    </w:p>
    <w:p w:rsidR="009C34EE" w:rsidRDefault="009B1497" w14:paraId="1CA81789" w14:textId="77777777">
      <w:pPr>
        <w:pStyle w:val="BodyText"/>
      </w:pPr>
      <w:r>
        <w:t>Chinese PVC producers may have different:</w:t>
      </w:r>
    </w:p>
    <w:p w:rsidR="009C34EE" w:rsidRDefault="009B1497" w14:paraId="779BAFA5" w14:textId="77777777">
      <w:pPr>
        <w:pStyle w:val="Compact"/>
        <w:numPr>
          <w:ilvl w:val="0"/>
          <w:numId w:val="3"/>
        </w:numPr>
      </w:pPr>
      <w:r>
        <w:t>energy costs;</w:t>
      </w:r>
    </w:p>
    <w:p w:rsidR="009C34EE" w:rsidRDefault="009B1497" w14:paraId="2AAE34B8" w14:textId="77777777">
      <w:pPr>
        <w:pStyle w:val="Compact"/>
        <w:numPr>
          <w:ilvl w:val="0"/>
          <w:numId w:val="3"/>
        </w:numPr>
      </w:pPr>
      <w:r>
        <w:t>feedstock costs;</w:t>
      </w:r>
    </w:p>
    <w:p w:rsidR="009C34EE" w:rsidRDefault="009B1497" w14:paraId="78294058" w14:textId="77777777">
      <w:pPr>
        <w:pStyle w:val="Compact"/>
        <w:numPr>
          <w:ilvl w:val="0"/>
          <w:numId w:val="3"/>
        </w:numPr>
      </w:pPr>
      <w:r>
        <w:t>plant scale;</w:t>
      </w:r>
    </w:p>
    <w:p w:rsidR="009C34EE" w:rsidRDefault="009B1497" w14:paraId="61967770" w14:textId="77777777">
      <w:pPr>
        <w:pStyle w:val="Compact"/>
        <w:numPr>
          <w:ilvl w:val="0"/>
          <w:numId w:val="3"/>
        </w:numPr>
      </w:pPr>
      <w:r>
        <w:t>utilisation;</w:t>
      </w:r>
    </w:p>
    <w:p w:rsidR="009C34EE" w:rsidRDefault="009B1497" w14:paraId="6470ED1C" w14:textId="77777777">
      <w:pPr>
        <w:pStyle w:val="Compact"/>
        <w:numPr>
          <w:ilvl w:val="0"/>
          <w:numId w:val="3"/>
        </w:numPr>
      </w:pPr>
      <w:r>
        <w:t>technology;</w:t>
      </w:r>
    </w:p>
    <w:p w:rsidR="009C34EE" w:rsidRDefault="009B1497" w14:paraId="5B453AD0" w14:textId="77777777">
      <w:pPr>
        <w:pStyle w:val="Compact"/>
        <w:numPr>
          <w:ilvl w:val="0"/>
          <w:numId w:val="3"/>
        </w:numPr>
      </w:pPr>
      <w:r>
        <w:t>labour costs; and</w:t>
      </w:r>
    </w:p>
    <w:p w:rsidR="009C34EE" w:rsidRDefault="009B1497" w14:paraId="09EE3022" w14:textId="77777777">
      <w:pPr>
        <w:pStyle w:val="Compact"/>
        <w:numPr>
          <w:ilvl w:val="0"/>
          <w:numId w:val="3"/>
        </w:numPr>
      </w:pPr>
      <w:r>
        <w:t>integration.</w:t>
      </w:r>
    </w:p>
    <w:p w:rsidR="009C34EE" w:rsidRDefault="009B1497" w14:paraId="11B9316A" w14:textId="77777777">
      <w:pPr>
        <w:pStyle w:val="FirstParagraph"/>
      </w:pPr>
      <w:r>
        <w:t>A lower selling price than INOVYN’s does not by itself establish dumping.</w:t>
      </w:r>
    </w:p>
    <w:p w:rsidR="009C34EE" w:rsidRDefault="009B1497" w14:paraId="08A977AB" w14:textId="77777777">
      <w:pPr>
        <w:pStyle w:val="BodyText"/>
      </w:pPr>
      <w:r>
        <w:t xml:space="preserve">Eagley therefore asks the TRA to obtain producer-specific information for </w:t>
      </w:r>
      <w:r>
        <w:rPr>
          <w:b/>
          <w:bCs/>
        </w:rPr>
        <w:t>Tianjin Dagu Chemical Co., Ltd.</w:t>
      </w:r>
      <w:r>
        <w:t xml:space="preserve"> and establish its actual dumping position wherever sufficient verified information is available.</w:t>
      </w:r>
    </w:p>
    <w:p w:rsidR="009C34EE" w:rsidRDefault="009B1497" w14:paraId="68608B86" w14:textId="77777777">
      <w:pPr>
        <w:pStyle w:val="BodyText"/>
      </w:pPr>
      <w:r>
        <w:t>Where Tianjin Dagu is not dumping, or its verified dumping margin is lower than a general Chinese residual rate, it should receive appropriate producer-specific treatment.</w:t>
      </w:r>
    </w:p>
    <w:p w:rsidR="009C34EE" w:rsidRDefault="009B1497" w14:paraId="5AD57A8E" w14:textId="77777777">
      <w:r>
        <w:pict w14:anchorId="242084D5">
          <v:rect id="_x0000_i1027" style="width:0;height:1.5pt" o:hr="t" o:hrstd="t" o:hralign="center"/>
        </w:pict>
      </w:r>
    </w:p>
    <w:p w:rsidR="009C34EE" w:rsidRDefault="009B1497" w14:paraId="4ACB827C" w14:textId="77777777">
      <w:pPr>
        <w:pStyle w:val="Heading2"/>
      </w:pPr>
      <w:bookmarkStart w:name="Xc97e0ca6dec0208106d2a416d8167519b4e1eeb" w:id="5"/>
      <w:bookmarkEnd w:id="4"/>
      <w:r>
        <w:lastRenderedPageBreak/>
        <w:t>4. INOVYN’s own undercutting evidence requires close examination</w:t>
      </w:r>
    </w:p>
    <w:p w:rsidR="009C34EE" w:rsidRDefault="009B1497" w14:paraId="7C59B446" w14:textId="77777777">
      <w:pPr>
        <w:pStyle w:val="FirstParagraph"/>
      </w:pPr>
      <w:r>
        <w:t>A particularly important issue appears in the Applicant’s Appendix 10.</w:t>
      </w:r>
    </w:p>
    <w:p w:rsidR="009C34EE" w:rsidRDefault="009B1497" w14:paraId="1865CA7B" w14:textId="77777777">
      <w:pPr>
        <w:pStyle w:val="BodyText"/>
      </w:pPr>
      <w:r>
        <w:t>For the complete December 2024-November 2025 period of investigation, INOVYN reports a Chinese UK CIF import price of approximately:</w:t>
      </w:r>
    </w:p>
    <w:p w:rsidR="009C34EE" w:rsidRDefault="009B1497" w14:paraId="14159DA3" w14:textId="77777777">
      <w:pPr>
        <w:pStyle w:val="BodyText"/>
      </w:pPr>
      <w:r>
        <w:rPr>
          <w:b/>
          <w:bCs/>
        </w:rPr>
        <w:t>£868/t</w:t>
      </w:r>
    </w:p>
    <w:p w:rsidR="009C34EE" w:rsidRDefault="009B1497" w14:paraId="1C4D3E99" w14:textId="77777777">
      <w:pPr>
        <w:pStyle w:val="BodyText"/>
      </w:pPr>
      <w:r>
        <w:t>and a landed price after ordinary customs duty of approximately:</w:t>
      </w:r>
    </w:p>
    <w:p w:rsidR="009C34EE" w:rsidRDefault="009B1497" w14:paraId="5A6738E4" w14:textId="77777777">
      <w:pPr>
        <w:pStyle w:val="BodyText"/>
      </w:pPr>
      <w:r>
        <w:rPr>
          <w:b/>
          <w:bCs/>
        </w:rPr>
        <w:t>£920/t</w:t>
      </w:r>
      <w:r>
        <w:t>.</w:t>
      </w:r>
    </w:p>
    <w:p w:rsidR="009C34EE" w:rsidRDefault="009B1497" w14:paraId="44FE5D57" w14:textId="77777777">
      <w:pPr>
        <w:pStyle w:val="BodyText"/>
      </w:pPr>
      <w:r>
        <w:t>Using these figures, INOVYN calculates Chinese price undercutting of approximately:</w:t>
      </w:r>
    </w:p>
    <w:p w:rsidR="009C34EE" w:rsidRDefault="009B1497" w14:paraId="6D4FBCA0" w14:textId="77777777">
      <w:pPr>
        <w:pStyle w:val="BodyText"/>
      </w:pPr>
      <w:r>
        <w:rPr>
          <w:b/>
          <w:bCs/>
        </w:rPr>
        <w:t>-26% to -18%.</w:t>
      </w:r>
    </w:p>
    <w:p w:rsidR="009C34EE" w:rsidRDefault="009B1497" w14:paraId="27044727" w14:textId="77777777">
      <w:pPr>
        <w:pStyle w:val="BodyText"/>
      </w:pPr>
      <w:r>
        <w:t xml:space="preserve">This means that, using the Applicant’s own full-period UK import data, Chinese material was </w:t>
      </w:r>
      <w:r>
        <w:rPr>
          <w:b/>
          <w:bCs/>
        </w:rPr>
        <w:t>not undercutting INOVYN’s UK selling price</w:t>
      </w:r>
      <w:r>
        <w:t>.</w:t>
      </w:r>
    </w:p>
    <w:p w:rsidR="009C34EE" w:rsidRDefault="009B1497" w14:paraId="6A2A74EA" w14:textId="77777777">
      <w:pPr>
        <w:pStyle w:val="BodyText"/>
      </w:pPr>
      <w:r>
        <w:t>The Applicant obtains positive undercutting only when using other data, including a lower EU import-price proxy and UK data restricted to September-November 2025.</w:t>
      </w:r>
    </w:p>
    <w:p w:rsidR="009C34EE" w:rsidRDefault="009B1497" w14:paraId="79D4155D" w14:textId="77777777">
      <w:pPr>
        <w:pStyle w:val="BodyText"/>
      </w:pPr>
      <w:r>
        <w:t>The TRA should establish why the full-period actual UK price of £868/t differs so substantially from the approximately £627/t UK price used for September-November 2025, and whether that short period is representative of the overall market.</w:t>
      </w:r>
    </w:p>
    <w:p w:rsidR="009C34EE" w:rsidRDefault="009B1497" w14:paraId="58448140" w14:textId="77777777">
      <w:pPr>
        <w:pStyle w:val="BodyText"/>
      </w:pPr>
      <w:r>
        <w:t>If the Applicant’s full-period UK data show negative undercutting, this should be given significant weight when determining whether Chinese imports caused the alleged price injury.</w:t>
      </w:r>
    </w:p>
    <w:p w:rsidR="009C34EE" w:rsidRDefault="009B1497" w14:paraId="571F66D0" w14:textId="77777777">
      <w:r>
        <w:pict w14:anchorId="0E94A763">
          <v:rect id="_x0000_i1028" style="width:0;height:1.5pt" o:hr="t" o:hrstd="t" o:hralign="center"/>
        </w:pict>
      </w:r>
    </w:p>
    <w:p w:rsidR="009C34EE" w:rsidRDefault="009B1497" w14:paraId="6AB82F59" w14:textId="77777777">
      <w:pPr>
        <w:pStyle w:val="Heading2"/>
      </w:pPr>
      <w:bookmarkStart w:name="X22ae68dba629443f96d8aea52d93edcf552254b" w:id="6"/>
      <w:bookmarkEnd w:id="5"/>
      <w:r>
        <w:t>5. Injury must be separated from other causes</w:t>
      </w:r>
    </w:p>
    <w:p w:rsidR="009C34EE" w:rsidRDefault="009B1497" w14:paraId="36FD57DA" w14:textId="77777777">
      <w:pPr>
        <w:pStyle w:val="FirstParagraph"/>
      </w:pPr>
      <w:r>
        <w:t>Eagley does not dispute that INOVYN has experienced difficult trading conditions.</w:t>
      </w:r>
    </w:p>
    <w:p w:rsidR="009C34EE" w:rsidRDefault="009B1497" w14:paraId="30201CF7" w14:textId="77777777">
      <w:pPr>
        <w:pStyle w:val="BodyText"/>
      </w:pPr>
      <w:r>
        <w:t>However, injury does not automatically demonstrate that dumped imports caused that injury.</w:t>
      </w:r>
    </w:p>
    <w:p w:rsidR="009C34EE" w:rsidRDefault="009B1497" w14:paraId="5B03F03E" w14:textId="77777777">
      <w:pPr>
        <w:pStyle w:val="BodyText"/>
      </w:pPr>
      <w:r>
        <w:t>INOVYN itself describes PVC production as capital intensive and energy intensive and states that low utilisation sharply increases unit production costs.</w:t>
      </w:r>
    </w:p>
    <w:p w:rsidR="009C34EE" w:rsidRDefault="009B1497" w14:paraId="4124636C" w14:textId="77777777">
      <w:pPr>
        <w:pStyle w:val="BodyText"/>
      </w:pPr>
      <w:r>
        <w:t>The Applicant states that sustainable PVC plant utilisation is typically around 80–90% and that utilisation below 50% can make a plant structurally loss-making.</w:t>
      </w:r>
    </w:p>
    <w:p w:rsidR="009C34EE" w:rsidRDefault="009B1497" w14:paraId="2C070B77" w14:textId="77777777">
      <w:pPr>
        <w:pStyle w:val="BodyText"/>
      </w:pPr>
      <w:r>
        <w:t>The TRA therefore needs to establish why utilisation fell and how much of the resulting deterioration was caused by:</w:t>
      </w:r>
    </w:p>
    <w:p w:rsidR="009C34EE" w:rsidRDefault="009B1497" w14:paraId="254F96EB" w14:textId="77777777">
      <w:pPr>
        <w:pStyle w:val="Compact"/>
        <w:numPr>
          <w:ilvl w:val="0"/>
          <w:numId w:val="4"/>
        </w:numPr>
      </w:pPr>
      <w:r>
        <w:t>weak UK and European PVC demand;</w:t>
      </w:r>
    </w:p>
    <w:p w:rsidR="009C34EE" w:rsidRDefault="009B1497" w14:paraId="795D822B" w14:textId="77777777">
      <w:pPr>
        <w:pStyle w:val="Compact"/>
        <w:numPr>
          <w:ilvl w:val="0"/>
          <w:numId w:val="4"/>
        </w:numPr>
      </w:pPr>
      <w:r>
        <w:lastRenderedPageBreak/>
        <w:t>construction-market weakness;</w:t>
      </w:r>
    </w:p>
    <w:p w:rsidR="009C34EE" w:rsidRDefault="009B1497" w14:paraId="1357B2CB" w14:textId="77777777">
      <w:pPr>
        <w:pStyle w:val="Compact"/>
        <w:numPr>
          <w:ilvl w:val="0"/>
          <w:numId w:val="4"/>
        </w:numPr>
      </w:pPr>
      <w:r>
        <w:t>high energy costs;</w:t>
      </w:r>
    </w:p>
    <w:p w:rsidR="009C34EE" w:rsidRDefault="009B1497" w14:paraId="2672E34C" w14:textId="77777777">
      <w:pPr>
        <w:pStyle w:val="Compact"/>
        <w:numPr>
          <w:ilvl w:val="0"/>
          <w:numId w:val="4"/>
        </w:numPr>
      </w:pPr>
      <w:r>
        <w:t>falling plant utilisation;</w:t>
      </w:r>
    </w:p>
    <w:p w:rsidR="009C34EE" w:rsidRDefault="009B1497" w14:paraId="2086B460" w14:textId="77777777">
      <w:pPr>
        <w:pStyle w:val="Compact"/>
        <w:numPr>
          <w:ilvl w:val="0"/>
          <w:numId w:val="4"/>
        </w:numPr>
      </w:pPr>
      <w:r>
        <w:t>fixed-cost absorption;</w:t>
      </w:r>
    </w:p>
    <w:p w:rsidR="009C34EE" w:rsidRDefault="009B1497" w14:paraId="6AC29194" w14:textId="77777777">
      <w:pPr>
        <w:pStyle w:val="Compact"/>
        <w:numPr>
          <w:ilvl w:val="0"/>
          <w:numId w:val="4"/>
        </w:numPr>
      </w:pPr>
      <w:r>
        <w:t>European overcapacity;</w:t>
      </w:r>
    </w:p>
    <w:p w:rsidR="009C34EE" w:rsidRDefault="009B1497" w14:paraId="4557B847" w14:textId="77777777">
      <w:pPr>
        <w:pStyle w:val="Compact"/>
        <w:numPr>
          <w:ilvl w:val="0"/>
          <w:numId w:val="4"/>
        </w:numPr>
      </w:pPr>
      <w:r>
        <w:t>feedstock economics; and</w:t>
      </w:r>
    </w:p>
    <w:p w:rsidR="009C34EE" w:rsidRDefault="009B1497" w14:paraId="514549A5" w14:textId="77777777">
      <w:pPr>
        <w:pStyle w:val="Compact"/>
        <w:numPr>
          <w:ilvl w:val="0"/>
          <w:numId w:val="4"/>
        </w:numPr>
      </w:pPr>
      <w:r>
        <w:t>imports.</w:t>
      </w:r>
    </w:p>
    <w:p w:rsidR="009C34EE" w:rsidRDefault="009B1497" w14:paraId="6A270E37" w14:textId="77777777">
      <w:pPr>
        <w:pStyle w:val="FirstParagraph"/>
      </w:pPr>
      <w:r>
        <w:t>The investigation should avoid attributing structural production-cost problems to dumped imports.</w:t>
      </w:r>
    </w:p>
    <w:p w:rsidR="009C34EE" w:rsidRDefault="009B1497" w14:paraId="7759348F" w14:textId="77777777">
      <w:r>
        <w:pict w14:anchorId="77E649CB">
          <v:rect id="_x0000_i1029" style="width:0;height:1.5pt" o:hr="t" o:hrstd="t" o:hralign="center"/>
        </w:pict>
      </w:r>
    </w:p>
    <w:p w:rsidR="009C34EE" w:rsidRDefault="009B1497" w14:paraId="34425753" w14:textId="77777777">
      <w:pPr>
        <w:pStyle w:val="Heading2"/>
      </w:pPr>
      <w:bookmarkStart w:name="Xf15d5b3d0fdd7b9b79bb628b7a94b5e2cf05953" w:id="7"/>
      <w:bookmarkEnd w:id="6"/>
      <w:r>
        <w:t>6. European energy costs are a material alternative factor</w:t>
      </w:r>
    </w:p>
    <w:p w:rsidR="009C34EE" w:rsidRDefault="009B1497" w14:paraId="701CCAEA" w14:textId="77777777">
      <w:pPr>
        <w:pStyle w:val="FirstParagraph"/>
      </w:pPr>
      <w:r>
        <w:t>The Applicant itself acknowledges the energy-intensive nature of PVC production.</w:t>
      </w:r>
    </w:p>
    <w:p w:rsidR="009C34EE" w:rsidRDefault="009B1497" w14:paraId="1BA162F4" w14:textId="77777777">
      <w:pPr>
        <w:pStyle w:val="BodyText"/>
      </w:pPr>
      <w:r>
        <w:t xml:space="preserve">Independent UK evidence confirms the scale of the industrial electricity-cost disadvantage. The ONS reported that in 2023 electricity prices for UK industrial users were </w:t>
      </w:r>
      <w:r>
        <w:rPr>
          <w:b/>
          <w:bCs/>
        </w:rPr>
        <w:t>46% above the IEA median</w:t>
      </w:r>
      <w:r>
        <w:t>, almost 50% above France and Germany and around four times those in the United States and Canada.</w:t>
      </w:r>
    </w:p>
    <w:p w:rsidR="009C34EE" w:rsidRDefault="009B1497" w14:paraId="195DEC81" w14:textId="77777777">
      <w:pPr>
        <w:pStyle w:val="BodyText"/>
      </w:pPr>
      <w:r>
        <w:t>The TRA should therefore determine the extent to which INOVYN’s competitive position has been affected by:</w:t>
      </w:r>
    </w:p>
    <w:p w:rsidR="009C34EE" w:rsidRDefault="009B1497" w14:paraId="4346DDBD" w14:textId="77777777">
      <w:pPr>
        <w:pStyle w:val="Compact"/>
        <w:numPr>
          <w:ilvl w:val="0"/>
          <w:numId w:val="5"/>
        </w:numPr>
      </w:pPr>
      <w:r>
        <w:t>electricity prices;</w:t>
      </w:r>
    </w:p>
    <w:p w:rsidR="009C34EE" w:rsidRDefault="009B1497" w14:paraId="10B58370" w14:textId="77777777">
      <w:pPr>
        <w:pStyle w:val="Compact"/>
        <w:numPr>
          <w:ilvl w:val="0"/>
          <w:numId w:val="5"/>
        </w:numPr>
      </w:pPr>
      <w:r>
        <w:t>energy consumption;</w:t>
      </w:r>
    </w:p>
    <w:p w:rsidR="009C34EE" w:rsidRDefault="009B1497" w14:paraId="1E80291F" w14:textId="77777777">
      <w:pPr>
        <w:pStyle w:val="Compact"/>
        <w:numPr>
          <w:ilvl w:val="0"/>
          <w:numId w:val="5"/>
        </w:numPr>
      </w:pPr>
      <w:r>
        <w:t>VCM and other feedstock costs;</w:t>
      </w:r>
    </w:p>
    <w:p w:rsidR="009C34EE" w:rsidRDefault="009B1497" w14:paraId="35B63E0A" w14:textId="77777777">
      <w:pPr>
        <w:pStyle w:val="Compact"/>
        <w:numPr>
          <w:ilvl w:val="0"/>
          <w:numId w:val="5"/>
        </w:numPr>
      </w:pPr>
      <w:r>
        <w:t>plant utilisation;</w:t>
      </w:r>
    </w:p>
    <w:p w:rsidR="009C34EE" w:rsidRDefault="009B1497" w14:paraId="2B76CCD1" w14:textId="77777777">
      <w:pPr>
        <w:pStyle w:val="Compact"/>
        <w:numPr>
          <w:ilvl w:val="0"/>
          <w:numId w:val="5"/>
        </w:numPr>
      </w:pPr>
      <w:r>
        <w:t>fixed costs; and</w:t>
      </w:r>
    </w:p>
    <w:p w:rsidR="009C34EE" w:rsidRDefault="009B1497" w14:paraId="079C36D6" w14:textId="77777777">
      <w:pPr>
        <w:pStyle w:val="Compact"/>
        <w:numPr>
          <w:ilvl w:val="0"/>
          <w:numId w:val="5"/>
        </w:numPr>
      </w:pPr>
      <w:r>
        <w:t>conversion cost per tonne.</w:t>
      </w:r>
    </w:p>
    <w:p w:rsidR="009C34EE" w:rsidRDefault="009B1497" w14:paraId="0EF0591B" w14:textId="77777777">
      <w:pPr>
        <w:pStyle w:val="FirstParagraph"/>
      </w:pPr>
      <w:r>
        <w:t>A difference between European and Chinese PVC prices which results from legitimate differences in manufacturing cost should not be treated as dumping injury.</w:t>
      </w:r>
    </w:p>
    <w:p w:rsidR="009C34EE" w:rsidRDefault="009B1497" w14:paraId="35971E7A" w14:textId="77777777">
      <w:r>
        <w:pict w14:anchorId="58A9DFDD">
          <v:rect id="_x0000_i1030" style="width:0;height:1.5pt" o:hr="t" o:hrstd="t" o:hralign="center"/>
        </w:pict>
      </w:r>
    </w:p>
    <w:p w:rsidR="009C34EE" w:rsidRDefault="009B1497" w14:paraId="0178F49B" w14:textId="77777777">
      <w:pPr>
        <w:pStyle w:val="Heading2"/>
      </w:pPr>
      <w:bookmarkStart w:name="X2f4a776c5e8bfe6f308b9b6490def80dee2d08f" w:id="8"/>
      <w:bookmarkEnd w:id="7"/>
      <w:r>
        <w:t>7. INOVYN historical EBITDA and the exceptional 2022 benchmark</w:t>
      </w:r>
    </w:p>
    <w:p w:rsidR="009C34EE" w:rsidRDefault="009B1497" w14:paraId="184CA053" w14:textId="77777777">
      <w:pPr>
        <w:pStyle w:val="FirstParagraph"/>
      </w:pPr>
      <w:r>
        <w:t xml:space="preserve">The Applicant’s injury case should also be considered against the longer-term financial performance of </w:t>
      </w:r>
      <w:r>
        <w:rPr>
          <w:b/>
          <w:bCs/>
        </w:rPr>
        <w:t>INOVYN ChlorVinyls Limited</w:t>
      </w:r>
      <w:r>
        <w:t>.</w:t>
      </w:r>
    </w:p>
    <w:p w:rsidR="009C34EE" w:rsidRDefault="009B1497" w14:paraId="4EAF449A" w14:textId="77777777">
      <w:pPr>
        <w:pStyle w:val="BodyText"/>
      </w:pPr>
      <w:r>
        <w:t xml:space="preserve">The published company-level EBITDA figures show that </w:t>
      </w:r>
      <w:r>
        <w:rPr>
          <w:b/>
          <w:bCs/>
        </w:rPr>
        <w:t>2022 was an exceptional peak year</w:t>
      </w:r>
      <w:r>
        <w:t>:</w:t>
      </w:r>
    </w:p>
    <w:tbl>
      <w:tblPr>
        <w:tblStyle w:val="Table"/>
        <w:tblW w:w="0" w:type="auto"/>
        <w:tblLook w:val="0020" w:firstRow="1" w:lastRow="0" w:firstColumn="0" w:lastColumn="0" w:noHBand="0" w:noVBand="0"/>
      </w:tblPr>
      <w:tblGrid>
        <w:gridCol w:w="729"/>
        <w:gridCol w:w="1143"/>
      </w:tblGrid>
      <w:tr w:rsidR="009C34EE" w:rsidTr="009C34EE" w14:paraId="603C5688" w14:textId="77777777">
        <w:trPr>
          <w:cnfStyle w:val="100000000000" w:firstRow="1" w:lastRow="0" w:firstColumn="0" w:lastColumn="0" w:oddVBand="0" w:evenVBand="0" w:oddHBand="0" w:evenHBand="0" w:firstRowFirstColumn="0" w:firstRowLastColumn="0" w:lastRowFirstColumn="0" w:lastRowLastColumn="0"/>
          <w:tblHeader/>
        </w:trPr>
        <w:tc>
          <w:tcPr>
            <w:tcW w:w="0" w:type="auto"/>
          </w:tcPr>
          <w:p w:rsidR="009C34EE" w:rsidRDefault="009B1497" w14:paraId="34E7B2FB" w14:textId="77777777">
            <w:pPr>
              <w:pStyle w:val="Compact"/>
            </w:pPr>
            <w:r>
              <w:lastRenderedPageBreak/>
              <w:t>Year</w:t>
            </w:r>
          </w:p>
        </w:tc>
        <w:tc>
          <w:tcPr>
            <w:tcW w:w="0" w:type="auto"/>
          </w:tcPr>
          <w:p w:rsidR="009C34EE" w:rsidRDefault="009B1497" w14:paraId="37CA200D" w14:textId="77777777">
            <w:pPr>
              <w:pStyle w:val="Compact"/>
              <w:jc w:val="right"/>
            </w:pPr>
            <w:r>
              <w:t>EBITDA</w:t>
            </w:r>
          </w:p>
        </w:tc>
      </w:tr>
      <w:tr w:rsidR="009C34EE" w14:paraId="5D37BECC" w14:textId="77777777">
        <w:tc>
          <w:tcPr>
            <w:tcW w:w="0" w:type="auto"/>
          </w:tcPr>
          <w:p w:rsidR="009C34EE" w:rsidRDefault="009B1497" w14:paraId="05D08803" w14:textId="77777777">
            <w:pPr>
              <w:pStyle w:val="Compact"/>
            </w:pPr>
            <w:r>
              <w:t>2019</w:t>
            </w:r>
          </w:p>
        </w:tc>
        <w:tc>
          <w:tcPr>
            <w:tcW w:w="0" w:type="auto"/>
          </w:tcPr>
          <w:p w:rsidR="009C34EE" w:rsidRDefault="009B1497" w14:paraId="2BFE7E15" w14:textId="77777777">
            <w:pPr>
              <w:pStyle w:val="Compact"/>
              <w:jc w:val="right"/>
            </w:pPr>
            <w:r>
              <w:t>£72.5m</w:t>
            </w:r>
          </w:p>
        </w:tc>
      </w:tr>
      <w:tr w:rsidR="009C34EE" w14:paraId="76E9F4E5" w14:textId="77777777">
        <w:tc>
          <w:tcPr>
            <w:tcW w:w="0" w:type="auto"/>
          </w:tcPr>
          <w:p w:rsidR="009C34EE" w:rsidRDefault="009B1497" w14:paraId="3E9F89C7" w14:textId="77777777">
            <w:pPr>
              <w:pStyle w:val="Compact"/>
            </w:pPr>
            <w:r>
              <w:t>2020</w:t>
            </w:r>
          </w:p>
        </w:tc>
        <w:tc>
          <w:tcPr>
            <w:tcW w:w="0" w:type="auto"/>
          </w:tcPr>
          <w:p w:rsidR="009C34EE" w:rsidRDefault="009B1497" w14:paraId="09755FD4" w14:textId="77777777">
            <w:pPr>
              <w:pStyle w:val="Compact"/>
              <w:jc w:val="right"/>
            </w:pPr>
            <w:r>
              <w:t>£73.2m</w:t>
            </w:r>
          </w:p>
        </w:tc>
      </w:tr>
      <w:tr w:rsidR="009C34EE" w14:paraId="03DDC2F7" w14:textId="77777777">
        <w:tc>
          <w:tcPr>
            <w:tcW w:w="0" w:type="auto"/>
          </w:tcPr>
          <w:p w:rsidR="009C34EE" w:rsidRDefault="009B1497" w14:paraId="0864EDD4" w14:textId="77777777">
            <w:pPr>
              <w:pStyle w:val="Compact"/>
            </w:pPr>
            <w:r>
              <w:t>2021</w:t>
            </w:r>
          </w:p>
        </w:tc>
        <w:tc>
          <w:tcPr>
            <w:tcW w:w="0" w:type="auto"/>
          </w:tcPr>
          <w:p w:rsidR="009C34EE" w:rsidRDefault="009B1497" w14:paraId="2304A294" w14:textId="77777777">
            <w:pPr>
              <w:pStyle w:val="Compact"/>
              <w:jc w:val="right"/>
            </w:pPr>
            <w:r>
              <w:t>£46.1m</w:t>
            </w:r>
          </w:p>
        </w:tc>
      </w:tr>
      <w:tr w:rsidR="009C34EE" w14:paraId="339898B2" w14:textId="77777777">
        <w:tc>
          <w:tcPr>
            <w:tcW w:w="0" w:type="auto"/>
          </w:tcPr>
          <w:p w:rsidR="009C34EE" w:rsidRDefault="009B1497" w14:paraId="6D8D1DDF" w14:textId="77777777">
            <w:pPr>
              <w:pStyle w:val="Compact"/>
            </w:pPr>
            <w:r>
              <w:rPr>
                <w:b/>
                <w:bCs/>
              </w:rPr>
              <w:t>2022</w:t>
            </w:r>
          </w:p>
        </w:tc>
        <w:tc>
          <w:tcPr>
            <w:tcW w:w="0" w:type="auto"/>
          </w:tcPr>
          <w:p w:rsidR="009C34EE" w:rsidRDefault="009B1497" w14:paraId="59BFF14A" w14:textId="77777777">
            <w:pPr>
              <w:pStyle w:val="Compact"/>
              <w:jc w:val="right"/>
            </w:pPr>
            <w:r>
              <w:rPr>
                <w:b/>
                <w:bCs/>
              </w:rPr>
              <w:t>£142.2m</w:t>
            </w:r>
          </w:p>
        </w:tc>
      </w:tr>
      <w:tr w:rsidR="009C34EE" w14:paraId="692C0135" w14:textId="77777777">
        <w:tc>
          <w:tcPr>
            <w:tcW w:w="0" w:type="auto"/>
          </w:tcPr>
          <w:p w:rsidR="009C34EE" w:rsidRDefault="009B1497" w14:paraId="0026C553" w14:textId="77777777">
            <w:pPr>
              <w:pStyle w:val="Compact"/>
            </w:pPr>
            <w:r>
              <w:t>2023</w:t>
            </w:r>
          </w:p>
        </w:tc>
        <w:tc>
          <w:tcPr>
            <w:tcW w:w="0" w:type="auto"/>
          </w:tcPr>
          <w:p w:rsidR="009C34EE" w:rsidRDefault="009B1497" w14:paraId="6A6CC0C4" w14:textId="77777777">
            <w:pPr>
              <w:pStyle w:val="Compact"/>
              <w:jc w:val="right"/>
            </w:pPr>
            <w:r>
              <w:t>£77.3m</w:t>
            </w:r>
          </w:p>
        </w:tc>
      </w:tr>
      <w:tr w:rsidR="009C34EE" w14:paraId="22F841ED" w14:textId="77777777">
        <w:tc>
          <w:tcPr>
            <w:tcW w:w="0" w:type="auto"/>
          </w:tcPr>
          <w:p w:rsidR="009C34EE" w:rsidRDefault="009B1497" w14:paraId="58374CF5" w14:textId="77777777">
            <w:pPr>
              <w:pStyle w:val="Compact"/>
            </w:pPr>
            <w:r>
              <w:t>2024</w:t>
            </w:r>
          </w:p>
        </w:tc>
        <w:tc>
          <w:tcPr>
            <w:tcW w:w="0" w:type="auto"/>
          </w:tcPr>
          <w:p w:rsidR="009C34EE" w:rsidRDefault="009B1497" w14:paraId="5C9032C3" w14:textId="77777777">
            <w:pPr>
              <w:pStyle w:val="Compact"/>
              <w:jc w:val="right"/>
            </w:pPr>
            <w:r>
              <w:t>£26.4m</w:t>
            </w:r>
          </w:p>
        </w:tc>
      </w:tr>
      <w:tr w:rsidR="009C34EE" w14:paraId="06B64932" w14:textId="77777777">
        <w:tc>
          <w:tcPr>
            <w:tcW w:w="0" w:type="auto"/>
          </w:tcPr>
          <w:p w:rsidR="009C34EE" w:rsidRDefault="009B1497" w14:paraId="2905E7D5" w14:textId="77777777">
            <w:pPr>
              <w:pStyle w:val="Compact"/>
            </w:pPr>
            <w:r>
              <w:t>2025</w:t>
            </w:r>
          </w:p>
        </w:tc>
        <w:tc>
          <w:tcPr>
            <w:tcW w:w="0" w:type="auto"/>
          </w:tcPr>
          <w:p w:rsidR="009C34EE" w:rsidRDefault="009B1497" w14:paraId="629B9BD6" w14:textId="77777777">
            <w:pPr>
              <w:pStyle w:val="Compact"/>
              <w:jc w:val="right"/>
            </w:pPr>
            <w:r>
              <w:t>£35.8m</w:t>
            </w:r>
          </w:p>
        </w:tc>
      </w:tr>
    </w:tbl>
    <w:p w:rsidR="009C34EE" w:rsidRDefault="009B1497" w14:paraId="1A22BE96" w14:textId="77777777">
      <w:pPr>
        <w:pStyle w:val="BodyText"/>
      </w:pPr>
      <w:r>
        <w:t>The significance of 2022 is clear.</w:t>
      </w:r>
    </w:p>
    <w:p w:rsidR="009C34EE" w:rsidRDefault="009B1497" w14:paraId="41F6358B" w14:textId="77777777">
      <w:pPr>
        <w:pStyle w:val="BodyText"/>
      </w:pPr>
      <w:r>
        <w:t xml:space="preserve">Its approximately </w:t>
      </w:r>
      <w:r>
        <w:rPr>
          <w:b/>
          <w:bCs/>
        </w:rPr>
        <w:t>£142.2 million EBITDA</w:t>
      </w:r>
      <w:r>
        <w:t xml:space="preserve"> was:</w:t>
      </w:r>
    </w:p>
    <w:p w:rsidR="009C34EE" w:rsidRDefault="009B1497" w14:paraId="1D70E00D" w14:textId="77777777">
      <w:pPr>
        <w:pStyle w:val="Compact"/>
        <w:numPr>
          <w:ilvl w:val="0"/>
          <w:numId w:val="6"/>
        </w:numPr>
      </w:pPr>
      <w:r>
        <w:t xml:space="preserve">around </w:t>
      </w:r>
      <w:r>
        <w:rPr>
          <w:b/>
          <w:bCs/>
        </w:rPr>
        <w:t>96% higher than 2019</w:t>
      </w:r>
      <w:r>
        <w:t>;</w:t>
      </w:r>
    </w:p>
    <w:p w:rsidR="009C34EE" w:rsidRDefault="009B1497" w14:paraId="0E50224D" w14:textId="77777777">
      <w:pPr>
        <w:pStyle w:val="Compact"/>
        <w:numPr>
          <w:ilvl w:val="0"/>
          <w:numId w:val="6"/>
        </w:numPr>
      </w:pPr>
      <w:r>
        <w:t xml:space="preserve">around </w:t>
      </w:r>
      <w:r>
        <w:rPr>
          <w:b/>
          <w:bCs/>
        </w:rPr>
        <w:t>94% higher than 2020</w:t>
      </w:r>
      <w:r>
        <w:t>;</w:t>
      </w:r>
    </w:p>
    <w:p w:rsidR="009C34EE" w:rsidRDefault="009B1497" w14:paraId="334093B4" w14:textId="77777777">
      <w:pPr>
        <w:pStyle w:val="Compact"/>
        <w:numPr>
          <w:ilvl w:val="0"/>
          <w:numId w:val="6"/>
        </w:numPr>
      </w:pPr>
      <w:r>
        <w:t xml:space="preserve">more than </w:t>
      </w:r>
      <w:r>
        <w:rPr>
          <w:b/>
          <w:bCs/>
        </w:rPr>
        <w:t>three times the 2021 result</w:t>
      </w:r>
      <w:r>
        <w:t>; and</w:t>
      </w:r>
    </w:p>
    <w:p w:rsidR="009C34EE" w:rsidRDefault="009B1497" w14:paraId="4F6F2EEA" w14:textId="77777777">
      <w:pPr>
        <w:pStyle w:val="Compact"/>
        <w:numPr>
          <w:ilvl w:val="0"/>
          <w:numId w:val="6"/>
        </w:numPr>
      </w:pPr>
      <w:r>
        <w:t xml:space="preserve">around </w:t>
      </w:r>
      <w:r>
        <w:rPr>
          <w:b/>
          <w:bCs/>
        </w:rPr>
        <w:t>84% higher than 2023</w:t>
      </w:r>
      <w:r>
        <w:t>.</w:t>
      </w:r>
    </w:p>
    <w:p w:rsidR="009C34EE" w:rsidRDefault="009B1497" w14:paraId="7767AEA1" w14:textId="77777777">
      <w:pPr>
        <w:pStyle w:val="FirstParagraph"/>
      </w:pPr>
      <w:r>
        <w:t>It is therefore important that a decline from 2022 is not automatically treated as evidence of injury caused by Chinese imports.</w:t>
      </w:r>
    </w:p>
    <w:p w:rsidR="009C34EE" w:rsidRDefault="009B1497" w14:paraId="5FA35EB5" w14:textId="77777777">
      <w:pPr>
        <w:pStyle w:val="BodyText"/>
      </w:pPr>
      <w:r>
        <w:t>2022 appears to have been an unusually profitable period rather than a normal long-term benchmark.</w:t>
      </w:r>
    </w:p>
    <w:p w:rsidR="009C34EE" w:rsidRDefault="009B1497" w14:paraId="1975284A" w14:textId="77777777">
      <w:pPr>
        <w:pStyle w:val="BodyText"/>
      </w:pPr>
      <w:r>
        <w:t xml:space="preserve">Eagley recognises that these are </w:t>
      </w:r>
      <w:r>
        <w:rPr>
          <w:b/>
          <w:bCs/>
        </w:rPr>
        <w:t>company-level figures rather than product-specific S-PVC profitability</w:t>
      </w:r>
      <w:r>
        <w:t>, so they should not replace the TRA’s product-specific analysis.</w:t>
      </w:r>
    </w:p>
    <w:p w:rsidR="009C34EE" w:rsidRDefault="009B1497" w14:paraId="3E974CE4" w14:textId="77777777">
      <w:pPr>
        <w:pStyle w:val="BodyText"/>
      </w:pPr>
      <w:r>
        <w:t>They are nevertheless relevant context.</w:t>
      </w:r>
    </w:p>
    <w:p w:rsidR="009C34EE" w:rsidRDefault="009B1497" w14:paraId="4D6D8E89" w14:textId="77777777">
      <w:pPr>
        <w:pStyle w:val="BodyText"/>
      </w:pPr>
      <w:r>
        <w:t>The TRA should therefore reconcile the claimed S-PVC injury with INOVYN’s wider financial performance and distinguish between:</w:t>
      </w:r>
    </w:p>
    <w:p w:rsidR="009C34EE" w:rsidRDefault="009B1497" w14:paraId="7F01F116" w14:textId="77777777">
      <w:pPr>
        <w:pStyle w:val="Compact"/>
        <w:numPr>
          <w:ilvl w:val="0"/>
          <w:numId w:val="7"/>
        </w:numPr>
      </w:pPr>
      <w:r>
        <w:t>normalisation following the exceptional 2021–2022 market;</w:t>
      </w:r>
    </w:p>
    <w:p w:rsidR="009C34EE" w:rsidRDefault="009B1497" w14:paraId="088AD899" w14:textId="77777777">
      <w:pPr>
        <w:pStyle w:val="Compact"/>
        <w:numPr>
          <w:ilvl w:val="0"/>
          <w:numId w:val="7"/>
        </w:numPr>
      </w:pPr>
      <w:r>
        <w:t>energy costs;</w:t>
      </w:r>
    </w:p>
    <w:p w:rsidR="009C34EE" w:rsidRDefault="009B1497" w14:paraId="51A425F2" w14:textId="77777777">
      <w:pPr>
        <w:pStyle w:val="Compact"/>
        <w:numPr>
          <w:ilvl w:val="0"/>
          <w:numId w:val="7"/>
        </w:numPr>
      </w:pPr>
      <w:r>
        <w:t>weak demand;</w:t>
      </w:r>
    </w:p>
    <w:p w:rsidR="009C34EE" w:rsidRDefault="009B1497" w14:paraId="21508FE1" w14:textId="77777777">
      <w:pPr>
        <w:pStyle w:val="Compact"/>
        <w:numPr>
          <w:ilvl w:val="0"/>
          <w:numId w:val="7"/>
        </w:numPr>
      </w:pPr>
      <w:r>
        <w:t>reduced utilisation;</w:t>
      </w:r>
    </w:p>
    <w:p w:rsidR="009C34EE" w:rsidRDefault="009B1497" w14:paraId="2AAC71D9" w14:textId="77777777">
      <w:pPr>
        <w:pStyle w:val="Compact"/>
        <w:numPr>
          <w:ilvl w:val="0"/>
          <w:numId w:val="7"/>
        </w:numPr>
      </w:pPr>
      <w:r>
        <w:t>fixed-cost absorption; and</w:t>
      </w:r>
    </w:p>
    <w:p w:rsidR="009C34EE" w:rsidRDefault="009B1497" w14:paraId="349853C5" w14:textId="77777777">
      <w:pPr>
        <w:pStyle w:val="Compact"/>
        <w:numPr>
          <w:ilvl w:val="0"/>
          <w:numId w:val="7"/>
        </w:numPr>
      </w:pPr>
      <w:r>
        <w:t>injury genuinely caused by dumped imports.</w:t>
      </w:r>
    </w:p>
    <w:p w:rsidR="009C34EE" w:rsidRDefault="009B1497" w14:paraId="52D28069" w14:textId="77777777">
      <w:pPr>
        <w:pStyle w:val="FirstParagraph"/>
      </w:pPr>
      <w:r>
        <w:t>This is particularly important because Europe remains a structurally difficult location for chemicals production. INEOS itself has recently acknowledged the competitive cost advantage enjoyed by North America and continuing weakness in European chemical markets.</w:t>
      </w:r>
    </w:p>
    <w:p w:rsidR="009C34EE" w:rsidRDefault="009B1497" w14:paraId="70951FCC" w14:textId="77777777">
      <w:r>
        <w:lastRenderedPageBreak/>
        <w:pict w14:anchorId="07FE0984">
          <v:rect id="_x0000_i1031" style="width:0;height:1.5pt" o:hr="t" o:hrstd="t" o:hralign="center"/>
        </w:pict>
      </w:r>
    </w:p>
    <w:p w:rsidR="009C34EE" w:rsidRDefault="009B1497" w14:paraId="23F1C547" w14:textId="77777777">
      <w:pPr>
        <w:pStyle w:val="Heading2"/>
      </w:pPr>
      <w:bookmarkStart w:name="X9af404b3523ea5f2413d11045cf9f977e9fc107" w:id="9"/>
      <w:bookmarkEnd w:id="8"/>
      <w:r>
        <w:t>8. European import patterns indicate trade diversion</w:t>
      </w:r>
    </w:p>
    <w:p w:rsidR="009C34EE" w:rsidRDefault="009B1497" w14:paraId="0D2A0B7D" w14:textId="77777777">
      <w:pPr>
        <w:pStyle w:val="FirstParagraph"/>
      </w:pPr>
      <w:r>
        <w:t>The wider European market provides useful evidence of what happens when PVC trade measures are imposed.</w:t>
      </w:r>
    </w:p>
    <w:p w:rsidR="009C34EE" w:rsidRDefault="009B1497" w14:paraId="210773F5" w14:textId="77777777">
      <w:pPr>
        <w:pStyle w:val="BodyText"/>
      </w:pPr>
      <w:r>
        <w:t xml:space="preserve">EU27 extra-EU PVC imports were approximately </w:t>
      </w:r>
      <w:r>
        <w:rPr>
          <w:b/>
          <w:bCs/>
        </w:rPr>
        <w:t>700,000 tonnes in 2023</w:t>
      </w:r>
      <w:r>
        <w:t>, with major origins including the United States, Mexico, South Korea and Egypt.</w:t>
      </w:r>
    </w:p>
    <w:p w:rsidR="009C34EE" w:rsidRDefault="009B1497" w14:paraId="35F844AA" w14:textId="77777777">
      <w:pPr>
        <w:pStyle w:val="BodyText"/>
      </w:pPr>
      <w:r>
        <w:t>Following European anti-dumping measures against US and Egyptian S-PVC, the origin of European imports changed materially.</w:t>
      </w:r>
    </w:p>
    <w:p w:rsidR="009C34EE" w:rsidRDefault="009B1497" w14:paraId="106EEC40" w14:textId="77777777">
      <w:pPr>
        <w:pStyle w:val="BodyText"/>
      </w:pPr>
      <w:r>
        <w:t>By 2025 and 2026, supply increasingly shifted towards:</w:t>
      </w:r>
    </w:p>
    <w:p w:rsidR="009C34EE" w:rsidRDefault="009B1497" w14:paraId="0A6A1976" w14:textId="77777777">
      <w:pPr>
        <w:pStyle w:val="Compact"/>
        <w:numPr>
          <w:ilvl w:val="0"/>
          <w:numId w:val="8"/>
        </w:numPr>
      </w:pPr>
      <w:r>
        <w:t>South Korea;</w:t>
      </w:r>
    </w:p>
    <w:p w:rsidR="009C34EE" w:rsidRDefault="009B1497" w14:paraId="235F7EEA" w14:textId="77777777">
      <w:pPr>
        <w:pStyle w:val="Compact"/>
        <w:numPr>
          <w:ilvl w:val="0"/>
          <w:numId w:val="8"/>
        </w:numPr>
      </w:pPr>
      <w:r>
        <w:t>China;</w:t>
      </w:r>
    </w:p>
    <w:p w:rsidR="009C34EE" w:rsidRDefault="009B1497" w14:paraId="21948F95" w14:textId="77777777">
      <w:pPr>
        <w:pStyle w:val="Compact"/>
        <w:numPr>
          <w:ilvl w:val="0"/>
          <w:numId w:val="8"/>
        </w:numPr>
      </w:pPr>
      <w:r>
        <w:t>Taiwan; and</w:t>
      </w:r>
    </w:p>
    <w:p w:rsidR="009C34EE" w:rsidRDefault="009B1497" w14:paraId="5B54FFEC" w14:textId="77777777">
      <w:pPr>
        <w:pStyle w:val="Compact"/>
        <w:numPr>
          <w:ilvl w:val="0"/>
          <w:numId w:val="8"/>
        </w:numPr>
      </w:pPr>
      <w:r>
        <w:t>Mexico.</w:t>
      </w:r>
    </w:p>
    <w:p w:rsidR="009C34EE" w:rsidRDefault="009B1497" w14:paraId="66EAF4CC" w14:textId="77777777">
      <w:pPr>
        <w:pStyle w:val="FirstParagraph"/>
      </w:pPr>
      <w:r>
        <w:t>S&amp;P Global reports that the EU measures against US and Egyptian PVC rendered those origins largely uncompetitive, creating an opportunity for Asian suppliers with a more competitive cost base.</w:t>
      </w:r>
    </w:p>
    <w:p w:rsidR="009C34EE" w:rsidRDefault="009B1497" w14:paraId="5EBE1DCF" w14:textId="77777777">
      <w:pPr>
        <w:pStyle w:val="BodyText"/>
      </w:pPr>
      <w:r>
        <w:t xml:space="preserve">This indicates that trade remedies may change the </w:t>
      </w:r>
      <w:r>
        <w:rPr>
          <w:b/>
          <w:bCs/>
        </w:rPr>
        <w:t>origin of imported PVC</w:t>
      </w:r>
      <w:r>
        <w:t xml:space="preserve"> rather than remove Europe’s underlying requirement for competitively priced external resin.</w:t>
      </w:r>
    </w:p>
    <w:p w:rsidR="009C34EE" w:rsidRDefault="009B1497" w14:paraId="3E8A7706" w14:textId="77777777">
      <w:pPr>
        <w:pStyle w:val="BodyText"/>
      </w:pPr>
      <w:r>
        <w:t>That is directly relevant to the UK.</w:t>
      </w:r>
    </w:p>
    <w:p w:rsidR="009C34EE" w:rsidRDefault="009B1497" w14:paraId="6104FF70" w14:textId="77777777">
      <w:pPr>
        <w:pStyle w:val="BodyText"/>
      </w:pPr>
      <w:r>
        <w:t>If Chinese, Mexican and South Korean S-PVC becomes uneconomic, the outcome may not simply be increased purchases from INOVYN.</w:t>
      </w:r>
    </w:p>
    <w:p w:rsidR="009C34EE" w:rsidRDefault="009B1497" w14:paraId="17C858DC" w14:textId="77777777">
      <w:pPr>
        <w:pStyle w:val="BodyText"/>
      </w:pPr>
      <w:r>
        <w:t>Possible outcomes include:</w:t>
      </w:r>
    </w:p>
    <w:p w:rsidR="009C34EE" w:rsidRDefault="009B1497" w14:paraId="7C05BC58" w14:textId="77777777">
      <w:pPr>
        <w:pStyle w:val="Compact"/>
        <w:numPr>
          <w:ilvl w:val="0"/>
          <w:numId w:val="9"/>
        </w:numPr>
      </w:pPr>
      <w:r>
        <w:t>sourcing resin from another origin;</w:t>
      </w:r>
    </w:p>
    <w:p w:rsidR="009C34EE" w:rsidRDefault="009B1497" w14:paraId="031786AA" w14:textId="77777777">
      <w:pPr>
        <w:pStyle w:val="Compact"/>
        <w:numPr>
          <w:ilvl w:val="0"/>
          <w:numId w:val="9"/>
        </w:numPr>
      </w:pPr>
      <w:r>
        <w:t>increased imports of finished PVC compound;</w:t>
      </w:r>
    </w:p>
    <w:p w:rsidR="009C34EE" w:rsidRDefault="009B1497" w14:paraId="3895E3A0" w14:textId="77777777">
      <w:pPr>
        <w:pStyle w:val="Compact"/>
        <w:numPr>
          <w:ilvl w:val="0"/>
          <w:numId w:val="9"/>
        </w:numPr>
      </w:pPr>
      <w:r>
        <w:t>increased imports of finished PVC products; or</w:t>
      </w:r>
    </w:p>
    <w:p w:rsidR="009C34EE" w:rsidRDefault="009B1497" w14:paraId="694A4FFC" w14:textId="77777777">
      <w:pPr>
        <w:pStyle w:val="Compact"/>
        <w:numPr>
          <w:ilvl w:val="0"/>
          <w:numId w:val="9"/>
        </w:numPr>
      </w:pPr>
      <w:r>
        <w:t>reduced UK downstream manufacture.</w:t>
      </w:r>
    </w:p>
    <w:p w:rsidR="009C34EE" w:rsidRDefault="009B1497" w14:paraId="62EB65BD" w14:textId="77777777">
      <w:pPr>
        <w:pStyle w:val="FirstParagraph"/>
      </w:pPr>
      <w:r>
        <w:t>The TRA should therefore examine trade diversion and downstream substitution in its Economic Interest Test.</w:t>
      </w:r>
    </w:p>
    <w:p w:rsidR="009C34EE" w:rsidRDefault="009B1497" w14:paraId="7BAAF2C7" w14:textId="77777777">
      <w:r>
        <w:pict w14:anchorId="37BFB378">
          <v:rect id="_x0000_i1032" style="width:0;height:1.5pt" o:hr="t" o:hrstd="t" o:hralign="center"/>
        </w:pict>
      </w:r>
    </w:p>
    <w:p w:rsidR="009C34EE" w:rsidRDefault="009C34EE" w14:paraId="6DC176F3" w14:textId="7071BFFF">
      <w:bookmarkStart w:name="product-grades-and-substitutability" w:id="10"/>
      <w:bookmarkEnd w:id="9"/>
    </w:p>
    <w:p w:rsidR="009C34EE" w:rsidRDefault="008C100F" w14:paraId="31FD45C9" w14:textId="59FB62EA">
      <w:pPr>
        <w:pStyle w:val="Heading2"/>
      </w:pPr>
      <w:bookmarkStart w:name="competition-and-security-of-supply" w:id="11"/>
      <w:bookmarkEnd w:id="10"/>
      <w:r>
        <w:lastRenderedPageBreak/>
        <w:t>9</w:t>
      </w:r>
      <w:r w:rsidR="009B1497">
        <w:t>. Competition and security of supply</w:t>
      </w:r>
    </w:p>
    <w:p w:rsidR="009C34EE" w:rsidRDefault="009B1497" w14:paraId="5C6AED16" w14:textId="77777777">
      <w:pPr>
        <w:pStyle w:val="FirstParagraph"/>
      </w:pPr>
      <w:r>
        <w:t>The UK already has an anti-dumping measure in force against S-PVC from the United States.</w:t>
      </w:r>
    </w:p>
    <w:p w:rsidR="009C34EE" w:rsidRDefault="009B1497" w14:paraId="0D164042" w14:textId="77777777">
      <w:pPr>
        <w:pStyle w:val="BodyText"/>
      </w:pPr>
      <w:r>
        <w:t>AD0092 concerns China, Mexico and South Korea.</w:t>
      </w:r>
    </w:p>
    <w:p w:rsidR="009C34EE" w:rsidRDefault="009B1497" w14:paraId="29ABE098" w14:textId="77777777">
      <w:pPr>
        <w:pStyle w:val="BodyText"/>
      </w:pPr>
      <w:r>
        <w:t>Measures which materially restrict all of these sources could significantly reduce the supply options available to independent UK compounders.</w:t>
      </w:r>
    </w:p>
    <w:p w:rsidR="009C34EE" w:rsidRDefault="009B1497" w14:paraId="41D3FF09" w14:textId="77777777">
      <w:pPr>
        <w:pStyle w:val="BodyText"/>
      </w:pPr>
      <w:r>
        <w:t>The TRA should therefore consider:</w:t>
      </w:r>
    </w:p>
    <w:p w:rsidR="009C34EE" w:rsidRDefault="009B1497" w14:paraId="7CEBD19C" w14:textId="77777777">
      <w:pPr>
        <w:pStyle w:val="Compact"/>
        <w:numPr>
          <w:ilvl w:val="0"/>
          <w:numId w:val="11"/>
        </w:numPr>
      </w:pPr>
      <w:r>
        <w:t>INOVYN’s practical spare capacity;</w:t>
      </w:r>
    </w:p>
    <w:p w:rsidR="009C34EE" w:rsidRDefault="009B1497" w14:paraId="7DD5499A" w14:textId="77777777">
      <w:pPr>
        <w:pStyle w:val="Compact"/>
        <w:numPr>
          <w:ilvl w:val="0"/>
          <w:numId w:val="11"/>
        </w:numPr>
      </w:pPr>
      <w:r>
        <w:t>ability to supply the required K-values;</w:t>
      </w:r>
    </w:p>
    <w:p w:rsidR="009C34EE" w:rsidRDefault="009B1497" w14:paraId="7A758391" w14:textId="77777777">
      <w:pPr>
        <w:pStyle w:val="Compact"/>
        <w:numPr>
          <w:ilvl w:val="0"/>
          <w:numId w:val="11"/>
        </w:numPr>
      </w:pPr>
      <w:r>
        <w:t>alternative European capacity;</w:t>
      </w:r>
    </w:p>
    <w:p w:rsidR="009C34EE" w:rsidRDefault="009B1497" w14:paraId="09453DCD" w14:textId="77777777">
      <w:pPr>
        <w:pStyle w:val="Compact"/>
        <w:numPr>
          <w:ilvl w:val="0"/>
          <w:numId w:val="11"/>
        </w:numPr>
      </w:pPr>
      <w:r>
        <w:t>security of supply;</w:t>
      </w:r>
    </w:p>
    <w:p w:rsidR="009C34EE" w:rsidRDefault="009B1497" w14:paraId="40609925" w14:textId="77777777">
      <w:pPr>
        <w:pStyle w:val="Compact"/>
        <w:numPr>
          <w:ilvl w:val="0"/>
          <w:numId w:val="11"/>
        </w:numPr>
      </w:pPr>
      <w:r>
        <w:t>the effect on competition; and</w:t>
      </w:r>
    </w:p>
    <w:p w:rsidR="009C34EE" w:rsidRDefault="009B1497" w14:paraId="54DFF8B5" w14:textId="77777777">
      <w:pPr>
        <w:pStyle w:val="Compact"/>
        <w:numPr>
          <w:ilvl w:val="0"/>
          <w:numId w:val="11"/>
        </w:numPr>
      </w:pPr>
      <w:r>
        <w:t>the consequences of UK downstream manufacturers becoming dependent upon a small number of resin suppliers.</w:t>
      </w:r>
    </w:p>
    <w:p w:rsidR="009C34EE" w:rsidRDefault="009B1497" w14:paraId="2F55108C" w14:textId="77777777">
      <w:pPr>
        <w:pStyle w:val="FirstParagraph"/>
      </w:pPr>
      <w:r>
        <w:t>A healthy UK PVC industry requires both a viable resin producer and viable downstream manufacturers.</w:t>
      </w:r>
    </w:p>
    <w:p w:rsidR="009C34EE" w:rsidRDefault="009B1497" w14:paraId="6D6887B3" w14:textId="77777777">
      <w:r>
        <w:pict w14:anchorId="5EF04A28">
          <v:rect id="_x0000_i1034" style="width:0;height:1.5pt" o:hr="t" o:hrstd="t" o:hralign="center"/>
        </w:pict>
      </w:r>
    </w:p>
    <w:p w:rsidR="009C34EE" w:rsidRDefault="009B1497" w14:paraId="5E2ACABF" w14:textId="788BF6A4">
      <w:pPr>
        <w:pStyle w:val="Heading2"/>
      </w:pPr>
      <w:bookmarkStart w:name="economic-interest-test" w:id="12"/>
      <w:bookmarkEnd w:id="11"/>
      <w:r>
        <w:t>1</w:t>
      </w:r>
      <w:r w:rsidR="008C100F">
        <w:t>0</w:t>
      </w:r>
      <w:r>
        <w:t>. Economic Interest Test</w:t>
      </w:r>
    </w:p>
    <w:p w:rsidR="009C34EE" w:rsidRDefault="009B1497" w14:paraId="2AB0F0CF" w14:textId="77777777">
      <w:pPr>
        <w:pStyle w:val="FirstParagraph"/>
      </w:pPr>
      <w:r>
        <w:t>For Eagley, the downstream impact is measurable.</w:t>
      </w:r>
    </w:p>
    <w:p w:rsidR="009C34EE" w:rsidRDefault="009B1497" w14:paraId="6112EC7F" w14:textId="77777777">
      <w:pPr>
        <w:pStyle w:val="BodyText"/>
      </w:pPr>
      <w:r>
        <w:t>We are a British manufacturer with:</w:t>
      </w:r>
    </w:p>
    <w:p w:rsidR="009C34EE" w:rsidRDefault="009B1497" w14:paraId="2E079FED" w14:textId="77777777">
      <w:pPr>
        <w:pStyle w:val="Compact"/>
        <w:numPr>
          <w:ilvl w:val="0"/>
          <w:numId w:val="12"/>
        </w:numPr>
      </w:pPr>
      <w:r>
        <w:t xml:space="preserve">approximately </w:t>
      </w:r>
      <w:r>
        <w:rPr>
          <w:b/>
          <w:bCs/>
        </w:rPr>
        <w:t>60 employees</w:t>
      </w:r>
      <w:r>
        <w:t>;</w:t>
      </w:r>
    </w:p>
    <w:p w:rsidR="009C34EE" w:rsidRDefault="009B1497" w14:paraId="758F0E20" w14:textId="77777777">
      <w:pPr>
        <w:pStyle w:val="Compact"/>
        <w:numPr>
          <w:ilvl w:val="0"/>
          <w:numId w:val="12"/>
        </w:numPr>
      </w:pPr>
      <w:r>
        <w:t xml:space="preserve">approximately </w:t>
      </w:r>
      <w:r>
        <w:rPr>
          <w:b/>
          <w:bCs/>
        </w:rPr>
        <w:t>£10 million turnover</w:t>
      </w:r>
      <w:r>
        <w:t>;</w:t>
      </w:r>
    </w:p>
    <w:p w:rsidR="009C34EE" w:rsidRDefault="009B1497" w14:paraId="0C1DE953" w14:textId="77777777">
      <w:pPr>
        <w:pStyle w:val="Compact"/>
        <w:numPr>
          <w:ilvl w:val="0"/>
          <w:numId w:val="12"/>
        </w:numPr>
      </w:pPr>
      <w:r>
        <w:t xml:space="preserve">approximately </w:t>
      </w:r>
      <w:r>
        <w:rPr>
          <w:b/>
          <w:bCs/>
        </w:rPr>
        <w:t>£800,000 EBITDA</w:t>
      </w:r>
      <w:r>
        <w:t>; and</w:t>
      </w:r>
    </w:p>
    <w:p w:rsidR="009C34EE" w:rsidRDefault="009B1497" w14:paraId="728CC6D4" w14:textId="77777777">
      <w:pPr>
        <w:pStyle w:val="Compact"/>
        <w:numPr>
          <w:ilvl w:val="0"/>
          <w:numId w:val="12"/>
        </w:numPr>
      </w:pPr>
      <w:r>
        <w:t xml:space="preserve">approximately </w:t>
      </w:r>
      <w:r>
        <w:rPr>
          <w:b/>
          <w:bCs/>
        </w:rPr>
        <w:t>4,080 tonnes per year</w:t>
      </w:r>
      <w:r>
        <w:t xml:space="preserve"> of Chinese S-PVC consumption.</w:t>
      </w:r>
    </w:p>
    <w:p w:rsidR="009C34EE" w:rsidRDefault="009B1497" w14:paraId="1DB49D44" w14:textId="77777777">
      <w:pPr>
        <w:pStyle w:val="FirstParagraph"/>
      </w:pPr>
      <w:r>
        <w:t xml:space="preserve">A £100/t increase in our resin cost would consume approximately </w:t>
      </w:r>
      <w:r>
        <w:rPr>
          <w:b/>
          <w:bCs/>
        </w:rPr>
        <w:t>51% of our current EBITDA</w:t>
      </w:r>
      <w:r>
        <w:t>.</w:t>
      </w:r>
    </w:p>
    <w:p w:rsidR="009C34EE" w:rsidRDefault="009B1497" w14:paraId="3502030F" w14:textId="77777777">
      <w:pPr>
        <w:pStyle w:val="BodyText"/>
      </w:pPr>
      <w:r>
        <w:t xml:space="preserve">A £150/t increase would consume approximately </w:t>
      </w:r>
      <w:r>
        <w:rPr>
          <w:b/>
          <w:bCs/>
        </w:rPr>
        <w:t>77%</w:t>
      </w:r>
      <w:r>
        <w:t>.</w:t>
      </w:r>
    </w:p>
    <w:p w:rsidR="009C34EE" w:rsidRDefault="009B1497" w14:paraId="293C299F" w14:textId="77777777">
      <w:pPr>
        <w:pStyle w:val="BodyText"/>
      </w:pPr>
      <w:r>
        <w:t xml:space="preserve">An increase of approximately </w:t>
      </w:r>
      <w:r>
        <w:rPr>
          <w:b/>
          <w:bCs/>
        </w:rPr>
        <w:t>£196/t would be equivalent to our entire present EBITDA</w:t>
      </w:r>
      <w:r>
        <w:t>.</w:t>
      </w:r>
    </w:p>
    <w:p w:rsidR="009C34EE" w:rsidRDefault="009B1497" w14:paraId="04158412" w14:textId="77777777">
      <w:pPr>
        <w:pStyle w:val="BodyText"/>
      </w:pPr>
      <w:r>
        <w:t>These consequences should be weighed against the economic benefit delivered to the Applicant.</w:t>
      </w:r>
    </w:p>
    <w:p w:rsidR="009C34EE" w:rsidRDefault="009B1497" w14:paraId="487848B5" w14:textId="77777777">
      <w:pPr>
        <w:pStyle w:val="BodyText"/>
      </w:pPr>
      <w:r>
        <w:lastRenderedPageBreak/>
        <w:t>A remedy which restores profitability to one upstream producer by substantially reducing the profitability and competitiveness of downstream UK manufacturers would not represent a balanced outcome.</w:t>
      </w:r>
    </w:p>
    <w:p w:rsidR="009C34EE" w:rsidRDefault="009B1497" w14:paraId="498A1B00" w14:textId="77777777">
      <w:r>
        <w:pict w14:anchorId="4359BAAC">
          <v:rect id="_x0000_i1035" style="width:0;height:1.5pt" o:hr="t" o:hrstd="t" o:hralign="center"/>
        </w:pict>
      </w:r>
    </w:p>
    <w:p w:rsidR="009C34EE" w:rsidRDefault="009B1497" w14:paraId="523AA145" w14:textId="0FA3FD4D">
      <w:pPr>
        <w:pStyle w:val="Heading2"/>
      </w:pPr>
      <w:bookmarkStart w:name="requested-outcome" w:id="13"/>
      <w:bookmarkEnd w:id="12"/>
      <w:r>
        <w:t>1</w:t>
      </w:r>
      <w:r w:rsidR="008C100F">
        <w:t>1</w:t>
      </w:r>
      <w:r>
        <w:t>. Requested outcome</w:t>
      </w:r>
    </w:p>
    <w:p w:rsidR="009C34EE" w:rsidRDefault="009B1497" w14:paraId="2E49BED7" w14:textId="77777777">
      <w:pPr>
        <w:pStyle w:val="FirstParagraph"/>
      </w:pPr>
      <w:r>
        <w:t>Eagley respectfully requests that the TRA:</w:t>
      </w:r>
    </w:p>
    <w:p w:rsidR="009C34EE" w:rsidRDefault="009B1497" w14:paraId="5E2B11B9" w14:textId="77777777">
      <w:pPr>
        <w:pStyle w:val="Compact"/>
        <w:numPr>
          <w:ilvl w:val="0"/>
          <w:numId w:val="13"/>
        </w:numPr>
      </w:pPr>
      <w:r>
        <w:t>determines Tianjin Dagu’s dumping position using producer-specific verified evidence wherever possible;</w:t>
      </w:r>
    </w:p>
    <w:p w:rsidR="009C34EE" w:rsidRDefault="009B1497" w14:paraId="3553DB52" w14:textId="77777777">
      <w:pPr>
        <w:pStyle w:val="Compact"/>
        <w:numPr>
          <w:ilvl w:val="0"/>
          <w:numId w:val="13"/>
        </w:numPr>
      </w:pPr>
      <w:r>
        <w:t>establishes that material injury has actually been caused by dumped imports rather than energy costs, weak demand, low utilisation or other factors;</w:t>
      </w:r>
    </w:p>
    <w:p w:rsidR="009C34EE" w:rsidRDefault="009B1497" w14:paraId="6D11AEF4" w14:textId="77777777">
      <w:pPr>
        <w:pStyle w:val="Compact"/>
        <w:numPr>
          <w:ilvl w:val="0"/>
          <w:numId w:val="13"/>
        </w:numPr>
      </w:pPr>
      <w:r>
        <w:t>gives appropriate weight to the Applicant’s own full-period negative Chinese undercutting calculation;</w:t>
      </w:r>
    </w:p>
    <w:p w:rsidR="009C34EE" w:rsidRDefault="009B1497" w14:paraId="5A71C27F" w14:textId="77777777">
      <w:pPr>
        <w:pStyle w:val="Compact"/>
        <w:numPr>
          <w:ilvl w:val="0"/>
          <w:numId w:val="13"/>
        </w:numPr>
      </w:pPr>
      <w:r>
        <w:t>considers whether the 2022 profitability benchmark is representative;</w:t>
      </w:r>
    </w:p>
    <w:p w:rsidR="009C34EE" w:rsidRDefault="009B1497" w14:paraId="593F65B7" w14:textId="77777777">
      <w:pPr>
        <w:pStyle w:val="Compact"/>
        <w:numPr>
          <w:ilvl w:val="0"/>
          <w:numId w:val="13"/>
        </w:numPr>
      </w:pPr>
      <w:r>
        <w:t>quantifies the cost impact on UK downstream manufacturers;</w:t>
      </w:r>
    </w:p>
    <w:p w:rsidR="009C34EE" w:rsidRDefault="009B1497" w14:paraId="30C31BF3" w14:textId="77777777">
      <w:pPr>
        <w:pStyle w:val="Compact"/>
        <w:numPr>
          <w:ilvl w:val="0"/>
          <w:numId w:val="13"/>
        </w:numPr>
      </w:pPr>
      <w:r>
        <w:t>c</w:t>
      </w:r>
      <w:r>
        <w:t>o</w:t>
      </w:r>
      <w:r>
        <w:t>n</w:t>
      </w:r>
      <w:r>
        <w:t>s</w:t>
      </w:r>
      <w:r>
        <w:t>i</w:t>
      </w:r>
      <w:r>
        <w:t>d</w:t>
      </w:r>
      <w:r>
        <w:t>e</w:t>
      </w:r>
      <w:r>
        <w:t>r</w:t>
      </w:r>
      <w:r>
        <w:t>s</w:t>
      </w:r>
      <w:r>
        <w:t xml:space="preserve"> </w:t>
      </w:r>
      <w:r>
        <w:t>c</w:t>
      </w:r>
      <w:r>
        <w:t>o</w:t>
      </w:r>
      <w:r>
        <w:t>m</w:t>
      </w:r>
      <w:r>
        <w:t>p</w:t>
      </w:r>
      <w:r>
        <w:t>e</w:t>
      </w:r>
      <w:r>
        <w:t>t</w:t>
      </w:r>
      <w:r>
        <w:t>i</w:t>
      </w:r>
      <w:r>
        <w:t>t</w:t>
      </w:r>
      <w:r>
        <w:t>ion and security of supply; and</w:t>
      </w:r>
    </w:p>
    <w:p w:rsidR="009C34EE" w:rsidRDefault="009B1497" w14:paraId="481411EB" w14:textId="77777777">
      <w:pPr>
        <w:pStyle w:val="Compact"/>
        <w:numPr>
          <w:ilvl w:val="0"/>
          <w:numId w:val="13"/>
        </w:numPr>
      </w:pPr>
      <w:r>
        <w:t>if intervention is justified, adopts the narrowest measure capable of addressing demonstrated injury.</w:t>
      </w:r>
    </w:p>
    <w:p w:rsidR="009C34EE" w:rsidRDefault="009B1497" w14:paraId="450039A4" w14:textId="77777777">
      <w:pPr>
        <w:pStyle w:val="FirstParagraph"/>
      </w:pPr>
      <w:r>
        <w:t>Potential alternatives to a broad country-wide percentage duty could include producer-specific rates, minimum import prices, price undertakings, grade exclusions or another appropriately targeted remedy.</w:t>
      </w:r>
    </w:p>
    <w:p w:rsidR="009C34EE" w:rsidRDefault="009B1497" w14:paraId="34B0172E" w14:textId="77777777">
      <w:r>
        <w:pict w14:anchorId="645B1FAA">
          <v:rect id="_x0000_i1036" style="width:0;height:1.5pt" o:hr="t" o:hrstd="t" o:hralign="center"/>
        </w:pict>
      </w:r>
    </w:p>
    <w:p w:rsidR="009C34EE" w:rsidRDefault="009B1497" w14:paraId="627607F1" w14:textId="2995EF2A">
      <w:pPr>
        <w:pStyle w:val="Heading2"/>
      </w:pPr>
      <w:bookmarkStart w:name="conclusion" w:id="14"/>
      <w:bookmarkEnd w:id="13"/>
      <w:r>
        <w:t>1</w:t>
      </w:r>
      <w:r w:rsidR="008C100F">
        <w:t>2</w:t>
      </w:r>
      <w:r>
        <w:t>. Conclusion</w:t>
      </w:r>
    </w:p>
    <w:p w:rsidR="009C34EE" w:rsidRDefault="009B1497" w14:paraId="651B8649" w14:textId="77777777">
      <w:pPr>
        <w:pStyle w:val="FirstParagraph"/>
      </w:pPr>
      <w:r>
        <w:t>Eagley Plastics supports fair competition and a sustainable UK PVC industry.</w:t>
      </w:r>
    </w:p>
    <w:p w:rsidR="009C34EE" w:rsidRDefault="009B1497" w14:paraId="6BFB8146" w14:textId="77777777">
      <w:pPr>
        <w:pStyle w:val="BodyText"/>
      </w:pPr>
      <w:r>
        <w:t>However, the investigation needs to distinguish carefully between:</w:t>
      </w:r>
    </w:p>
    <w:p w:rsidR="009C34EE" w:rsidRDefault="009B1497" w14:paraId="2A9B43B5" w14:textId="77777777">
      <w:pPr>
        <w:pStyle w:val="BodyText"/>
      </w:pPr>
      <w:r>
        <w:rPr>
          <w:b/>
          <w:bCs/>
        </w:rPr>
        <w:t>dumping and legitimate cost advantage;</w:t>
      </w:r>
    </w:p>
    <w:p w:rsidR="009C34EE" w:rsidRDefault="009B1497" w14:paraId="2181322D" w14:textId="77777777">
      <w:pPr>
        <w:pStyle w:val="BodyText"/>
      </w:pPr>
      <w:r>
        <w:rPr>
          <w:b/>
          <w:bCs/>
        </w:rPr>
        <w:t>injury and injury caused by dumping;</w:t>
      </w:r>
    </w:p>
    <w:p w:rsidR="009C34EE" w:rsidRDefault="009B1497" w14:paraId="746E9D65" w14:textId="77777777">
      <w:pPr>
        <w:pStyle w:val="BodyText"/>
      </w:pPr>
      <w:r>
        <w:t>and:</w:t>
      </w:r>
    </w:p>
    <w:p w:rsidR="009C34EE" w:rsidRDefault="009B1497" w14:paraId="52991C9C" w14:textId="77777777">
      <w:pPr>
        <w:pStyle w:val="BodyText"/>
      </w:pPr>
      <w:r>
        <w:rPr>
          <w:b/>
          <w:bCs/>
        </w:rPr>
        <w:t>protection of one UK producer and the wider interests of UK manufacturing.</w:t>
      </w:r>
    </w:p>
    <w:p w:rsidR="009C34EE" w:rsidRDefault="009B1497" w14:paraId="56EB5C52" w14:textId="77777777">
      <w:pPr>
        <w:pStyle w:val="BodyText"/>
      </w:pPr>
      <w:r>
        <w:t>The evidence presently raises material questions concerning causation.</w:t>
      </w:r>
    </w:p>
    <w:p w:rsidR="009C34EE" w:rsidRDefault="009B1497" w14:paraId="1E4192DA" w14:textId="77777777">
      <w:pPr>
        <w:pStyle w:val="BodyText"/>
      </w:pPr>
      <w:r>
        <w:t>INOVYN operates within a high-cost European production environment and acknowledges the importance of energy and utilisation to PVC economics.</w:t>
      </w:r>
    </w:p>
    <w:p w:rsidR="009C34EE" w:rsidRDefault="009B1497" w14:paraId="54AB7F99" w14:textId="77777777">
      <w:pPr>
        <w:pStyle w:val="BodyText"/>
      </w:pPr>
      <w:r>
        <w:lastRenderedPageBreak/>
        <w:t xml:space="preserve">Its own full-period UK Chinese price data also show substantial </w:t>
      </w:r>
      <w:r>
        <w:rPr>
          <w:b/>
          <w:bCs/>
        </w:rPr>
        <w:t>negative price undercutting</w:t>
      </w:r>
      <w:r>
        <w:t>.</w:t>
      </w:r>
    </w:p>
    <w:p w:rsidR="009C34EE" w:rsidRDefault="009B1497" w14:paraId="524AF895" w14:textId="77777777">
      <w:pPr>
        <w:pStyle w:val="BodyText"/>
      </w:pPr>
      <w:r>
        <w:t xml:space="preserve">In addition, INOVYN ChlorVinyls’ approximately </w:t>
      </w:r>
      <w:r>
        <w:rPr>
          <w:b/>
          <w:bCs/>
        </w:rPr>
        <w:t>£142 million EBITDA in 2022 was an exceptional peak compared with both the years immediately before and after it</w:t>
      </w:r>
      <w:r>
        <w:t>. The TRA should therefore avoid treating deterioration from that unusually strong year as, by itself, evidence of injury caused by dumped imports.</w:t>
      </w:r>
    </w:p>
    <w:p w:rsidR="009C34EE" w:rsidRDefault="009B1497" w14:paraId="212F4A77" w14:textId="77777777">
      <w:pPr>
        <w:pStyle w:val="BodyText"/>
      </w:pPr>
      <w:r>
        <w:t xml:space="preserve">European experience also demonstrates that anti-dumping measures can result in </w:t>
      </w:r>
      <w:r>
        <w:rPr>
          <w:b/>
          <w:bCs/>
        </w:rPr>
        <w:t>trade diversion</w:t>
      </w:r>
      <w:r>
        <w:t xml:space="preserve"> rather than an equivalent increase in domestic PVC manufacture.</w:t>
      </w:r>
    </w:p>
    <w:p w:rsidR="009C34EE" w:rsidRDefault="009B1497" w14:paraId="2F236609" w14:textId="35AE8111">
      <w:pPr>
        <w:pStyle w:val="BodyText"/>
      </w:pPr>
      <w:r>
        <w:t xml:space="preserve">Eagley therefore asks the TRA to consider the </w:t>
      </w:r>
      <w:r>
        <w:rPr>
          <w:b/>
          <w:bCs/>
        </w:rPr>
        <w:t>UK PVC manufacturing supply chain as a whole</w:t>
      </w:r>
      <w:r>
        <w:t xml:space="preserve"> and ensure that any remedy does not protect upstream production at the expense of otherwise viable downstream British manufacturers.</w:t>
      </w:r>
    </w:p>
    <w:p w:rsidR="009C34EE" w:rsidRDefault="009B1497" w14:paraId="7C0E259B" w14:textId="77777777">
      <w:pPr>
        <w:pStyle w:val="BodyText"/>
      </w:pPr>
      <w:r>
        <w:rPr>
          <w:b/>
          <w:bCs/>
        </w:rPr>
        <w:t>For and on behalf of Eagley Plastics Ltd</w:t>
      </w:r>
    </w:p>
    <w:p w:rsidR="00774493" w:rsidRDefault="00774493" w14:paraId="2F093CC7" w14:textId="77777777">
      <w:pPr>
        <w:pStyle w:val="BodyText"/>
      </w:pPr>
    </w:p>
    <w:p w:rsidR="009C34EE" w:rsidRDefault="009B1497" w14:paraId="45C5B04E" w14:textId="179195DF">
      <w:pPr>
        <w:pStyle w:val="BodyText"/>
      </w:pPr>
      <w:r w:rsidRPr="00E75CB1">
        <w:rPr>
          <w:b/>
          <w:bCs/>
        </w:rPr>
        <w:t>Name</w:t>
      </w:r>
      <w:r>
        <w:t xml:space="preserve">: </w:t>
      </w:r>
      <w:r w:rsidR="00E75CB1">
        <w:t>Saul Good</w:t>
      </w:r>
    </w:p>
    <w:p w:rsidR="009C34EE" w:rsidRDefault="009B1497" w14:paraId="4C098A0F" w14:textId="2DD671CE">
      <w:pPr>
        <w:pStyle w:val="BodyText"/>
      </w:pPr>
      <w:r w:rsidRPr="00E75CB1">
        <w:rPr>
          <w:b/>
          <w:bCs/>
        </w:rPr>
        <w:t>Position</w:t>
      </w:r>
      <w:r>
        <w:t xml:space="preserve">: </w:t>
      </w:r>
      <w:r w:rsidR="00E75CB1">
        <w:t>Supply Chain Director</w:t>
      </w:r>
    </w:p>
    <w:p w:rsidR="009C34EE" w:rsidRDefault="009B1497" w14:paraId="2502469B" w14:textId="5E84E5A3">
      <w:pPr>
        <w:pStyle w:val="BodyText"/>
      </w:pPr>
      <w:r w:rsidRPr="00E75CB1">
        <w:rPr>
          <w:b/>
          <w:bCs/>
        </w:rPr>
        <w:t>Da</w:t>
      </w:r>
      <w:r w:rsidRPr="00E75CB1" w:rsidR="00E75CB1">
        <w:rPr>
          <w:b/>
          <w:bCs/>
        </w:rPr>
        <w:t>t</w:t>
      </w:r>
      <w:r w:rsidRPr="00E75CB1">
        <w:rPr>
          <w:b/>
          <w:bCs/>
        </w:rPr>
        <w:t>e</w:t>
      </w:r>
      <w:r>
        <w:t xml:space="preserve">: </w:t>
      </w:r>
      <w:r w:rsidR="00E75CB1">
        <w:t>17</w:t>
      </w:r>
      <w:r w:rsidRPr="00E75CB1" w:rsidR="00E75CB1">
        <w:rPr>
          <w:vertAlign w:val="superscript"/>
        </w:rPr>
        <w:t>th</w:t>
      </w:r>
      <w:r w:rsidR="00E75CB1">
        <w:t xml:space="preserve"> August 2026</w:t>
      </w:r>
    </w:p>
    <w:p w:rsidR="009C34EE" w:rsidRDefault="009B1497" w14:paraId="635B6406" w14:textId="2688FAD9">
      <w:pPr>
        <w:pStyle w:val="BodyText"/>
      </w:pPr>
      <w:r w:rsidRPr="00E75CB1">
        <w:rPr>
          <w:b/>
          <w:bCs/>
        </w:rPr>
        <w:t>Contact</w:t>
      </w:r>
      <w:r>
        <w:t xml:space="preserve">: </w:t>
      </w:r>
      <w:r w:rsidR="00E75CB1">
        <w:t>+441663 750000</w:t>
      </w:r>
      <w:bookmarkEnd w:id="0"/>
      <w:bookmarkEnd w:id="14"/>
    </w:p>
    <w:sectPr w:rsidR="009C34EE">
      <w:footnotePr>
        <w:numRestart w:val="eachSect"/>
      </w:footnotePr>
      <w:pgSz w:w="12240" w:h="15840" w:orient="portrait"/>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8196CDF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AFAE1E74"/>
    <w:lvl w:ilvl="0">
      <w:numFmt w:val="bullet"/>
      <w:lvlText w:val=""/>
      <w:lvlJc w:val="left"/>
      <w:pPr>
        <w:ind w:left="720" w:hanging="360"/>
      </w:pPr>
      <w:rPr>
        <w:rFonts w:hint="default" w:ascii="Symbol" w:hAnsi="Symbol" w:cs="Symbol"/>
      </w:rPr>
    </w:lvl>
    <w:lvl w:ilvl="1">
      <w:numFmt w:val="bullet"/>
      <w:lvlText w:val="o"/>
      <w:lvlJc w:val="left"/>
      <w:pPr>
        <w:ind w:left="1440" w:hanging="360"/>
      </w:pPr>
      <w:rPr>
        <w:rFonts w:hint="default" w:ascii="Courier New" w:hAnsi="Courier New" w:cs="Courier New"/>
      </w:rPr>
    </w:lvl>
    <w:lvl w:ilvl="2">
      <w:numFmt w:val="bullet"/>
      <w:lvlText w:val=""/>
      <w:lvlJc w:val="left"/>
      <w:pPr>
        <w:ind w:left="2160" w:hanging="360"/>
      </w:pPr>
      <w:rPr>
        <w:rFonts w:hint="default" w:ascii="Wingdings" w:hAnsi="Wingdings" w:cs="Wingdings"/>
      </w:rPr>
    </w:lvl>
    <w:lvl w:ilvl="3">
      <w:numFmt w:val="bullet"/>
      <w:lvlText w:val=""/>
      <w:lvlJc w:val="left"/>
      <w:pPr>
        <w:ind w:left="2880" w:hanging="360"/>
      </w:pPr>
      <w:rPr>
        <w:rFonts w:hint="default" w:ascii="Symbol" w:hAnsi="Symbol" w:cs="Symbol"/>
      </w:rPr>
    </w:lvl>
    <w:lvl w:ilvl="4">
      <w:numFmt w:val="bullet"/>
      <w:lvlText w:val="o"/>
      <w:lvlJc w:val="left"/>
      <w:pPr>
        <w:ind w:left="3600" w:hanging="360"/>
      </w:pPr>
      <w:rPr>
        <w:rFonts w:hint="default" w:ascii="Courier New" w:hAnsi="Courier New" w:cs="Courier New"/>
      </w:rPr>
    </w:lvl>
    <w:lvl w:ilvl="5">
      <w:numFmt w:val="bullet"/>
      <w:lvlText w:val=""/>
      <w:lvlJc w:val="left"/>
      <w:pPr>
        <w:ind w:left="4320" w:hanging="360"/>
      </w:pPr>
      <w:rPr>
        <w:rFonts w:hint="default" w:ascii="Wingdings" w:hAnsi="Wingdings" w:cs="Wingdings"/>
      </w:rPr>
    </w:lvl>
    <w:lvl w:ilvl="6">
      <w:numFmt w:val="bullet"/>
      <w:lvlText w:val=""/>
      <w:lvlJc w:val="left"/>
      <w:pPr>
        <w:ind w:left="5040" w:hanging="360"/>
      </w:pPr>
      <w:rPr>
        <w:rFonts w:hint="default" w:ascii="Symbol" w:hAnsi="Symbol" w:cs="Symbol"/>
      </w:rPr>
    </w:lvl>
    <w:lvl w:ilvl="7">
      <w:numFmt w:val="bullet"/>
      <w:lvlText w:val="o"/>
      <w:lvlJc w:val="left"/>
      <w:pPr>
        <w:ind w:left="5760" w:hanging="360"/>
      </w:pPr>
      <w:rPr>
        <w:rFonts w:hint="default" w:ascii="Courier New" w:hAnsi="Courier New" w:cs="Courier New"/>
      </w:rPr>
    </w:lvl>
    <w:lvl w:ilvl="8">
      <w:numFmt w:val="bullet"/>
      <w:lvlText w:val=""/>
      <w:lvlJc w:val="left"/>
      <w:pPr>
        <w:ind w:left="6480" w:hanging="360"/>
      </w:pPr>
      <w:rPr>
        <w:rFonts w:hint="default" w:ascii="Wingdings" w:hAnsi="Wingdings" w:cs="Wingdings"/>
      </w:rPr>
    </w:lvl>
  </w:abstractNum>
  <w:abstractNum w:abstractNumId="2" w15:restartNumberingAfterBreak="0">
    <w:nsid w:val="00A99411"/>
    <w:multiLevelType w:val="multilevel"/>
    <w:tmpl w:val="55F29EE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816070122">
    <w:abstractNumId w:val="0"/>
  </w:num>
  <w:num w:numId="2" w16cid:durableId="1677421689">
    <w:abstractNumId w:val="1"/>
  </w:num>
  <w:num w:numId="3" w16cid:durableId="794175873">
    <w:abstractNumId w:val="1"/>
  </w:num>
  <w:num w:numId="4" w16cid:durableId="926425017">
    <w:abstractNumId w:val="1"/>
  </w:num>
  <w:num w:numId="5" w16cid:durableId="2069720419">
    <w:abstractNumId w:val="1"/>
  </w:num>
  <w:num w:numId="6" w16cid:durableId="333536357">
    <w:abstractNumId w:val="1"/>
  </w:num>
  <w:num w:numId="7" w16cid:durableId="195433669">
    <w:abstractNumId w:val="1"/>
  </w:num>
  <w:num w:numId="8" w16cid:durableId="1885633600">
    <w:abstractNumId w:val="1"/>
  </w:num>
  <w:num w:numId="9" w16cid:durableId="1350568112">
    <w:abstractNumId w:val="1"/>
  </w:num>
  <w:num w:numId="10" w16cid:durableId="1550871639">
    <w:abstractNumId w:val="1"/>
  </w:num>
  <w:num w:numId="11" w16cid:durableId="833574033">
    <w:abstractNumId w:val="1"/>
  </w:num>
  <w:num w:numId="12" w16cid:durableId="1976794286">
    <w:abstractNumId w:val="1"/>
  </w:num>
  <w:num w:numId="13" w16cid:durableId="3876124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dirty"/>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4EE"/>
    <w:rsid w:val="000F0744"/>
    <w:rsid w:val="001B7082"/>
    <w:rsid w:val="00661F29"/>
    <w:rsid w:val="00774493"/>
    <w:rsid w:val="008C100F"/>
    <w:rsid w:val="009B1497"/>
    <w:rsid w:val="009C34EE"/>
    <w:rsid w:val="00E75CB1"/>
    <w:rsid w:val="72D7F1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64E95"/>
  <w15:docId w15:val="{C56D861F-A349-4AF6-841C-237EE4F2C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qFormat/>
    <w:pPr>
      <w:spacing w:before="180" w:after="180"/>
    </w:pPr>
  </w:style>
  <w:style w:type="paragraph" w:styleId="FirstParagraph" w:customStyle="1">
    <w:name w:val="First Paragraph"/>
    <w:basedOn w:val="BodyText"/>
    <w:next w:val="BodyText"/>
    <w:qFormat/>
  </w:style>
  <w:style w:type="paragraph" w:styleId="Compact" w:customStyle="1">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hAnsiTheme="majorHAnsi" w:eastAsiaTheme="majorEastAsia" w:cstheme="majorBidi"/>
      <w:sz w:val="56"/>
      <w:szCs w:val="56"/>
    </w:rPr>
  </w:style>
  <w:style w:type="character" w:styleId="TitleChar" w:customStyle="1">
    <w:name w:val="Title Char"/>
    <w:basedOn w:val="DefaultParagraphFont"/>
    <w:link w:val="Title"/>
    <w:uiPriority w:val="10"/>
    <w:rsid w:val="00A10FD9"/>
    <w:rPr>
      <w:rFonts w:asciiTheme="majorHAnsi" w:hAnsiTheme="majorHAnsi" w:eastAsiaTheme="majorEastAsia"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styleId="SubtitleChar" w:customStyle="1">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styleId="Author" w:customStyle="1">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styleId="AbstractTitle" w:customStyle="1">
    <w:name w:val="Abstract Title"/>
    <w:basedOn w:val="Normal"/>
    <w:next w:val="Abstract"/>
    <w:qFormat/>
    <w:pPr>
      <w:keepNext/>
      <w:keepLines/>
      <w:spacing w:before="300" w:after="0"/>
      <w:jc w:val="center"/>
    </w:pPr>
    <w:rPr>
      <w:b/>
      <w:sz w:val="20"/>
      <w:szCs w:val="20"/>
    </w:rPr>
  </w:style>
  <w:style w:type="paragraph" w:styleId="Abstract" w:customStyle="1">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styleId="Heading1Char" w:customStyle="1">
    <w:name w:val="Heading 1 Char"/>
    <w:basedOn w:val="DefaultParagraphFont"/>
    <w:link w:val="Heading1"/>
    <w:uiPriority w:val="9"/>
    <w:rsid w:val="00A10FD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10FD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10FD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10FD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10FD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10FD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styleId="FootnoteBlockText" w:customStyle="1">
    <w:name w:val="Footnote Block Text"/>
    <w:basedOn w:val="FootnoteText"/>
    <w:next w:val="FootnoteText"/>
    <w:uiPriority w:val="9"/>
    <w:unhideWhenUsed/>
    <w:qFormat/>
    <w:pPr>
      <w:spacing w:before="100" w:after="100"/>
      <w:ind w:left="480" w:right="480"/>
    </w:pPr>
  </w:style>
  <w:style w:type="table" w:styleId="Table" w:customStyle="1">
    <w:name w:val="Table"/>
    <w:semiHidden/>
    <w:unhideWhenUsed/>
    <w:qFormat/>
    <w:tblPr>
      <w:tblInd w:w="0" w:type="dxa"/>
      <w:tblCellMar>
        <w:top w:w="0" w:type="dxa"/>
        <w:left w:w="108" w:type="dxa"/>
        <w:bottom w:w="0" w:type="dxa"/>
        <w:right w:w="108" w:type="dxa"/>
      </w:tblCellMar>
    </w:tblPr>
    <w:tblStylePr w:type="firstRow">
      <w:tblPr/>
      <w:tcPr>
        <w:tcBorders>
          <w:bottom w:val="single" w:color="auto" w:sz="0" w:space="0"/>
        </w:tcBorders>
        <w:vAlign w:val="bottom"/>
      </w:tcPr>
    </w:tblStylePr>
  </w:style>
  <w:style w:type="paragraph" w:styleId="DefinitionTerm" w:customStyle="1">
    <w:name w:val="Definition Term"/>
    <w:basedOn w:val="Normal"/>
    <w:next w:val="Definition"/>
    <w:pPr>
      <w:keepNext/>
      <w:keepLines/>
      <w:spacing w:after="0"/>
    </w:pPr>
    <w:rPr>
      <w:b/>
    </w:rPr>
  </w:style>
  <w:style w:type="paragraph" w:styleId="Definition" w:customStyle="1">
    <w:name w:val="Definition"/>
    <w:basedOn w:val="Normal"/>
  </w:style>
  <w:style w:type="paragraph" w:styleId="Caption">
    <w:name w:val="caption"/>
    <w:basedOn w:val="Normal"/>
    <w:link w:val="CaptionChar"/>
    <w:pPr>
      <w:spacing w:after="120"/>
    </w:pPr>
    <w:rPr>
      <w:i/>
    </w:rPr>
  </w:style>
  <w:style w:type="paragraph" w:styleId="TableCaption" w:customStyle="1">
    <w:name w:val="Table Caption"/>
    <w:basedOn w:val="Caption"/>
    <w:pPr>
      <w:keepNext/>
    </w:pPr>
  </w:style>
  <w:style w:type="paragraph" w:styleId="ImageCaption" w:customStyle="1">
    <w:name w:val="Image Caption"/>
    <w:basedOn w:val="Caption"/>
  </w:style>
  <w:style w:type="paragraph" w:styleId="Figure" w:customStyle="1">
    <w:name w:val="Figure"/>
    <w:basedOn w:val="Normal"/>
  </w:style>
  <w:style w:type="paragraph" w:styleId="CaptionedFigure" w:customStyle="1">
    <w:name w:val="Captioned Figure"/>
    <w:basedOn w:val="Figure"/>
    <w:pPr>
      <w:keepNext/>
    </w:pPr>
  </w:style>
  <w:style w:type="character" w:styleId="CaptionChar" w:customStyle="1">
    <w:name w:val="Caption Char"/>
    <w:basedOn w:val="DefaultParagraphFont"/>
    <w:link w:val="Caption"/>
  </w:style>
  <w:style w:type="character" w:styleId="VerbatimChar" w:customStyle="1">
    <w:name w:val="Verbatim Char"/>
    <w:basedOn w:val="CaptionChar"/>
    <w:link w:val="SourceCode"/>
    <w:rPr>
      <w:rFonts w:ascii="Consolas" w:hAnsi="Consolas"/>
      <w:sz w:val="22"/>
    </w:rPr>
  </w:style>
  <w:style w:type="character" w:styleId="SectionNumber" w:customStyle="1">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styleId="SourceCode" w:customStyle="1">
    <w:name w:val="Source Code"/>
    <w:basedOn w:val="Normal"/>
    <w:link w:val="VerbatimChar"/>
    <w:pPr>
      <w:wordWrap w:val="0"/>
    </w:pPr>
  </w:style>
  <w:style w:type="character" w:styleId="KeywordTok" w:customStyle="1">
    <w:name w:val="KeywordTok"/>
    <w:basedOn w:val="VerbatimChar"/>
    <w:rPr>
      <w:rFonts w:ascii="Consolas" w:hAnsi="Consolas"/>
      <w:b/>
      <w:color w:val="007020"/>
      <w:sz w:val="22"/>
    </w:rPr>
  </w:style>
  <w:style w:type="character" w:styleId="DataTypeTok" w:customStyle="1">
    <w:name w:val="DataTypeTok"/>
    <w:basedOn w:val="VerbatimChar"/>
    <w:rPr>
      <w:rFonts w:ascii="Consolas" w:hAnsi="Consolas"/>
      <w:color w:val="902000"/>
      <w:sz w:val="22"/>
    </w:rPr>
  </w:style>
  <w:style w:type="character" w:styleId="DecValTok" w:customStyle="1">
    <w:name w:val="DecValTok"/>
    <w:basedOn w:val="VerbatimChar"/>
    <w:rPr>
      <w:rFonts w:ascii="Consolas" w:hAnsi="Consolas"/>
      <w:color w:val="40A070"/>
      <w:sz w:val="22"/>
    </w:rPr>
  </w:style>
  <w:style w:type="character" w:styleId="BaseNTok" w:customStyle="1">
    <w:name w:val="BaseNTok"/>
    <w:basedOn w:val="VerbatimChar"/>
    <w:rPr>
      <w:rFonts w:ascii="Consolas" w:hAnsi="Consolas"/>
      <w:color w:val="40A070"/>
      <w:sz w:val="22"/>
    </w:rPr>
  </w:style>
  <w:style w:type="character" w:styleId="FloatTok" w:customStyle="1">
    <w:name w:val="FloatTok"/>
    <w:basedOn w:val="VerbatimChar"/>
    <w:rPr>
      <w:rFonts w:ascii="Consolas" w:hAnsi="Consolas"/>
      <w:color w:val="40A070"/>
      <w:sz w:val="22"/>
    </w:rPr>
  </w:style>
  <w:style w:type="character" w:styleId="ConstantTok" w:customStyle="1">
    <w:name w:val="ConstantTok"/>
    <w:basedOn w:val="VerbatimChar"/>
    <w:rPr>
      <w:rFonts w:ascii="Consolas" w:hAnsi="Consolas"/>
      <w:color w:val="880000"/>
      <w:sz w:val="22"/>
    </w:rPr>
  </w:style>
  <w:style w:type="character" w:styleId="CharTok" w:customStyle="1">
    <w:name w:val="CharTok"/>
    <w:basedOn w:val="VerbatimChar"/>
    <w:rPr>
      <w:rFonts w:ascii="Consolas" w:hAnsi="Consolas"/>
      <w:color w:val="4070A0"/>
      <w:sz w:val="22"/>
    </w:rPr>
  </w:style>
  <w:style w:type="character" w:styleId="SpecialCharTok" w:customStyle="1">
    <w:name w:val="SpecialCharTok"/>
    <w:basedOn w:val="VerbatimChar"/>
    <w:rPr>
      <w:rFonts w:ascii="Consolas" w:hAnsi="Consolas"/>
      <w:color w:val="4070A0"/>
      <w:sz w:val="22"/>
    </w:rPr>
  </w:style>
  <w:style w:type="character" w:styleId="StringTok" w:customStyle="1">
    <w:name w:val="StringTok"/>
    <w:basedOn w:val="VerbatimChar"/>
    <w:rPr>
      <w:rFonts w:ascii="Consolas" w:hAnsi="Consolas"/>
      <w:color w:val="4070A0"/>
      <w:sz w:val="22"/>
    </w:rPr>
  </w:style>
  <w:style w:type="character" w:styleId="VerbatimStringTok" w:customStyle="1">
    <w:name w:val="VerbatimStringTok"/>
    <w:basedOn w:val="VerbatimChar"/>
    <w:rPr>
      <w:rFonts w:ascii="Consolas" w:hAnsi="Consolas"/>
      <w:color w:val="4070A0"/>
      <w:sz w:val="22"/>
    </w:rPr>
  </w:style>
  <w:style w:type="character" w:styleId="SpecialStringTok" w:customStyle="1">
    <w:name w:val="SpecialStringTok"/>
    <w:basedOn w:val="VerbatimChar"/>
    <w:rPr>
      <w:rFonts w:ascii="Consolas" w:hAnsi="Consolas"/>
      <w:color w:val="BB6688"/>
      <w:sz w:val="22"/>
    </w:rPr>
  </w:style>
  <w:style w:type="character" w:styleId="ImportTok" w:customStyle="1">
    <w:name w:val="ImportTok"/>
    <w:basedOn w:val="VerbatimChar"/>
    <w:rPr>
      <w:rFonts w:ascii="Consolas" w:hAnsi="Consolas"/>
      <w:b/>
      <w:color w:val="008000"/>
      <w:sz w:val="22"/>
    </w:rPr>
  </w:style>
  <w:style w:type="character" w:styleId="CommentTok" w:customStyle="1">
    <w:name w:val="CommentTok"/>
    <w:basedOn w:val="VerbatimChar"/>
    <w:rPr>
      <w:rFonts w:ascii="Consolas" w:hAnsi="Consolas"/>
      <w:i/>
      <w:color w:val="60A0B0"/>
      <w:sz w:val="22"/>
    </w:rPr>
  </w:style>
  <w:style w:type="character" w:styleId="DocumentationTok" w:customStyle="1">
    <w:name w:val="DocumentationTok"/>
    <w:basedOn w:val="VerbatimChar"/>
    <w:rPr>
      <w:rFonts w:ascii="Consolas" w:hAnsi="Consolas"/>
      <w:i/>
      <w:color w:val="BA2121"/>
      <w:sz w:val="22"/>
    </w:rPr>
  </w:style>
  <w:style w:type="character" w:styleId="AnnotationTok" w:customStyle="1">
    <w:name w:val="AnnotationTok"/>
    <w:basedOn w:val="VerbatimChar"/>
    <w:rPr>
      <w:rFonts w:ascii="Consolas" w:hAnsi="Consolas"/>
      <w:b/>
      <w:i/>
      <w:color w:val="60A0B0"/>
      <w:sz w:val="22"/>
    </w:rPr>
  </w:style>
  <w:style w:type="character" w:styleId="CommentVarTok" w:customStyle="1">
    <w:name w:val="CommentVarTok"/>
    <w:basedOn w:val="VerbatimChar"/>
    <w:rPr>
      <w:rFonts w:ascii="Consolas" w:hAnsi="Consolas"/>
      <w:b/>
      <w:i/>
      <w:color w:val="60A0B0"/>
      <w:sz w:val="22"/>
    </w:rPr>
  </w:style>
  <w:style w:type="character" w:styleId="OtherTok" w:customStyle="1">
    <w:name w:val="OtherTok"/>
    <w:basedOn w:val="VerbatimChar"/>
    <w:rPr>
      <w:rFonts w:ascii="Consolas" w:hAnsi="Consolas"/>
      <w:color w:val="007020"/>
      <w:sz w:val="22"/>
    </w:rPr>
  </w:style>
  <w:style w:type="character" w:styleId="FunctionTok" w:customStyle="1">
    <w:name w:val="FunctionTok"/>
    <w:basedOn w:val="VerbatimChar"/>
    <w:rPr>
      <w:rFonts w:ascii="Consolas" w:hAnsi="Consolas"/>
      <w:color w:val="06287E"/>
      <w:sz w:val="22"/>
    </w:rPr>
  </w:style>
  <w:style w:type="character" w:styleId="VariableTok" w:customStyle="1">
    <w:name w:val="VariableTok"/>
    <w:basedOn w:val="VerbatimChar"/>
    <w:rPr>
      <w:rFonts w:ascii="Consolas" w:hAnsi="Consolas"/>
      <w:color w:val="19177C"/>
      <w:sz w:val="22"/>
    </w:rPr>
  </w:style>
  <w:style w:type="character" w:styleId="ControlFlowTok" w:customStyle="1">
    <w:name w:val="ControlFlowTok"/>
    <w:basedOn w:val="VerbatimChar"/>
    <w:rPr>
      <w:rFonts w:ascii="Consolas" w:hAnsi="Consolas"/>
      <w:b/>
      <w:color w:val="007020"/>
      <w:sz w:val="22"/>
    </w:rPr>
  </w:style>
  <w:style w:type="character" w:styleId="OperatorTok" w:customStyle="1">
    <w:name w:val="OperatorTok"/>
    <w:basedOn w:val="VerbatimChar"/>
    <w:rPr>
      <w:rFonts w:ascii="Consolas" w:hAnsi="Consolas"/>
      <w:color w:val="666666"/>
      <w:sz w:val="22"/>
    </w:rPr>
  </w:style>
  <w:style w:type="character" w:styleId="BuiltInTok" w:customStyle="1">
    <w:name w:val="BuiltInTok"/>
    <w:basedOn w:val="VerbatimChar"/>
    <w:rPr>
      <w:rFonts w:ascii="Consolas" w:hAnsi="Consolas"/>
      <w:color w:val="008000"/>
      <w:sz w:val="22"/>
    </w:rPr>
  </w:style>
  <w:style w:type="character" w:styleId="ExtensionTok" w:customStyle="1">
    <w:name w:val="ExtensionTok"/>
    <w:basedOn w:val="VerbatimChar"/>
    <w:rPr>
      <w:rFonts w:ascii="Consolas" w:hAnsi="Consolas"/>
      <w:sz w:val="22"/>
    </w:rPr>
  </w:style>
  <w:style w:type="character" w:styleId="PreprocessorTok" w:customStyle="1">
    <w:name w:val="PreprocessorTok"/>
    <w:basedOn w:val="VerbatimChar"/>
    <w:rPr>
      <w:rFonts w:ascii="Consolas" w:hAnsi="Consolas"/>
      <w:color w:val="BC7A00"/>
      <w:sz w:val="22"/>
    </w:rPr>
  </w:style>
  <w:style w:type="character" w:styleId="AttributeTok" w:customStyle="1">
    <w:name w:val="AttributeTok"/>
    <w:basedOn w:val="VerbatimChar"/>
    <w:rPr>
      <w:rFonts w:ascii="Consolas" w:hAnsi="Consolas"/>
      <w:color w:val="7D9029"/>
      <w:sz w:val="22"/>
    </w:rPr>
  </w:style>
  <w:style w:type="character" w:styleId="RegionMarkerTok" w:customStyle="1">
    <w:name w:val="RegionMarkerTok"/>
    <w:basedOn w:val="VerbatimChar"/>
    <w:rPr>
      <w:rFonts w:ascii="Consolas" w:hAnsi="Consolas"/>
      <w:sz w:val="22"/>
    </w:rPr>
  </w:style>
  <w:style w:type="character" w:styleId="InformationTok" w:customStyle="1">
    <w:name w:val="InformationTok"/>
    <w:basedOn w:val="VerbatimChar"/>
    <w:rPr>
      <w:rFonts w:ascii="Consolas" w:hAnsi="Consolas"/>
      <w:b/>
      <w:i/>
      <w:color w:val="60A0B0"/>
      <w:sz w:val="22"/>
    </w:rPr>
  </w:style>
  <w:style w:type="character" w:styleId="WarningTok" w:customStyle="1">
    <w:name w:val="WarningTok"/>
    <w:basedOn w:val="VerbatimChar"/>
    <w:rPr>
      <w:rFonts w:ascii="Consolas" w:hAnsi="Consolas"/>
      <w:b/>
      <w:i/>
      <w:color w:val="60A0B0"/>
      <w:sz w:val="22"/>
    </w:rPr>
  </w:style>
  <w:style w:type="character" w:styleId="AlertTok" w:customStyle="1">
    <w:name w:val="AlertTok"/>
    <w:basedOn w:val="VerbatimChar"/>
    <w:rPr>
      <w:rFonts w:ascii="Consolas" w:hAnsi="Consolas"/>
      <w:b/>
      <w:color w:val="FF0000"/>
      <w:sz w:val="22"/>
    </w:rPr>
  </w:style>
  <w:style w:type="character" w:styleId="ErrorTok" w:customStyle="1">
    <w:name w:val="ErrorTok"/>
    <w:basedOn w:val="VerbatimChar"/>
    <w:rPr>
      <w:rFonts w:ascii="Consolas" w:hAnsi="Consolas"/>
      <w:b/>
      <w:color w:val="FF0000"/>
      <w:sz w:val="22"/>
    </w:rPr>
  </w:style>
  <w:style w:type="character" w:styleId="NormalTok" w:customStyle="1">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280E48E807ED4AA4BA7BE40CA69573" ma:contentTypeVersion="14" ma:contentTypeDescription="Create a new document." ma:contentTypeScope="" ma:versionID="41ea01d1926dcfac1ce170f61d45a062">
  <xsd:schema xmlns:xsd="http://www.w3.org/2001/XMLSchema" xmlns:xs="http://www.w3.org/2001/XMLSchema" xmlns:p="http://schemas.microsoft.com/office/2006/metadata/properties" xmlns:ns1="http://schemas.microsoft.com/sharepoint/v3" xmlns:ns2="ef760887-92d3-413b-b11d-236601df688e" xmlns:ns3="e30f7a5d-8fa8-41c9-ac7a-9b097ed4b6af" targetNamespace="http://schemas.microsoft.com/office/2006/metadata/properties" ma:root="true" ma:fieldsID="0f615fc2b09bf667a7b594565d090f0d" ns1:_="" ns2:_="" ns3:_="">
    <xsd:import namespace="http://schemas.microsoft.com/sharepoint/v3"/>
    <xsd:import namespace="ef760887-92d3-413b-b11d-236601df688e"/>
    <xsd:import namespace="e30f7a5d-8fa8-41c9-ac7a-9b097ed4b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760887-92d3-413b-b11d-236601df68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e40df2b-c156-4e70-b773-96d34ab3705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0f7a5d-8fa8-41c9-ac7a-9b097ed4b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e4df2-fc7b-40ef-a90a-380ef4425123}" ma:internalName="TaxCatchAll" ma:showField="CatchAllData" ma:web="e30f7a5d-8fa8-41c9-ac7a-9b097ed4b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f760887-92d3-413b-b11d-236601df688e">
      <Terms xmlns="http://schemas.microsoft.com/office/infopath/2007/PartnerControls"/>
    </lcf76f155ced4ddcb4097134ff3c332f>
    <_ip_UnifiedCompliancePolicyProperties xmlns="http://schemas.microsoft.com/sharepoint/v3" xsi:nil="true"/>
    <TaxCatchAll xmlns="e30f7a5d-8fa8-41c9-ac7a-9b097ed4b6af" xsi:nil="true"/>
  </documentManagement>
</p:properties>
</file>

<file path=customXml/itemProps1.xml><?xml version="1.0" encoding="utf-8"?>
<ds:datastoreItem xmlns:ds="http://schemas.openxmlformats.org/officeDocument/2006/customXml" ds:itemID="{63DE4717-9ECE-4CDB-83AA-F51C275C80F4}"/>
</file>

<file path=customXml/itemProps2.xml><?xml version="1.0" encoding="utf-8"?>
<ds:datastoreItem xmlns:ds="http://schemas.openxmlformats.org/officeDocument/2006/customXml" ds:itemID="{E73BB54D-A552-4DDD-966C-8F7F27E617C4}"/>
</file>

<file path=customXml/itemProps3.xml><?xml version="1.0" encoding="utf-8"?>
<ds:datastoreItem xmlns:ds="http://schemas.openxmlformats.org/officeDocument/2006/customXml" ds:itemID="{C6A5B763-DB8D-493B-8B10-6626BEDE8C2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Saul Good</dc:creator>
  <cp:keywords/>
  <cp:lastModifiedBy>David Griffiths</cp:lastModifiedBy>
  <cp:revision>3</cp:revision>
  <dcterms:created xsi:type="dcterms:W3CDTF">2026-08-17T10:48:00Z</dcterms:created>
  <dcterms:modified xsi:type="dcterms:W3CDTF">2026-09-02T10:08:09Z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0x010100C9280E48E807ED4AA4BA7BE40CA69573</vt:lpwstr>
  </property>
  <property fmtid="{D5CDD505-2E9C-101B-9397-08002B2CF9AE}" pid="3" name="MediaServiceImageTags">
    <vt:lpwstr/>
  </property>
  <property fmtid="{D5CDD505-2E9C-101B-9397-08002B2CF9AE}" pid="5" name="docLang">
    <vt:lpwstr>en</vt:lpwstr>
  </property>
</Properties>
</file>