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18D1D0" w14:textId="199BB0D3" w:rsidR="00835F03" w:rsidRDefault="00835F03" w:rsidP="64708BEF">
      <w:pPr>
        <w:spacing w:after="0" w:line="300" w:lineRule="auto"/>
        <w:rPr>
          <w:rFonts w:ascii="Arial" w:eastAsia="Arial" w:hAnsi="Arial" w:cs="Arial"/>
        </w:rPr>
      </w:pPr>
    </w:p>
    <w:p w14:paraId="1A5D0C0C" w14:textId="17F8D80C" w:rsidR="00835F03" w:rsidRDefault="351C37DD" w:rsidP="64708BEF">
      <w:pPr>
        <w:spacing w:after="0" w:line="300" w:lineRule="auto"/>
        <w:rPr>
          <w:rFonts w:ascii="Arial" w:eastAsia="Arial" w:hAnsi="Arial" w:cs="Arial"/>
          <w:b/>
          <w:bCs/>
        </w:rPr>
      </w:pPr>
      <w:r w:rsidRPr="64708BEF">
        <w:rPr>
          <w:rFonts w:ascii="Arial" w:eastAsia="Arial" w:hAnsi="Arial" w:cs="Arial"/>
          <w:b/>
          <w:bCs/>
        </w:rPr>
        <w:t>Annex</w:t>
      </w:r>
      <w:r w:rsidR="49E5EDA9" w:rsidRPr="64708BEF">
        <w:rPr>
          <w:rFonts w:ascii="Arial" w:eastAsia="Arial" w:hAnsi="Arial" w:cs="Arial"/>
          <w:b/>
          <w:bCs/>
        </w:rPr>
        <w:t xml:space="preserve"> </w:t>
      </w:r>
      <w:r w:rsidRPr="64708BEF">
        <w:rPr>
          <w:rFonts w:ascii="Arial" w:eastAsia="Arial" w:hAnsi="Arial" w:cs="Arial"/>
          <w:b/>
          <w:bCs/>
        </w:rPr>
        <w:t xml:space="preserve">E2 Part </w:t>
      </w:r>
      <w:r w:rsidR="002B7680">
        <w:rPr>
          <w:rFonts w:ascii="Arial" w:eastAsia="Arial" w:hAnsi="Arial" w:cs="Arial"/>
          <w:b/>
          <w:bCs/>
        </w:rPr>
        <w:t>4</w:t>
      </w:r>
      <w:r w:rsidRPr="64708BEF">
        <w:rPr>
          <w:rFonts w:ascii="Arial" w:eastAsia="Arial" w:hAnsi="Arial" w:cs="Arial"/>
          <w:b/>
          <w:bCs/>
        </w:rPr>
        <w:t xml:space="preserve"> Other Goods Produced Using the Same Equipment/Processes</w:t>
      </w:r>
    </w:p>
    <w:p w14:paraId="2F9671E7" w14:textId="1F16D1D4" w:rsidR="00835F03" w:rsidRDefault="0FE0C504" w:rsidP="64708BEF">
      <w:pPr>
        <w:spacing w:before="210" w:after="210" w:line="300" w:lineRule="auto"/>
        <w:rPr>
          <w:rFonts w:ascii="Arial" w:eastAsia="Arial" w:hAnsi="Arial" w:cs="Arial"/>
        </w:rPr>
      </w:pPr>
      <w:r w:rsidRPr="64708BEF">
        <w:rPr>
          <w:rFonts w:ascii="Arial" w:eastAsia="Arial" w:hAnsi="Arial" w:cs="Arial"/>
        </w:rPr>
        <w:t>This</w:t>
      </w:r>
      <w:r w:rsidR="5C76151D" w:rsidRPr="64708BEF">
        <w:rPr>
          <w:rFonts w:ascii="Arial" w:eastAsia="Arial" w:hAnsi="Arial" w:cs="Arial"/>
        </w:rPr>
        <w:t xml:space="preserve"> annex should be read in conjunction with our original submission. </w:t>
      </w:r>
      <w:r w:rsidR="351C37DD" w:rsidRPr="64708BEF">
        <w:rPr>
          <w:rFonts w:ascii="Arial" w:eastAsia="Arial" w:hAnsi="Arial" w:cs="Arial"/>
        </w:rPr>
        <w:t>The evidence shows that Chinese long‑product mills have the capability to produce multiple steel long products using the same rolling equipment and processes. In particular:</w:t>
      </w:r>
    </w:p>
    <w:p w14:paraId="081FFF8C" w14:textId="46A550C7" w:rsidR="00835F03" w:rsidRDefault="351C37DD" w:rsidP="64708BEF">
      <w:pPr>
        <w:pStyle w:val="Heading3"/>
        <w:spacing w:before="246" w:after="246" w:line="300" w:lineRule="auto"/>
        <w:rPr>
          <w:rFonts w:ascii="Arial" w:eastAsia="Arial" w:hAnsi="Arial" w:cs="Arial"/>
          <w:b/>
          <w:bCs/>
          <w:color w:val="auto"/>
          <w:sz w:val="24"/>
          <w:szCs w:val="24"/>
        </w:rPr>
      </w:pPr>
      <w:r w:rsidRPr="64708BEF">
        <w:rPr>
          <w:rFonts w:ascii="Arial" w:eastAsia="Arial" w:hAnsi="Arial" w:cs="Arial"/>
          <w:b/>
          <w:bCs/>
          <w:color w:val="auto"/>
          <w:sz w:val="24"/>
          <w:szCs w:val="24"/>
        </w:rPr>
        <w:t>1.1 Rebar (Category 13)</w:t>
      </w:r>
    </w:p>
    <w:p w14:paraId="43ACE610" w14:textId="2038FD6A" w:rsidR="00835F03" w:rsidRDefault="351C37DD" w:rsidP="64708BEF">
      <w:pPr>
        <w:pStyle w:val="ListParagraph"/>
        <w:numPr>
          <w:ilvl w:val="0"/>
          <w:numId w:val="7"/>
        </w:numPr>
        <w:spacing w:after="0" w:line="300" w:lineRule="auto"/>
        <w:rPr>
          <w:rFonts w:ascii="Arial" w:eastAsia="Arial" w:hAnsi="Arial" w:cs="Arial"/>
        </w:rPr>
      </w:pPr>
      <w:r w:rsidRPr="64708BEF">
        <w:rPr>
          <w:rFonts w:ascii="Arial" w:eastAsia="Arial" w:hAnsi="Arial" w:cs="Arial"/>
        </w:rPr>
        <w:t>The</w:t>
      </w:r>
      <w:r w:rsidR="5AD31B50" w:rsidRPr="64708BEF">
        <w:rPr>
          <w:rFonts w:ascii="Arial" w:eastAsia="Arial" w:hAnsi="Arial" w:cs="Arial"/>
        </w:rPr>
        <w:t xml:space="preserve"> evidence </w:t>
      </w:r>
      <w:r w:rsidRPr="64708BEF">
        <w:rPr>
          <w:rFonts w:ascii="Arial" w:eastAsia="Arial" w:hAnsi="Arial" w:cs="Arial"/>
        </w:rPr>
        <w:t>clearly states that many producers do not operate equipment dedicated to a single CN category.</w:t>
      </w:r>
    </w:p>
    <w:p w14:paraId="052D8651" w14:textId="02141745" w:rsidR="00835F03" w:rsidRDefault="351C37DD" w:rsidP="64708BEF">
      <w:pPr>
        <w:pStyle w:val="ListParagraph"/>
        <w:numPr>
          <w:ilvl w:val="0"/>
          <w:numId w:val="7"/>
        </w:numPr>
        <w:spacing w:after="0" w:line="300" w:lineRule="auto"/>
        <w:rPr>
          <w:rFonts w:ascii="Arial" w:eastAsia="Arial" w:hAnsi="Arial" w:cs="Arial"/>
        </w:rPr>
      </w:pPr>
      <w:r w:rsidRPr="64708BEF">
        <w:rPr>
          <w:rFonts w:ascii="Arial" w:eastAsia="Arial" w:hAnsi="Arial" w:cs="Arial"/>
        </w:rPr>
        <w:t>This is “particularly true for producers of rebar (cat. 13) and wire rod (cat. 16).</w:t>
      </w:r>
    </w:p>
    <w:p w14:paraId="16439F50" w14:textId="5BB1DE9F" w:rsidR="00835F03" w:rsidRDefault="351C37DD" w:rsidP="64708BEF">
      <w:pPr>
        <w:pStyle w:val="ListParagraph"/>
        <w:numPr>
          <w:ilvl w:val="0"/>
          <w:numId w:val="7"/>
        </w:numPr>
        <w:spacing w:after="0" w:line="300" w:lineRule="auto"/>
        <w:rPr>
          <w:rFonts w:ascii="Arial" w:eastAsia="Arial" w:hAnsi="Arial" w:cs="Arial"/>
        </w:rPr>
      </w:pPr>
      <w:r w:rsidRPr="64708BEF">
        <w:rPr>
          <w:rFonts w:ascii="Arial" w:eastAsia="Arial" w:hAnsi="Arial" w:cs="Arial"/>
        </w:rPr>
        <w:t>Rebar in coil form is classified as wire rod (cat. 16) but is “</w:t>
      </w:r>
      <w:r w:rsidRPr="64708BEF">
        <w:rPr>
          <w:rFonts w:ascii="Arial" w:eastAsia="Arial" w:hAnsi="Arial" w:cs="Arial"/>
          <w:i/>
          <w:iCs/>
        </w:rPr>
        <w:t>exactly the same product as rebar (cat. 13) although presented in coil format rather than in straight lengths</w:t>
      </w:r>
      <w:r w:rsidRPr="64708BEF">
        <w:rPr>
          <w:rFonts w:ascii="Arial" w:eastAsia="Arial" w:hAnsi="Arial" w:cs="Arial"/>
        </w:rPr>
        <w:t xml:space="preserve">.” </w:t>
      </w:r>
    </w:p>
    <w:p w14:paraId="4EEF0E80" w14:textId="7D16B16E" w:rsidR="00835F03" w:rsidRDefault="58C795E4" w:rsidP="193F89EA">
      <w:pPr>
        <w:spacing w:before="210" w:after="210" w:line="300" w:lineRule="auto"/>
        <w:rPr>
          <w:rFonts w:ascii="Arial" w:eastAsia="Arial" w:hAnsi="Arial" w:cs="Arial"/>
        </w:rPr>
      </w:pPr>
      <w:r w:rsidRPr="193F89EA">
        <w:rPr>
          <w:rFonts w:ascii="Arial" w:eastAsia="Arial" w:hAnsi="Arial" w:cs="Arial"/>
        </w:rPr>
        <w:t>This demonstrates that the same rolling line can produce straight rebar, rebar in coil, or wire rod with minimal changes.</w:t>
      </w:r>
    </w:p>
    <w:p w14:paraId="36BB971D" w14:textId="6C0EC8D0" w:rsidR="00835F03" w:rsidRDefault="351C37DD" w:rsidP="64708BEF">
      <w:pPr>
        <w:pStyle w:val="Heading3"/>
        <w:spacing w:before="246" w:after="246" w:line="300" w:lineRule="auto"/>
        <w:rPr>
          <w:rFonts w:ascii="Arial" w:eastAsia="Arial" w:hAnsi="Arial" w:cs="Arial"/>
          <w:b/>
          <w:bCs/>
          <w:color w:val="auto"/>
          <w:sz w:val="24"/>
          <w:szCs w:val="24"/>
        </w:rPr>
      </w:pPr>
      <w:r w:rsidRPr="64708BEF">
        <w:rPr>
          <w:rFonts w:ascii="Arial" w:eastAsia="Arial" w:hAnsi="Arial" w:cs="Arial"/>
          <w:b/>
          <w:bCs/>
          <w:color w:val="auto"/>
          <w:sz w:val="24"/>
          <w:szCs w:val="24"/>
        </w:rPr>
        <w:t>1.2 Smooth Wire Rod as Input to Rebar Substitutes</w:t>
      </w:r>
    </w:p>
    <w:p w14:paraId="6B551223" w14:textId="0F71A765" w:rsidR="00835F03" w:rsidRDefault="351C37DD" w:rsidP="64708BEF">
      <w:pPr>
        <w:pStyle w:val="ListParagraph"/>
        <w:numPr>
          <w:ilvl w:val="0"/>
          <w:numId w:val="6"/>
        </w:numPr>
        <w:spacing w:after="0" w:line="300" w:lineRule="auto"/>
        <w:rPr>
          <w:rFonts w:ascii="Arial" w:eastAsia="Arial" w:hAnsi="Arial" w:cs="Arial"/>
        </w:rPr>
      </w:pPr>
      <w:r w:rsidRPr="64708BEF">
        <w:rPr>
          <w:rFonts w:ascii="Arial" w:eastAsia="Arial" w:hAnsi="Arial" w:cs="Arial"/>
        </w:rPr>
        <w:t xml:space="preserve">The </w:t>
      </w:r>
      <w:r w:rsidR="0370BF67" w:rsidRPr="64708BEF">
        <w:rPr>
          <w:rFonts w:ascii="Arial" w:eastAsia="Arial" w:hAnsi="Arial" w:cs="Arial"/>
        </w:rPr>
        <w:t xml:space="preserve">submission </w:t>
      </w:r>
      <w:r w:rsidRPr="64708BEF">
        <w:rPr>
          <w:rFonts w:ascii="Arial" w:eastAsia="Arial" w:hAnsi="Arial" w:cs="Arial"/>
        </w:rPr>
        <w:t xml:space="preserve">notes that smooth‑profile wire rod can be further processed downstream into a substitute product for hot‑rolled rebar, confirming substantial overlap in production characteristics. </w:t>
      </w:r>
    </w:p>
    <w:p w14:paraId="11B16B7B" w14:textId="4BC34E7C" w:rsidR="00835F03" w:rsidRDefault="351C37DD" w:rsidP="64708BEF">
      <w:pPr>
        <w:pStyle w:val="Heading3"/>
        <w:spacing w:before="246" w:after="246" w:line="300" w:lineRule="auto"/>
        <w:rPr>
          <w:rFonts w:ascii="Arial" w:eastAsia="Arial" w:hAnsi="Arial" w:cs="Arial"/>
          <w:b/>
          <w:bCs/>
          <w:color w:val="auto"/>
          <w:sz w:val="24"/>
          <w:szCs w:val="24"/>
        </w:rPr>
      </w:pPr>
      <w:r w:rsidRPr="64708BEF">
        <w:rPr>
          <w:rFonts w:ascii="Arial" w:eastAsia="Arial" w:hAnsi="Arial" w:cs="Arial"/>
          <w:b/>
          <w:bCs/>
          <w:color w:val="auto"/>
          <w:sz w:val="24"/>
          <w:szCs w:val="24"/>
        </w:rPr>
        <w:t>1.3 Merchant Bar (Category 12) and Sections (Category 17)</w:t>
      </w:r>
    </w:p>
    <w:p w14:paraId="472B13CD" w14:textId="1FC02E71" w:rsidR="00835F03" w:rsidRDefault="351C37DD" w:rsidP="64708BEF">
      <w:pPr>
        <w:pStyle w:val="ListParagraph"/>
        <w:numPr>
          <w:ilvl w:val="0"/>
          <w:numId w:val="5"/>
        </w:numPr>
        <w:spacing w:after="0" w:line="300" w:lineRule="auto"/>
        <w:rPr>
          <w:rFonts w:ascii="Arial" w:eastAsia="Arial" w:hAnsi="Arial" w:cs="Arial"/>
        </w:rPr>
      </w:pPr>
      <w:r w:rsidRPr="64708BEF">
        <w:rPr>
          <w:rFonts w:ascii="Arial" w:eastAsia="Arial" w:hAnsi="Arial" w:cs="Arial"/>
        </w:rPr>
        <w:t>Many long‑product producers manufacture merchant bar or sections, sharing upstream furnaces and rolling infrastructure with rebar/wire‑rod mills.</w:t>
      </w:r>
    </w:p>
    <w:p w14:paraId="4E6180A6" w14:textId="763280AB" w:rsidR="00835F03" w:rsidRDefault="351C37DD" w:rsidP="64708BEF">
      <w:pPr>
        <w:pStyle w:val="ListParagraph"/>
        <w:numPr>
          <w:ilvl w:val="0"/>
          <w:numId w:val="5"/>
        </w:numPr>
        <w:spacing w:after="0" w:line="300" w:lineRule="auto"/>
        <w:rPr>
          <w:rFonts w:ascii="Arial" w:eastAsia="Arial" w:hAnsi="Arial" w:cs="Arial"/>
        </w:rPr>
      </w:pPr>
      <w:r w:rsidRPr="64708BEF">
        <w:rPr>
          <w:rFonts w:ascii="Arial" w:eastAsia="Arial" w:hAnsi="Arial" w:cs="Arial"/>
        </w:rPr>
        <w:t xml:space="preserve">The document specifies that such producers “do not have facilities dedicated to a single commodity code grouping.” </w:t>
      </w:r>
    </w:p>
    <w:p w14:paraId="64CC3E3C" w14:textId="5F8795B2" w:rsidR="00835F03" w:rsidRDefault="351C37DD" w:rsidP="64708BEF">
      <w:pPr>
        <w:spacing w:before="210" w:after="210" w:line="300" w:lineRule="auto"/>
        <w:rPr>
          <w:rFonts w:ascii="Arial" w:eastAsia="Arial" w:hAnsi="Arial" w:cs="Arial"/>
        </w:rPr>
      </w:pPr>
      <w:r w:rsidRPr="64708BEF">
        <w:rPr>
          <w:rFonts w:ascii="Arial" w:eastAsia="Arial" w:hAnsi="Arial" w:cs="Arial"/>
          <w:b/>
          <w:bCs/>
        </w:rPr>
        <w:t>Conclusion:</w:t>
      </w:r>
      <w:r w:rsidR="00000000">
        <w:br/>
      </w:r>
      <w:r w:rsidRPr="64708BEF">
        <w:rPr>
          <w:rFonts w:ascii="Arial" w:eastAsia="Arial" w:hAnsi="Arial" w:cs="Arial"/>
        </w:rPr>
        <w:t>The same mills that produce wire rod can also produce rebar (straight and coil), merchant bar, and other long products, demonstrating a high degree of cross‑product flexibility.</w:t>
      </w:r>
    </w:p>
    <w:p w14:paraId="0AE77A19" w14:textId="58CDEC6D" w:rsidR="00835F03" w:rsidRDefault="00835F03" w:rsidP="64708BEF">
      <w:pPr>
        <w:spacing w:after="0" w:line="300" w:lineRule="auto"/>
        <w:rPr>
          <w:rFonts w:ascii="Arial" w:eastAsia="Arial" w:hAnsi="Arial" w:cs="Arial"/>
        </w:rPr>
      </w:pPr>
    </w:p>
    <w:p w14:paraId="7C897288" w14:textId="6A83C405" w:rsidR="00835F03" w:rsidRDefault="351C37DD" w:rsidP="64708BEF">
      <w:pPr>
        <w:pStyle w:val="Heading2"/>
        <w:spacing w:before="261" w:after="261" w:line="300" w:lineRule="auto"/>
        <w:rPr>
          <w:rFonts w:ascii="Arial" w:eastAsia="Arial" w:hAnsi="Arial" w:cs="Arial"/>
          <w:b/>
          <w:bCs/>
          <w:color w:val="auto"/>
          <w:sz w:val="24"/>
          <w:szCs w:val="24"/>
        </w:rPr>
      </w:pPr>
      <w:r w:rsidRPr="64708BEF">
        <w:rPr>
          <w:rFonts w:ascii="Arial" w:eastAsia="Arial" w:hAnsi="Arial" w:cs="Arial"/>
          <w:b/>
          <w:bCs/>
          <w:color w:val="auto"/>
          <w:sz w:val="24"/>
          <w:szCs w:val="24"/>
        </w:rPr>
        <w:t>2. Feasibility of Switching Production to the Like Goods</w:t>
      </w:r>
    </w:p>
    <w:p w14:paraId="5BAC4324" w14:textId="21BFF72A" w:rsidR="00835F03" w:rsidRDefault="351C37DD" w:rsidP="64708BEF">
      <w:pPr>
        <w:spacing w:before="210" w:after="210" w:line="300" w:lineRule="auto"/>
        <w:rPr>
          <w:rFonts w:ascii="Arial" w:eastAsia="Arial" w:hAnsi="Arial" w:cs="Arial"/>
        </w:rPr>
      </w:pPr>
      <w:r w:rsidRPr="64708BEF">
        <w:rPr>
          <w:rFonts w:ascii="Arial" w:eastAsia="Arial" w:hAnsi="Arial" w:cs="Arial"/>
        </w:rPr>
        <w:t>The</w:t>
      </w:r>
      <w:r w:rsidR="56BE13CD" w:rsidRPr="64708BEF">
        <w:rPr>
          <w:rFonts w:ascii="Arial" w:eastAsia="Arial" w:hAnsi="Arial" w:cs="Arial"/>
        </w:rPr>
        <w:t xml:space="preserve"> original submission </w:t>
      </w:r>
      <w:r w:rsidRPr="64708BEF">
        <w:rPr>
          <w:rFonts w:ascii="Arial" w:eastAsia="Arial" w:hAnsi="Arial" w:cs="Arial"/>
        </w:rPr>
        <w:t xml:space="preserve">clearly indicates that switching to </w:t>
      </w:r>
      <w:r w:rsidR="00633BD6">
        <w:rPr>
          <w:rFonts w:ascii="Arial" w:eastAsia="Arial" w:hAnsi="Arial" w:cs="Arial"/>
        </w:rPr>
        <w:t>rebar</w:t>
      </w:r>
      <w:r w:rsidRPr="64708BEF">
        <w:rPr>
          <w:rFonts w:ascii="Arial" w:eastAsia="Arial" w:hAnsi="Arial" w:cs="Arial"/>
        </w:rPr>
        <w:t xml:space="preserve"> production is operationally easy, commercially routine, and requires minimal technical adjustment.</w:t>
      </w:r>
    </w:p>
    <w:p w14:paraId="048113D6" w14:textId="09E4EFCE" w:rsidR="00835F03" w:rsidRDefault="351C37DD" w:rsidP="64708BEF">
      <w:pPr>
        <w:pStyle w:val="Heading3"/>
        <w:spacing w:before="246" w:after="246" w:line="300" w:lineRule="auto"/>
        <w:rPr>
          <w:rFonts w:ascii="Arial" w:eastAsia="Arial" w:hAnsi="Arial" w:cs="Arial"/>
          <w:b/>
          <w:bCs/>
          <w:color w:val="auto"/>
          <w:sz w:val="24"/>
          <w:szCs w:val="24"/>
        </w:rPr>
      </w:pPr>
      <w:r w:rsidRPr="64708BEF">
        <w:rPr>
          <w:rFonts w:ascii="Arial" w:eastAsia="Arial" w:hAnsi="Arial" w:cs="Arial"/>
          <w:b/>
          <w:bCs/>
          <w:color w:val="auto"/>
          <w:sz w:val="24"/>
          <w:szCs w:val="24"/>
        </w:rPr>
        <w:lastRenderedPageBreak/>
        <w:t>2.1 High Interchangeability</w:t>
      </w:r>
    </w:p>
    <w:p w14:paraId="0B93383E" w14:textId="6FFDD2A0" w:rsidR="00835F03" w:rsidRDefault="351C37DD" w:rsidP="64708BEF">
      <w:pPr>
        <w:pStyle w:val="ListParagraph"/>
        <w:numPr>
          <w:ilvl w:val="0"/>
          <w:numId w:val="4"/>
        </w:numPr>
        <w:spacing w:after="0" w:line="300" w:lineRule="auto"/>
        <w:rPr>
          <w:rFonts w:ascii="Arial" w:eastAsia="Arial" w:hAnsi="Arial" w:cs="Arial"/>
        </w:rPr>
      </w:pPr>
      <w:r w:rsidRPr="64708BEF">
        <w:rPr>
          <w:rFonts w:ascii="Arial" w:eastAsia="Arial" w:hAnsi="Arial" w:cs="Arial"/>
        </w:rPr>
        <w:t>The interchangeability between rebar and wire rod is explicitly highlighted, with the document stating that the two products are effectively the same in coiled form.</w:t>
      </w:r>
    </w:p>
    <w:p w14:paraId="08BB0590" w14:textId="399E6A4D" w:rsidR="00835F03" w:rsidRDefault="351C37DD" w:rsidP="64708BEF">
      <w:pPr>
        <w:pStyle w:val="ListParagraph"/>
        <w:numPr>
          <w:ilvl w:val="0"/>
          <w:numId w:val="4"/>
        </w:numPr>
        <w:spacing w:after="0" w:line="300" w:lineRule="auto"/>
        <w:rPr>
          <w:rFonts w:ascii="Arial" w:eastAsia="Arial" w:hAnsi="Arial" w:cs="Arial"/>
        </w:rPr>
      </w:pPr>
      <w:r w:rsidRPr="64708BEF">
        <w:rPr>
          <w:rFonts w:ascii="Arial" w:eastAsia="Arial" w:hAnsi="Arial" w:cs="Arial"/>
        </w:rPr>
        <w:t xml:space="preserve">This means mills can switch from rebar to wire rod within normal rolling schedules, without capital investment. </w:t>
      </w:r>
    </w:p>
    <w:p w14:paraId="456083DA" w14:textId="618563F3" w:rsidR="00835F03" w:rsidRDefault="351C37DD" w:rsidP="64708BEF">
      <w:pPr>
        <w:pStyle w:val="Heading3"/>
        <w:spacing w:before="246" w:after="246" w:line="300" w:lineRule="auto"/>
        <w:rPr>
          <w:rFonts w:ascii="Arial" w:eastAsia="Arial" w:hAnsi="Arial" w:cs="Arial"/>
          <w:b/>
          <w:bCs/>
          <w:color w:val="auto"/>
          <w:sz w:val="24"/>
          <w:szCs w:val="24"/>
        </w:rPr>
      </w:pPr>
      <w:r w:rsidRPr="64708BEF">
        <w:rPr>
          <w:rFonts w:ascii="Arial" w:eastAsia="Arial" w:hAnsi="Arial" w:cs="Arial"/>
          <w:b/>
          <w:bCs/>
          <w:color w:val="auto"/>
          <w:sz w:val="24"/>
          <w:szCs w:val="24"/>
        </w:rPr>
        <w:t>2.2 Low Cost and Minimal Disruption</w:t>
      </w:r>
    </w:p>
    <w:p w14:paraId="3B5636B7" w14:textId="643219F8" w:rsidR="00835F03" w:rsidRDefault="351C37DD" w:rsidP="64708BEF">
      <w:pPr>
        <w:pStyle w:val="ListParagraph"/>
        <w:numPr>
          <w:ilvl w:val="0"/>
          <w:numId w:val="3"/>
        </w:numPr>
        <w:spacing w:after="0" w:line="300" w:lineRule="auto"/>
        <w:rPr>
          <w:rFonts w:ascii="Arial" w:eastAsia="Arial" w:hAnsi="Arial" w:cs="Arial"/>
        </w:rPr>
      </w:pPr>
      <w:r w:rsidRPr="64708BEF">
        <w:rPr>
          <w:rFonts w:ascii="Arial" w:eastAsia="Arial" w:hAnsi="Arial" w:cs="Arial"/>
        </w:rPr>
        <w:t>Because long‑product mills share common reheating, rolling, and coiling equipment, production changes typically involve only adjustments to roll settings or bar dimensions.</w:t>
      </w:r>
    </w:p>
    <w:p w14:paraId="6D6E663F" w14:textId="43D750A4" w:rsidR="00835F03" w:rsidRDefault="351C37DD" w:rsidP="64708BEF">
      <w:pPr>
        <w:pStyle w:val="ListParagraph"/>
        <w:numPr>
          <w:ilvl w:val="0"/>
          <w:numId w:val="3"/>
        </w:numPr>
        <w:spacing w:after="0" w:line="300" w:lineRule="auto"/>
        <w:rPr>
          <w:rFonts w:ascii="Arial" w:eastAsia="Arial" w:hAnsi="Arial" w:cs="Arial"/>
        </w:rPr>
      </w:pPr>
      <w:r w:rsidRPr="64708BEF">
        <w:rPr>
          <w:rFonts w:ascii="Arial" w:eastAsia="Arial" w:hAnsi="Arial" w:cs="Arial"/>
        </w:rPr>
        <w:t xml:space="preserve">The document warns that this product interchangeability is significant enough that importers could exploit it to circumvent trade remedies, which would only be feasible if operational switching were easy. </w:t>
      </w:r>
    </w:p>
    <w:p w14:paraId="4B86D732" w14:textId="36E4F4FF" w:rsidR="00835F03" w:rsidRDefault="351C37DD" w:rsidP="64708BEF">
      <w:pPr>
        <w:pStyle w:val="Heading3"/>
        <w:spacing w:before="246" w:after="246" w:line="300" w:lineRule="auto"/>
        <w:rPr>
          <w:rFonts w:ascii="Arial" w:eastAsia="Arial" w:hAnsi="Arial" w:cs="Arial"/>
          <w:b/>
          <w:bCs/>
          <w:color w:val="auto"/>
          <w:sz w:val="24"/>
          <w:szCs w:val="24"/>
        </w:rPr>
      </w:pPr>
      <w:r w:rsidRPr="64708BEF">
        <w:rPr>
          <w:rFonts w:ascii="Arial" w:eastAsia="Arial" w:hAnsi="Arial" w:cs="Arial"/>
          <w:b/>
          <w:bCs/>
          <w:color w:val="auto"/>
          <w:sz w:val="24"/>
          <w:szCs w:val="24"/>
        </w:rPr>
        <w:t xml:space="preserve">2.3 Strong Incentive to Switch to </w:t>
      </w:r>
      <w:r w:rsidR="009D6F3F">
        <w:rPr>
          <w:rFonts w:ascii="Arial" w:eastAsia="Arial" w:hAnsi="Arial" w:cs="Arial"/>
          <w:b/>
          <w:bCs/>
          <w:color w:val="auto"/>
          <w:sz w:val="24"/>
          <w:szCs w:val="24"/>
        </w:rPr>
        <w:t>Rebar</w:t>
      </w:r>
    </w:p>
    <w:p w14:paraId="7163D9F6" w14:textId="4D3E0C41" w:rsidR="00835F03" w:rsidRDefault="71E57457" w:rsidP="49C47C2C">
      <w:pPr>
        <w:pStyle w:val="ListParagraph"/>
        <w:numPr>
          <w:ilvl w:val="0"/>
          <w:numId w:val="2"/>
        </w:numPr>
        <w:spacing w:after="0" w:line="300" w:lineRule="auto"/>
        <w:rPr>
          <w:rFonts w:ascii="Arial" w:eastAsia="Arial" w:hAnsi="Arial" w:cs="Arial"/>
        </w:rPr>
      </w:pPr>
      <w:r w:rsidRPr="49C47C2C">
        <w:rPr>
          <w:rFonts w:ascii="Arial" w:eastAsia="Arial" w:hAnsi="Arial" w:cs="Arial"/>
        </w:rPr>
        <w:t xml:space="preserve">China possesses more than </w:t>
      </w:r>
      <w:r w:rsidR="009D6F3F">
        <w:rPr>
          <w:rFonts w:ascii="Arial" w:eastAsia="Arial" w:hAnsi="Arial" w:cs="Arial"/>
        </w:rPr>
        <w:t>33</w:t>
      </w:r>
      <w:r w:rsidR="10354847" w:rsidRPr="49C47C2C">
        <w:rPr>
          <w:rFonts w:ascii="Arial" w:eastAsia="Arial" w:hAnsi="Arial" w:cs="Arial"/>
        </w:rPr>
        <w:t xml:space="preserve"> </w:t>
      </w:r>
      <w:r w:rsidRPr="49C47C2C">
        <w:rPr>
          <w:rFonts w:ascii="Arial" w:eastAsia="Arial" w:hAnsi="Arial" w:cs="Arial"/>
        </w:rPr>
        <w:t xml:space="preserve">million tonnes of </w:t>
      </w:r>
      <w:r w:rsidR="6638F6AC" w:rsidRPr="49C47C2C">
        <w:rPr>
          <w:rFonts w:ascii="Arial" w:eastAsia="Arial" w:hAnsi="Arial" w:cs="Arial"/>
        </w:rPr>
        <w:t xml:space="preserve">excess production </w:t>
      </w:r>
      <w:r w:rsidRPr="49C47C2C">
        <w:rPr>
          <w:rFonts w:ascii="Arial" w:eastAsia="Arial" w:hAnsi="Arial" w:cs="Arial"/>
        </w:rPr>
        <w:t xml:space="preserve">capacity, indicating that producers have spare rolling capability that can be redirected toward export products </w:t>
      </w:r>
      <w:r w:rsidR="65E19414" w:rsidRPr="49C47C2C">
        <w:rPr>
          <w:rFonts w:ascii="Arial" w:eastAsia="Arial" w:hAnsi="Arial" w:cs="Arial"/>
        </w:rPr>
        <w:t xml:space="preserve">of </w:t>
      </w:r>
      <w:r w:rsidR="009D6F3F">
        <w:rPr>
          <w:rFonts w:ascii="Arial" w:eastAsia="Arial" w:hAnsi="Arial" w:cs="Arial"/>
        </w:rPr>
        <w:t>rebar</w:t>
      </w:r>
      <w:r w:rsidR="65E19414" w:rsidRPr="49C47C2C">
        <w:rPr>
          <w:rFonts w:ascii="Arial" w:eastAsia="Arial" w:hAnsi="Arial" w:cs="Arial"/>
        </w:rPr>
        <w:t>.</w:t>
      </w:r>
    </w:p>
    <w:p w14:paraId="2A22F7D3" w14:textId="0769F358" w:rsidR="00835F03" w:rsidRDefault="009D6F3F" w:rsidP="64708BEF">
      <w:pPr>
        <w:pStyle w:val="ListParagraph"/>
        <w:numPr>
          <w:ilvl w:val="0"/>
          <w:numId w:val="2"/>
        </w:numPr>
        <w:spacing w:after="0" w:line="30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Rebar</w:t>
      </w:r>
      <w:r w:rsidR="351C37DD" w:rsidRPr="64708BEF">
        <w:rPr>
          <w:rFonts w:ascii="Arial" w:eastAsia="Arial" w:hAnsi="Arial" w:cs="Arial"/>
        </w:rPr>
        <w:t xml:space="preserve"> is also highly tradable, vessel‑size product, making it an attractive export outlet when domestic demand is weak.</w:t>
      </w:r>
    </w:p>
    <w:p w14:paraId="299BBE25" w14:textId="1C5803FD" w:rsidR="00835F03" w:rsidRDefault="00835F03" w:rsidP="64708BEF">
      <w:pPr>
        <w:spacing w:after="0" w:line="300" w:lineRule="auto"/>
        <w:rPr>
          <w:rFonts w:ascii="Arial" w:eastAsia="Arial" w:hAnsi="Arial" w:cs="Arial"/>
        </w:rPr>
      </w:pPr>
    </w:p>
    <w:p w14:paraId="4E72944F" w14:textId="014241EF" w:rsidR="00835F03" w:rsidRDefault="351C37DD" w:rsidP="64708BEF">
      <w:pPr>
        <w:pStyle w:val="Heading2"/>
        <w:spacing w:before="261" w:after="261" w:line="300" w:lineRule="auto"/>
        <w:rPr>
          <w:rFonts w:ascii="Arial" w:eastAsia="Arial" w:hAnsi="Arial" w:cs="Arial"/>
          <w:b/>
          <w:bCs/>
          <w:color w:val="auto"/>
          <w:sz w:val="24"/>
          <w:szCs w:val="24"/>
        </w:rPr>
      </w:pPr>
      <w:r w:rsidRPr="64708BEF">
        <w:rPr>
          <w:rFonts w:ascii="Arial" w:eastAsia="Arial" w:hAnsi="Arial" w:cs="Arial"/>
          <w:b/>
          <w:bCs/>
          <w:color w:val="auto"/>
          <w:sz w:val="24"/>
          <w:szCs w:val="24"/>
        </w:rPr>
        <w:t>3. Conclusion</w:t>
      </w:r>
    </w:p>
    <w:p w14:paraId="5A30CE22" w14:textId="1F4A6B35" w:rsidR="00835F03" w:rsidRDefault="351C37DD" w:rsidP="64708BEF">
      <w:pPr>
        <w:spacing w:before="210" w:after="210" w:line="300" w:lineRule="auto"/>
        <w:rPr>
          <w:rFonts w:ascii="Arial" w:eastAsia="Arial" w:hAnsi="Arial" w:cs="Arial"/>
        </w:rPr>
      </w:pPr>
      <w:r w:rsidRPr="64708BEF">
        <w:rPr>
          <w:rFonts w:ascii="Arial" w:eastAsia="Arial" w:hAnsi="Arial" w:cs="Arial"/>
        </w:rPr>
        <w:t>There is clear evidence that:</w:t>
      </w:r>
    </w:p>
    <w:p w14:paraId="7E5D7D61" w14:textId="7FAA8DD2" w:rsidR="00835F03" w:rsidRDefault="351C37DD" w:rsidP="64708BEF">
      <w:pPr>
        <w:pStyle w:val="ListParagraph"/>
        <w:numPr>
          <w:ilvl w:val="0"/>
          <w:numId w:val="1"/>
        </w:numPr>
        <w:spacing w:after="0" w:line="300" w:lineRule="auto"/>
        <w:rPr>
          <w:rFonts w:ascii="Arial" w:eastAsia="Arial" w:hAnsi="Arial" w:cs="Arial"/>
        </w:rPr>
      </w:pPr>
      <w:r w:rsidRPr="64708BEF">
        <w:rPr>
          <w:rFonts w:ascii="Arial" w:eastAsia="Arial" w:hAnsi="Arial" w:cs="Arial"/>
        </w:rPr>
        <w:t xml:space="preserve">Chinese long‑product mills can produce multiple goods—including </w:t>
      </w:r>
      <w:r w:rsidR="002B7680">
        <w:rPr>
          <w:rFonts w:ascii="Arial" w:eastAsia="Arial" w:hAnsi="Arial" w:cs="Arial"/>
        </w:rPr>
        <w:t>wire rod</w:t>
      </w:r>
      <w:r w:rsidRPr="64708BEF">
        <w:rPr>
          <w:rFonts w:ascii="Arial" w:eastAsia="Arial" w:hAnsi="Arial" w:cs="Arial"/>
        </w:rPr>
        <w:t xml:space="preserve">, rebar in coil, merchant bar, and sections—using the same equipment as </w:t>
      </w:r>
      <w:r w:rsidR="002B7680">
        <w:rPr>
          <w:rFonts w:ascii="Arial" w:eastAsia="Arial" w:hAnsi="Arial" w:cs="Arial"/>
        </w:rPr>
        <w:t>rebar</w:t>
      </w:r>
      <w:r w:rsidRPr="64708BEF">
        <w:rPr>
          <w:rFonts w:ascii="Arial" w:eastAsia="Arial" w:hAnsi="Arial" w:cs="Arial"/>
        </w:rPr>
        <w:t xml:space="preserve"> production.</w:t>
      </w:r>
    </w:p>
    <w:p w14:paraId="115D9EE1" w14:textId="4D47194A" w:rsidR="00835F03" w:rsidRDefault="351C37DD" w:rsidP="64708BEF">
      <w:pPr>
        <w:pStyle w:val="ListParagraph"/>
        <w:numPr>
          <w:ilvl w:val="0"/>
          <w:numId w:val="1"/>
        </w:numPr>
        <w:spacing w:after="0" w:line="300" w:lineRule="auto"/>
        <w:rPr>
          <w:rFonts w:ascii="Arial" w:eastAsia="Arial" w:hAnsi="Arial" w:cs="Arial"/>
        </w:rPr>
      </w:pPr>
      <w:r w:rsidRPr="64708BEF">
        <w:rPr>
          <w:rFonts w:ascii="Arial" w:eastAsia="Arial" w:hAnsi="Arial" w:cs="Arial"/>
        </w:rPr>
        <w:t xml:space="preserve">Switching production to </w:t>
      </w:r>
      <w:r w:rsidR="009D6F3F">
        <w:rPr>
          <w:rFonts w:ascii="Arial" w:eastAsia="Arial" w:hAnsi="Arial" w:cs="Arial"/>
        </w:rPr>
        <w:t>rebar</w:t>
      </w:r>
      <w:r w:rsidRPr="64708BEF">
        <w:rPr>
          <w:rFonts w:ascii="Arial" w:eastAsia="Arial" w:hAnsi="Arial" w:cs="Arial"/>
        </w:rPr>
        <w:t xml:space="preserve"> is highly feasible, involves minimal technical or financial barriers, and is routinely done in normal industrial practice.</w:t>
      </w:r>
    </w:p>
    <w:p w14:paraId="20F95022" w14:textId="5E4F9792" w:rsidR="00835F03" w:rsidRDefault="351C37DD" w:rsidP="64708BEF">
      <w:pPr>
        <w:pStyle w:val="ListParagraph"/>
        <w:numPr>
          <w:ilvl w:val="0"/>
          <w:numId w:val="1"/>
        </w:numPr>
        <w:spacing w:after="0" w:line="300" w:lineRule="auto"/>
        <w:rPr>
          <w:rFonts w:ascii="Arial" w:eastAsia="Arial" w:hAnsi="Arial" w:cs="Arial"/>
        </w:rPr>
      </w:pPr>
      <w:r w:rsidRPr="64708BEF">
        <w:rPr>
          <w:rFonts w:ascii="Arial" w:eastAsia="Arial" w:hAnsi="Arial" w:cs="Arial"/>
        </w:rPr>
        <w:t xml:space="preserve">This interchangeability significantly increases the risk that Chinese producers could rapidly redirect production volume toward </w:t>
      </w:r>
      <w:r w:rsidR="002B7680">
        <w:rPr>
          <w:rFonts w:ascii="Arial" w:eastAsia="Arial" w:hAnsi="Arial" w:cs="Arial"/>
        </w:rPr>
        <w:t>rebar</w:t>
      </w:r>
      <w:r w:rsidRPr="64708BEF">
        <w:rPr>
          <w:rFonts w:ascii="Arial" w:eastAsia="Arial" w:hAnsi="Arial" w:cs="Arial"/>
        </w:rPr>
        <w:t xml:space="preserve"> if market opportunities or the removal of anti‑dumping duties make such a shift commercially attractive.</w:t>
      </w:r>
    </w:p>
    <w:p w14:paraId="6B419880" w14:textId="0503A8E5" w:rsidR="00835F03" w:rsidRDefault="00835F03" w:rsidP="64708BEF">
      <w:pPr>
        <w:spacing w:after="0" w:line="300" w:lineRule="auto"/>
      </w:pPr>
    </w:p>
    <w:p w14:paraId="5E5787A5" w14:textId="2AEE9D75" w:rsidR="00835F03" w:rsidRDefault="00835F03" w:rsidP="64708BEF"/>
    <w:sectPr w:rsidR="00835F0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53A2"/>
    <w:multiLevelType w:val="hybridMultilevel"/>
    <w:tmpl w:val="76DC32FA"/>
    <w:lvl w:ilvl="0" w:tplc="143C8E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5B432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9CA03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3A065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BE29A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D2AB8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38605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D689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4CE3C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970627"/>
    <w:multiLevelType w:val="hybridMultilevel"/>
    <w:tmpl w:val="A4E6A210"/>
    <w:lvl w:ilvl="0" w:tplc="AC048436">
      <w:start w:val="1"/>
      <w:numFmt w:val="decimal"/>
      <w:lvlText w:val="%1."/>
      <w:lvlJc w:val="left"/>
      <w:pPr>
        <w:ind w:left="720" w:hanging="360"/>
      </w:pPr>
    </w:lvl>
    <w:lvl w:ilvl="1" w:tplc="93DCCC68">
      <w:start w:val="1"/>
      <w:numFmt w:val="lowerLetter"/>
      <w:lvlText w:val="%2."/>
      <w:lvlJc w:val="left"/>
      <w:pPr>
        <w:ind w:left="1440" w:hanging="360"/>
      </w:pPr>
    </w:lvl>
    <w:lvl w:ilvl="2" w:tplc="47F26B12">
      <w:start w:val="1"/>
      <w:numFmt w:val="lowerRoman"/>
      <w:lvlText w:val="%3."/>
      <w:lvlJc w:val="right"/>
      <w:pPr>
        <w:ind w:left="2160" w:hanging="180"/>
      </w:pPr>
    </w:lvl>
    <w:lvl w:ilvl="3" w:tplc="FAE84054">
      <w:start w:val="1"/>
      <w:numFmt w:val="decimal"/>
      <w:lvlText w:val="%4."/>
      <w:lvlJc w:val="left"/>
      <w:pPr>
        <w:ind w:left="2880" w:hanging="360"/>
      </w:pPr>
    </w:lvl>
    <w:lvl w:ilvl="4" w:tplc="34C4934A">
      <w:start w:val="1"/>
      <w:numFmt w:val="lowerLetter"/>
      <w:lvlText w:val="%5."/>
      <w:lvlJc w:val="left"/>
      <w:pPr>
        <w:ind w:left="3600" w:hanging="360"/>
      </w:pPr>
    </w:lvl>
    <w:lvl w:ilvl="5" w:tplc="0B50612E">
      <w:start w:val="1"/>
      <w:numFmt w:val="lowerRoman"/>
      <w:lvlText w:val="%6."/>
      <w:lvlJc w:val="right"/>
      <w:pPr>
        <w:ind w:left="4320" w:hanging="180"/>
      </w:pPr>
    </w:lvl>
    <w:lvl w:ilvl="6" w:tplc="AE766796">
      <w:start w:val="1"/>
      <w:numFmt w:val="decimal"/>
      <w:lvlText w:val="%7."/>
      <w:lvlJc w:val="left"/>
      <w:pPr>
        <w:ind w:left="5040" w:hanging="360"/>
      </w:pPr>
    </w:lvl>
    <w:lvl w:ilvl="7" w:tplc="8518485C">
      <w:start w:val="1"/>
      <w:numFmt w:val="lowerLetter"/>
      <w:lvlText w:val="%8."/>
      <w:lvlJc w:val="left"/>
      <w:pPr>
        <w:ind w:left="5760" w:hanging="360"/>
      </w:pPr>
    </w:lvl>
    <w:lvl w:ilvl="8" w:tplc="7CAEBF5E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693C07"/>
    <w:multiLevelType w:val="hybridMultilevel"/>
    <w:tmpl w:val="CDE8D8B6"/>
    <w:lvl w:ilvl="0" w:tplc="485C82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8228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F96B4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1F035A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F072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EBAE7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8069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9209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9C413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DB5EFF"/>
    <w:multiLevelType w:val="hybridMultilevel"/>
    <w:tmpl w:val="C6D6844A"/>
    <w:lvl w:ilvl="0" w:tplc="88FCC3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A90AC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E0443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2E6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0A80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6926F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DCF9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CC06E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FF075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7CEC3"/>
    <w:multiLevelType w:val="hybridMultilevel"/>
    <w:tmpl w:val="518E42F6"/>
    <w:lvl w:ilvl="0" w:tplc="4F90A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BC534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AB0755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1C06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B673D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FC26E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C46C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1EA5C4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44BD0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E1756BB"/>
    <w:multiLevelType w:val="hybridMultilevel"/>
    <w:tmpl w:val="E6FC0082"/>
    <w:lvl w:ilvl="0" w:tplc="C73279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C00605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5861D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0407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D00337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B804EA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18DA2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CE33E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18F0D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ED71781"/>
    <w:multiLevelType w:val="hybridMultilevel"/>
    <w:tmpl w:val="21006580"/>
    <w:lvl w:ilvl="0" w:tplc="65502B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31E7A5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F8F45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F4282D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5852D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D4E407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B46D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BC80CF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49A84A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2059024">
    <w:abstractNumId w:val="1"/>
  </w:num>
  <w:num w:numId="2" w16cid:durableId="681517321">
    <w:abstractNumId w:val="3"/>
  </w:num>
  <w:num w:numId="3" w16cid:durableId="605624997">
    <w:abstractNumId w:val="5"/>
  </w:num>
  <w:num w:numId="4" w16cid:durableId="201327381">
    <w:abstractNumId w:val="2"/>
  </w:num>
  <w:num w:numId="5" w16cid:durableId="940533983">
    <w:abstractNumId w:val="6"/>
  </w:num>
  <w:num w:numId="6" w16cid:durableId="321351935">
    <w:abstractNumId w:val="0"/>
  </w:num>
  <w:num w:numId="7" w16cid:durableId="12536641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7CBEDE7"/>
    <w:rsid w:val="001C48E1"/>
    <w:rsid w:val="002B7680"/>
    <w:rsid w:val="00633BD6"/>
    <w:rsid w:val="00636718"/>
    <w:rsid w:val="00835F03"/>
    <w:rsid w:val="009520C8"/>
    <w:rsid w:val="009D6F3F"/>
    <w:rsid w:val="00A16582"/>
    <w:rsid w:val="00A20A4E"/>
    <w:rsid w:val="019B0512"/>
    <w:rsid w:val="0370BF67"/>
    <w:rsid w:val="041570A3"/>
    <w:rsid w:val="079321E1"/>
    <w:rsid w:val="0ACDD0D9"/>
    <w:rsid w:val="0FE0C504"/>
    <w:rsid w:val="10354847"/>
    <w:rsid w:val="12BA24BC"/>
    <w:rsid w:val="193F89EA"/>
    <w:rsid w:val="1D3777BA"/>
    <w:rsid w:val="200EB9B4"/>
    <w:rsid w:val="27CBEDE7"/>
    <w:rsid w:val="351C37DD"/>
    <w:rsid w:val="3BE72E0A"/>
    <w:rsid w:val="483C48B2"/>
    <w:rsid w:val="49C47C2C"/>
    <w:rsid w:val="49E5EDA9"/>
    <w:rsid w:val="4CA01549"/>
    <w:rsid w:val="56BE13CD"/>
    <w:rsid w:val="58C795E4"/>
    <w:rsid w:val="59995EBB"/>
    <w:rsid w:val="5AD31B50"/>
    <w:rsid w:val="5B17C15F"/>
    <w:rsid w:val="5C76151D"/>
    <w:rsid w:val="5EA40360"/>
    <w:rsid w:val="64708BEF"/>
    <w:rsid w:val="6541BA1A"/>
    <w:rsid w:val="65E19414"/>
    <w:rsid w:val="6638F6AC"/>
    <w:rsid w:val="6A84DFBD"/>
    <w:rsid w:val="6DAF9F5B"/>
    <w:rsid w:val="71E57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CBEDE7"/>
  <w15:chartTrackingRefBased/>
  <w15:docId w15:val="{4C282AD2-C1AE-4242-B273-1FB7B4F9F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f760887-92d3-413b-b11d-236601df688e">
      <Terms xmlns="http://schemas.microsoft.com/office/infopath/2007/PartnerControls"/>
    </lcf76f155ced4ddcb4097134ff3c332f>
    <_ip_UnifiedCompliancePolicyUIAction xmlns="http://schemas.microsoft.com/sharepoint/v3" xsi:nil="true"/>
    <_ip_UnifiedCompliancePolicyProperties xmlns="http://schemas.microsoft.com/sharepoint/v3" xsi:nil="true"/>
    <TaxCatchAll xmlns="e30f7a5d-8fa8-41c9-ac7a-9b097ed4b6af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280E48E807ED4AA4BA7BE40CA69573" ma:contentTypeVersion="14" ma:contentTypeDescription="Create a new document." ma:contentTypeScope="" ma:versionID="41ea01d1926dcfac1ce170f61d45a062">
  <xsd:schema xmlns:xsd="http://www.w3.org/2001/XMLSchema" xmlns:xs="http://www.w3.org/2001/XMLSchema" xmlns:p="http://schemas.microsoft.com/office/2006/metadata/properties" xmlns:ns1="http://schemas.microsoft.com/sharepoint/v3" xmlns:ns2="ef760887-92d3-413b-b11d-236601df688e" xmlns:ns3="e30f7a5d-8fa8-41c9-ac7a-9b097ed4b6af" targetNamespace="http://schemas.microsoft.com/office/2006/metadata/properties" ma:root="true" ma:fieldsID="0f615fc2b09bf667a7b594565d090f0d" ns1:_="" ns2:_="" ns3:_="">
    <xsd:import namespace="http://schemas.microsoft.com/sharepoint/v3"/>
    <xsd:import namespace="ef760887-92d3-413b-b11d-236601df688e"/>
    <xsd:import namespace="e30f7a5d-8fa8-41c9-ac7a-9b097ed4b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760887-92d3-413b-b11d-236601df68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e40df2b-c156-4e70-b773-96d34ab370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0f7a5d-8fa8-41c9-ac7a-9b097ed4b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49e4df2-fc7b-40ef-a90a-380ef4425123}" ma:internalName="TaxCatchAll" ma:showField="CatchAllData" ma:web="e30f7a5d-8fa8-41c9-ac7a-9b097ed4b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0BD718F-614C-4E02-A687-3B95B7BFC3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F55F6E-CB24-4D56-B580-5334317BD2CC}">
  <ds:schemaRefs>
    <ds:schemaRef ds:uri="http://schemas.microsoft.com/office/2006/metadata/properties"/>
    <ds:schemaRef ds:uri="http://schemas.microsoft.com/office/infopath/2007/PartnerControls"/>
    <ds:schemaRef ds:uri="21f70951-4bcd-4e7b-8240-015810ba2b35"/>
  </ds:schemaRefs>
</ds:datastoreItem>
</file>

<file path=customXml/itemProps3.xml><?xml version="1.0" encoding="utf-8"?>
<ds:datastoreItem xmlns:ds="http://schemas.openxmlformats.org/officeDocument/2006/customXml" ds:itemID="{D00DB0A1-7B84-4055-AE13-3552696304F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519</Words>
  <Characters>2963</Characters>
  <Application>Microsoft Office Word</Application>
  <DocSecurity>0</DocSecurity>
  <Lines>24</Lines>
  <Paragraphs>6</Paragraphs>
  <ScaleCrop>false</ScaleCrop>
  <Company/>
  <LinksUpToDate>false</LinksUpToDate>
  <CharactersWithSpaces>3476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Ceri Davies</dc:creator>
  <cp:keywords/>
  <dc:description/>
  <cp:lastModifiedBy>Laura Thomas</cp:lastModifiedBy>
  <cp:revision>5</cp:revision>
  <dcterms:created xsi:type="dcterms:W3CDTF">2026-07-22T06:35:00Z</dcterms:created>
  <dcterms:modified xsi:type="dcterms:W3CDTF">2026-07-24T10:54:00Z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0x010100C9280E48E807ED4AA4BA7BE40CA69573</vt:lpwstr>
  </property>
  <property fmtid="{D5CDD505-2E9C-101B-9397-08002B2CF9AE}" pid="3" name="MediaServiceImageTags">
    <vt:lpwstr/>
  </property>
</Properties>
</file>