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2C" w:rsidRDefault="00B02F2C">
      <w:pPr>
        <w:tabs>
          <w:tab w:val="left" w:pos="2130"/>
        </w:tabs>
        <w:rPr>
          <w:b/>
          <w:sz w:val="32"/>
          <w:szCs w:val="32"/>
        </w:rPr>
      </w:pPr>
    </w:p>
    <w:p w:rsidR="00B02F2C" w:rsidRDefault="00E92AED">
      <w:pPr>
        <w:tabs>
          <w:tab w:val="left" w:pos="2130"/>
        </w:tabs>
        <w:jc w:val="center"/>
        <w:rPr>
          <w:b/>
          <w:sz w:val="48"/>
          <w:szCs w:val="48"/>
        </w:rPr>
      </w:pPr>
      <w:r>
        <w:rPr>
          <w:b/>
          <w:sz w:val="48"/>
          <w:szCs w:val="48"/>
        </w:rPr>
        <w:t>New Exporter Review:</w:t>
      </w:r>
    </w:p>
    <w:p w:rsidR="00B02F2C" w:rsidRDefault="00E92AED">
      <w:pPr>
        <w:tabs>
          <w:tab w:val="left" w:pos="2130"/>
        </w:tabs>
        <w:jc w:val="center"/>
        <w:rPr>
          <w:b/>
          <w:sz w:val="48"/>
          <w:szCs w:val="48"/>
        </w:rPr>
      </w:pPr>
      <w:r>
        <w:rPr>
          <w:b/>
          <w:sz w:val="48"/>
          <w:szCs w:val="48"/>
        </w:rPr>
        <w:t>Application Form</w:t>
      </w:r>
    </w:p>
    <w:p w:rsidR="00B02F2C" w:rsidRDefault="00B02F2C">
      <w:pPr>
        <w:tabs>
          <w:tab w:val="left" w:pos="2130"/>
        </w:tabs>
        <w:rPr>
          <w:b/>
          <w:color w:val="FF0000"/>
          <w:sz w:val="24"/>
          <w:szCs w:val="24"/>
        </w:rPr>
      </w:pPr>
    </w:p>
    <w:p w:rsidR="00B02F2C" w:rsidRDefault="00B02F2C">
      <w:pPr>
        <w:tabs>
          <w:tab w:val="left" w:pos="2130"/>
        </w:tabs>
        <w:rPr>
          <w:b/>
          <w:color w:val="FF0000"/>
          <w:sz w:val="24"/>
          <w:szCs w:val="24"/>
        </w:rPr>
      </w:pPr>
    </w:p>
    <w:p w:rsidR="00B02F2C" w:rsidRDefault="00B02F2C">
      <w:pPr>
        <w:tabs>
          <w:tab w:val="left" w:pos="2130"/>
        </w:tabs>
        <w:rPr>
          <w:b/>
          <w:color w:val="FF0000"/>
          <w:sz w:val="24"/>
          <w:szCs w:val="24"/>
        </w:rPr>
      </w:pPr>
    </w:p>
    <w:p w:rsidR="00B02F2C" w:rsidRDefault="00B02F2C">
      <w:pPr>
        <w:tabs>
          <w:tab w:val="left" w:pos="2130"/>
        </w:tabs>
        <w:rPr>
          <w:b/>
          <w:color w:val="FF0000"/>
          <w:sz w:val="24"/>
          <w:szCs w:val="24"/>
        </w:rPr>
      </w:pPr>
    </w:p>
    <w:p w:rsidR="00B02F2C" w:rsidRDefault="00B02F2C">
      <w:pPr>
        <w:tabs>
          <w:tab w:val="left" w:pos="2130"/>
        </w:tabs>
        <w:rPr>
          <w:b/>
          <w:color w:val="FF0000"/>
          <w:sz w:val="24"/>
          <w:szCs w:val="24"/>
        </w:rPr>
      </w:pPr>
    </w:p>
    <w:p w:rsidR="00B02F2C" w:rsidRDefault="00E92AED">
      <w:pPr>
        <w:tabs>
          <w:tab w:val="left" w:pos="2130"/>
        </w:tabs>
        <w:rPr>
          <w:b/>
          <w:color w:val="FF0000"/>
          <w:sz w:val="24"/>
          <w:szCs w:val="24"/>
        </w:rPr>
      </w:pPr>
      <w:r>
        <w:rPr>
          <w:b/>
          <w:color w:val="FF0000"/>
          <w:sz w:val="24"/>
          <w:szCs w:val="24"/>
        </w:rPr>
        <w:object w:dxaOrig="17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7pt" o:ole="">
            <v:imagedata r:id="rId11" o:title=""/>
          </v:shape>
          <o:OLEObject Type="Embed" ProgID="PowerPoint.Show.12" ShapeID="_x0000_i1025" DrawAspect="Icon" ObjectID="_1753724222" r:id="rId12"/>
        </w:object>
      </w:r>
    </w:p>
    <w:p w:rsidR="00B02F2C" w:rsidRDefault="00B02F2C">
      <w:pPr>
        <w:tabs>
          <w:tab w:val="left" w:pos="2130"/>
        </w:tabs>
        <w:jc w:val="center"/>
        <w:rPr>
          <w:b/>
          <w:sz w:val="32"/>
          <w:szCs w:val="32"/>
        </w:rPr>
      </w:pPr>
    </w:p>
    <w:p w:rsidR="00B02F2C" w:rsidRDefault="00B02F2C">
      <w:pPr>
        <w:tabs>
          <w:tab w:val="left" w:pos="2130"/>
        </w:tabs>
        <w:jc w:val="center"/>
        <w:rPr>
          <w:b/>
          <w:sz w:val="32"/>
          <w:szCs w:val="32"/>
        </w:rPr>
      </w:pPr>
    </w:p>
    <w:p w:rsidR="00B02F2C" w:rsidRDefault="00B02F2C">
      <w:pPr>
        <w:tabs>
          <w:tab w:val="left" w:pos="2130"/>
        </w:tabs>
        <w:jc w:val="center"/>
        <w:rPr>
          <w:b/>
          <w:sz w:val="32"/>
          <w:szCs w:val="32"/>
        </w:rPr>
      </w:pPr>
    </w:p>
    <w:p w:rsidR="00B02F2C" w:rsidRDefault="00B02F2C">
      <w:pPr>
        <w:tabs>
          <w:tab w:val="left" w:pos="2130"/>
        </w:tabs>
        <w:jc w:val="center"/>
        <w:rPr>
          <w:b/>
          <w:sz w:val="32"/>
          <w:szCs w:val="32"/>
        </w:rPr>
      </w:pPr>
    </w:p>
    <w:p w:rsidR="00B02F2C" w:rsidRDefault="00B02F2C">
      <w:pPr>
        <w:tabs>
          <w:tab w:val="left" w:pos="2130"/>
        </w:tabs>
        <w:jc w:val="center"/>
        <w:rPr>
          <w:b/>
          <w:sz w:val="32"/>
          <w:szCs w:val="32"/>
        </w:rPr>
      </w:pPr>
    </w:p>
    <w:p w:rsidR="00B02F2C" w:rsidRDefault="00B02F2C">
      <w:pPr>
        <w:tabs>
          <w:tab w:val="left" w:pos="2130"/>
        </w:tabs>
        <w:jc w:val="center"/>
        <w:rPr>
          <w:b/>
          <w:sz w:val="32"/>
          <w:szCs w:val="32"/>
        </w:rPr>
      </w:pPr>
    </w:p>
    <w:p w:rsidR="00B02F2C" w:rsidRDefault="00B02F2C">
      <w:pPr>
        <w:tabs>
          <w:tab w:val="left" w:pos="2130"/>
        </w:tabs>
        <w:jc w:val="center"/>
        <w:rPr>
          <w:b/>
          <w:sz w:val="32"/>
          <w:szCs w:val="32"/>
        </w:rPr>
      </w:pPr>
    </w:p>
    <w:p w:rsidR="00B02F2C" w:rsidRDefault="00B02F2C">
      <w:pPr>
        <w:pBdr>
          <w:bottom w:val="single" w:sz="6" w:space="1" w:color="000000"/>
        </w:pBdr>
        <w:spacing w:after="0"/>
      </w:pPr>
    </w:p>
    <w:p w:rsidR="00B02F2C" w:rsidRDefault="00E92AED">
      <w:pPr>
        <w:suppressAutoHyphens/>
        <w:spacing w:after="0" w:line="22" w:lineRule="atLeast"/>
        <w:contextualSpacing/>
        <w:rPr>
          <w:rFonts w:eastAsia="Arial"/>
          <w:color w:val="000000" w:themeColor="text1"/>
          <w:szCs w:val="24"/>
        </w:rPr>
      </w:pPr>
      <w:r>
        <w:rPr>
          <w:rFonts w:eastAsia="Arial"/>
          <w:color w:val="000000" w:themeColor="text1"/>
          <w:szCs w:val="24"/>
        </w:rPr>
        <w:t xml:space="preserve">When you have completed this form, indicate the </w:t>
      </w:r>
      <w:r>
        <w:rPr>
          <w:rFonts w:eastAsia="Arial"/>
          <w:b/>
          <w:bCs/>
          <w:color w:val="000000" w:themeColor="text1"/>
          <w:szCs w:val="24"/>
        </w:rPr>
        <w:t>confidentiality</w:t>
      </w:r>
      <w:r>
        <w:rPr>
          <w:rFonts w:eastAsia="Arial"/>
          <w:color w:val="000000" w:themeColor="text1"/>
          <w:szCs w:val="24"/>
        </w:rPr>
        <w:t xml:space="preserve"> of this document by placing an X in the relevant box below:</w:t>
      </w:r>
    </w:p>
    <w:p w:rsidR="00B02F2C" w:rsidRDefault="00B02F2C">
      <w:pPr>
        <w:suppressAutoHyphens/>
        <w:spacing w:after="0" w:line="22" w:lineRule="atLeast"/>
        <w:contextualSpacing/>
        <w:rPr>
          <w:rFonts w:eastAsia="Arial"/>
          <w:color w:val="000000" w:themeColor="text1"/>
          <w:szCs w:val="24"/>
        </w:rPr>
      </w:pPr>
    </w:p>
    <w:p w:rsidR="00B02F2C" w:rsidRDefault="00E92AED">
      <w:pPr>
        <w:suppressAutoHyphens/>
        <w:spacing w:after="0" w:line="22" w:lineRule="atLeast"/>
        <w:contextualSpacing/>
        <w:rPr>
          <w:rFonts w:eastAsia="Arial"/>
          <w:color w:val="000000" w:themeColor="text1"/>
          <w:szCs w:val="24"/>
        </w:rPr>
      </w:pPr>
      <w:r>
        <w:rPr>
          <w:rFonts w:ascii="Segoe UI Symbol" w:eastAsia="Segoe UI Symbol" w:hAnsi="Segoe UI Symbol" w:cs="Segoe UI Symbol"/>
          <w:b/>
          <w:bCs/>
          <w:color w:val="000000" w:themeColor="text1"/>
          <w:szCs w:val="24"/>
        </w:rPr>
        <w:t>☐</w:t>
      </w:r>
      <w:r>
        <w:rPr>
          <w:rFonts w:eastAsia="Arial"/>
          <w:color w:val="000000" w:themeColor="text1"/>
          <w:szCs w:val="24"/>
        </w:rPr>
        <w:t xml:space="preserve"> Confidential</w:t>
      </w:r>
    </w:p>
    <w:p w:rsidR="00B02F2C" w:rsidRDefault="00E92AED">
      <w:pPr>
        <w:suppressAutoHyphens/>
        <w:spacing w:after="0" w:line="22" w:lineRule="atLeast"/>
        <w:contextualSpacing/>
        <w:rPr>
          <w:rFonts w:eastAsia="Arial"/>
          <w:color w:val="000000" w:themeColor="text1"/>
          <w:szCs w:val="24"/>
        </w:rPr>
      </w:pPr>
      <w:r>
        <w:rPr>
          <w:rFonts w:ascii="Segoe UI Symbol" w:eastAsia="Segoe UI Symbol" w:hAnsi="Segoe UI Symbol" w:cs="Segoe UI Symbol"/>
          <w:b/>
          <w:bCs/>
          <w:color w:val="000000" w:themeColor="text1"/>
          <w:szCs w:val="24"/>
        </w:rPr>
        <w:t>☐</w:t>
      </w:r>
      <w:r>
        <w:rPr>
          <w:rFonts w:eastAsia="Arial"/>
          <w:color w:val="000000" w:themeColor="text1"/>
          <w:szCs w:val="24"/>
        </w:rPr>
        <w:t xml:space="preserve"> Non-Confidential – will be made publicly available</w:t>
      </w:r>
    </w:p>
    <w:p w:rsidR="00B02F2C" w:rsidRDefault="00B02F2C">
      <w:pPr>
        <w:suppressAutoHyphens/>
        <w:spacing w:after="0" w:line="22" w:lineRule="atLeast"/>
        <w:contextualSpacing/>
        <w:rPr>
          <w:rFonts w:eastAsia="Arial"/>
          <w:color w:val="000000" w:themeColor="text1"/>
          <w:szCs w:val="24"/>
        </w:rPr>
      </w:pPr>
    </w:p>
    <w:p w:rsidR="00B02F2C" w:rsidRDefault="00E92AED">
      <w:pPr>
        <w:pBdr>
          <w:bottom w:val="single" w:sz="6" w:space="1" w:color="000000"/>
        </w:pBdr>
        <w:spacing w:after="0"/>
        <w:rPr>
          <w:rFonts w:eastAsia="Arial"/>
          <w:color w:val="000000" w:themeColor="text1"/>
          <w:szCs w:val="24"/>
        </w:rPr>
      </w:pPr>
      <w:r>
        <w:rPr>
          <w:rFonts w:eastAsia="Arial"/>
          <w:color w:val="000000" w:themeColor="text1"/>
          <w:szCs w:val="24"/>
        </w:rPr>
        <w:t xml:space="preserve">Please note that you will have to provide </w:t>
      </w:r>
      <w:r>
        <w:rPr>
          <w:rFonts w:eastAsia="Arial"/>
          <w:b/>
          <w:bCs/>
          <w:color w:val="000000" w:themeColor="text1"/>
          <w:szCs w:val="24"/>
        </w:rPr>
        <w:t>two copies of your response</w:t>
      </w:r>
      <w:r>
        <w:rPr>
          <w:rFonts w:eastAsia="Arial"/>
          <w:color w:val="000000" w:themeColor="text1"/>
          <w:szCs w:val="24"/>
        </w:rPr>
        <w:t xml:space="preserve"> – a </w:t>
      </w:r>
      <w:r>
        <w:rPr>
          <w:rFonts w:eastAsia="Arial"/>
          <w:b/>
          <w:bCs/>
          <w:color w:val="000000" w:themeColor="text1"/>
          <w:szCs w:val="24"/>
        </w:rPr>
        <w:t xml:space="preserve">Confidential </w:t>
      </w:r>
      <w:r>
        <w:rPr>
          <w:rFonts w:eastAsia="Arial"/>
          <w:color w:val="000000" w:themeColor="text1"/>
          <w:szCs w:val="24"/>
        </w:rPr>
        <w:t xml:space="preserve">and a </w:t>
      </w:r>
      <w:r>
        <w:rPr>
          <w:rFonts w:eastAsia="Arial"/>
          <w:b/>
          <w:bCs/>
          <w:color w:val="000000" w:themeColor="text1"/>
          <w:szCs w:val="24"/>
        </w:rPr>
        <w:t xml:space="preserve">Non-Confidential version. </w:t>
      </w:r>
      <w:r>
        <w:rPr>
          <w:rFonts w:eastAsia="Arial"/>
          <w:color w:val="000000" w:themeColor="text1"/>
          <w:szCs w:val="24"/>
        </w:rPr>
        <w:t xml:space="preserve">Both copies should be returned to TRID using the </w:t>
      </w:r>
      <w:hyperlink r:id="rId13" w:history="1">
        <w:r>
          <w:rPr>
            <w:rStyle w:val="a7"/>
            <w:rFonts w:eastAsia="Arial"/>
            <w:szCs w:val="24"/>
          </w:rPr>
          <w:t>Trade Remedies Service</w:t>
        </w:r>
      </w:hyperlink>
      <w:r>
        <w:rPr>
          <w:rFonts w:eastAsia="Arial"/>
          <w:color w:val="000000" w:themeColor="text1"/>
          <w:szCs w:val="24"/>
        </w:rPr>
        <w:t xml:space="preserve"> </w:t>
      </w:r>
    </w:p>
    <w:p w:rsidR="00B02F2C" w:rsidRDefault="00E92AED">
      <w:pPr>
        <w:rPr>
          <w:rFonts w:eastAsia="Arial"/>
          <w:color w:val="000000" w:themeColor="text1"/>
          <w:szCs w:val="24"/>
        </w:rPr>
      </w:pPr>
      <w:r>
        <w:rPr>
          <w:rFonts w:eastAsia="Arial"/>
          <w:color w:val="000000" w:themeColor="text1"/>
          <w:szCs w:val="24"/>
        </w:rPr>
        <w:br w:type="page"/>
      </w:r>
    </w:p>
    <w:sdt>
      <w:sdtPr>
        <w:rPr>
          <w:rFonts w:ascii="Arial" w:eastAsia="宋体" w:hAnsi="Arial" w:cs="Arial"/>
          <w:color w:val="auto"/>
          <w:sz w:val="22"/>
          <w:szCs w:val="22"/>
          <w:lang w:val="en-GB" w:eastAsia="zh-CN"/>
        </w:rPr>
        <w:id w:val="-709873867"/>
        <w:docPartObj>
          <w:docPartGallery w:val="Table of Contents"/>
          <w:docPartUnique/>
        </w:docPartObj>
      </w:sdtPr>
      <w:sdtEndPr>
        <w:rPr>
          <w:b/>
          <w:bCs/>
        </w:rPr>
      </w:sdtEndPr>
      <w:sdtContent>
        <w:p w:rsidR="00B02F2C" w:rsidRDefault="00E92AED">
          <w:pPr>
            <w:pStyle w:val="TOC1"/>
            <w:rPr>
              <w:rFonts w:ascii="Arial" w:hAnsi="Arial" w:cs="Arial"/>
              <w:b/>
              <w:bCs/>
              <w:color w:val="auto"/>
            </w:rPr>
          </w:pPr>
          <w:r>
            <w:rPr>
              <w:rFonts w:ascii="Arial" w:hAnsi="Arial" w:cs="Arial"/>
              <w:b/>
              <w:bCs/>
              <w:color w:val="auto"/>
            </w:rPr>
            <w:t>Contents</w:t>
          </w:r>
        </w:p>
        <w:p w:rsidR="00B02F2C" w:rsidRDefault="00E92AED">
          <w:pPr>
            <w:pStyle w:val="11"/>
            <w:rPr>
              <w:rFonts w:asciiTheme="minorHAnsi" w:eastAsiaTheme="minorEastAsia" w:hAnsiTheme="minorHAnsi" w:cstheme="minorBidi"/>
              <w:b w:val="0"/>
              <w:lang w:eastAsia="en-GB"/>
            </w:rPr>
          </w:pPr>
          <w:r>
            <w:fldChar w:fldCharType="begin"/>
          </w:r>
          <w:r>
            <w:instrText xml:space="preserve"> TOC \o "1-3" \h \z \u </w:instrText>
          </w:r>
          <w:r>
            <w:fldChar w:fldCharType="separate"/>
          </w:r>
          <w:hyperlink w:anchor="_Toc42609368" w:history="1">
            <w:r>
              <w:rPr>
                <w:rStyle w:val="a7"/>
                <w:bCs/>
              </w:rPr>
              <w:t>About this form</w:t>
            </w:r>
            <w:r>
              <w:tab/>
            </w:r>
            <w:r>
              <w:fldChar w:fldCharType="begin"/>
            </w:r>
            <w:r>
              <w:instrText xml:space="preserve"> PAGEREF _Toc42609368 \h </w:instrText>
            </w:r>
            <w:r>
              <w:fldChar w:fldCharType="separate"/>
            </w:r>
            <w:r>
              <w:t>3</w:t>
            </w:r>
            <w:r>
              <w:fldChar w:fldCharType="end"/>
            </w:r>
          </w:hyperlink>
        </w:p>
        <w:p w:rsidR="00B02F2C" w:rsidRDefault="000D5F8C">
          <w:pPr>
            <w:pStyle w:val="21"/>
            <w:tabs>
              <w:tab w:val="right" w:leader="dot" w:pos="9016"/>
            </w:tabs>
            <w:rPr>
              <w:rFonts w:asciiTheme="minorHAnsi" w:eastAsiaTheme="minorEastAsia" w:hAnsiTheme="minorHAnsi" w:cstheme="minorBidi"/>
              <w:lang w:eastAsia="en-GB"/>
            </w:rPr>
          </w:pPr>
          <w:hyperlink w:anchor="_Toc42609369" w:history="1">
            <w:r w:rsidR="00E92AED">
              <w:rPr>
                <w:rStyle w:val="a7"/>
                <w:b/>
              </w:rPr>
              <w:t>How to complete the application form</w:t>
            </w:r>
            <w:r w:rsidR="00E92AED">
              <w:tab/>
            </w:r>
            <w:r w:rsidR="00E92AED">
              <w:fldChar w:fldCharType="begin"/>
            </w:r>
            <w:r w:rsidR="00E92AED">
              <w:instrText xml:space="preserve"> PAGEREF _Toc42609369 \h </w:instrText>
            </w:r>
            <w:r w:rsidR="00E92AED">
              <w:fldChar w:fldCharType="separate"/>
            </w:r>
            <w:r w:rsidR="00E92AED">
              <w:t>3</w:t>
            </w:r>
            <w:r w:rsidR="00E92AED">
              <w:fldChar w:fldCharType="end"/>
            </w:r>
          </w:hyperlink>
        </w:p>
        <w:p w:rsidR="00B02F2C" w:rsidRDefault="000D5F8C">
          <w:pPr>
            <w:pStyle w:val="11"/>
            <w:rPr>
              <w:rFonts w:asciiTheme="minorHAnsi" w:eastAsiaTheme="minorEastAsia" w:hAnsiTheme="minorHAnsi" w:cstheme="minorBidi"/>
              <w:b w:val="0"/>
              <w:lang w:eastAsia="en-GB"/>
            </w:rPr>
          </w:pPr>
          <w:hyperlink w:anchor="_Toc42609370" w:history="1">
            <w:r w:rsidR="00E92AED">
              <w:rPr>
                <w:rStyle w:val="a7"/>
              </w:rPr>
              <w:t>SECTION A - General information</w:t>
            </w:r>
            <w:r w:rsidR="00E92AED">
              <w:tab/>
            </w:r>
            <w:r w:rsidR="00E92AED">
              <w:fldChar w:fldCharType="begin"/>
            </w:r>
            <w:r w:rsidR="00E92AED">
              <w:instrText xml:space="preserve"> PAGEREF _Toc42609370 \h </w:instrText>
            </w:r>
            <w:r w:rsidR="00E92AED">
              <w:fldChar w:fldCharType="separate"/>
            </w:r>
            <w:r w:rsidR="00E92AED">
              <w:t>4</w:t>
            </w:r>
            <w:r w:rsidR="00E92AED">
              <w:fldChar w:fldCharType="end"/>
            </w:r>
          </w:hyperlink>
        </w:p>
        <w:p w:rsidR="00B02F2C" w:rsidRDefault="000D5F8C">
          <w:pPr>
            <w:pStyle w:val="21"/>
            <w:tabs>
              <w:tab w:val="right" w:leader="dot" w:pos="9016"/>
            </w:tabs>
            <w:rPr>
              <w:rFonts w:asciiTheme="minorHAnsi" w:eastAsiaTheme="minorEastAsia" w:hAnsiTheme="minorHAnsi" w:cstheme="minorBidi"/>
              <w:lang w:eastAsia="en-GB"/>
            </w:rPr>
          </w:pPr>
          <w:hyperlink w:anchor="_Toc42609371" w:history="1">
            <w:r w:rsidR="00E92AED">
              <w:rPr>
                <w:rStyle w:val="a7"/>
                <w:b/>
                <w:bCs/>
              </w:rPr>
              <w:t>A1 – Current trade remedy measure</w:t>
            </w:r>
            <w:r w:rsidR="00E92AED">
              <w:tab/>
            </w:r>
            <w:r w:rsidR="00E92AED">
              <w:fldChar w:fldCharType="begin"/>
            </w:r>
            <w:r w:rsidR="00E92AED">
              <w:instrText xml:space="preserve"> PAGEREF _Toc42609371 \h </w:instrText>
            </w:r>
            <w:r w:rsidR="00E92AED">
              <w:fldChar w:fldCharType="separate"/>
            </w:r>
            <w:r w:rsidR="00E92AED">
              <w:t>4</w:t>
            </w:r>
            <w:r w:rsidR="00E92AED">
              <w:fldChar w:fldCharType="end"/>
            </w:r>
          </w:hyperlink>
        </w:p>
        <w:p w:rsidR="00B02F2C" w:rsidRDefault="000D5F8C">
          <w:pPr>
            <w:pStyle w:val="21"/>
            <w:tabs>
              <w:tab w:val="right" w:leader="dot" w:pos="9016"/>
            </w:tabs>
            <w:rPr>
              <w:rFonts w:asciiTheme="minorHAnsi" w:eastAsiaTheme="minorEastAsia" w:hAnsiTheme="minorHAnsi" w:cstheme="minorBidi"/>
              <w:lang w:eastAsia="en-GB"/>
            </w:rPr>
          </w:pPr>
          <w:hyperlink w:anchor="_Toc42609372" w:history="1">
            <w:r w:rsidR="00E92AED">
              <w:rPr>
                <w:rStyle w:val="a7"/>
                <w:b/>
                <w:bCs/>
              </w:rPr>
              <w:t>A2 – Applicant details</w:t>
            </w:r>
            <w:r w:rsidR="00E92AED">
              <w:tab/>
            </w:r>
            <w:r w:rsidR="00E92AED">
              <w:fldChar w:fldCharType="begin"/>
            </w:r>
            <w:r w:rsidR="00E92AED">
              <w:instrText xml:space="preserve"> PAGEREF _Toc42609372 \h </w:instrText>
            </w:r>
            <w:r w:rsidR="00E92AED">
              <w:fldChar w:fldCharType="separate"/>
            </w:r>
            <w:r w:rsidR="00E92AED">
              <w:t>4</w:t>
            </w:r>
            <w:r w:rsidR="00E92AED">
              <w:fldChar w:fldCharType="end"/>
            </w:r>
          </w:hyperlink>
        </w:p>
        <w:p w:rsidR="00B02F2C" w:rsidRDefault="000D5F8C">
          <w:pPr>
            <w:pStyle w:val="11"/>
            <w:rPr>
              <w:rFonts w:asciiTheme="minorHAnsi" w:eastAsiaTheme="minorEastAsia" w:hAnsiTheme="minorHAnsi" w:cstheme="minorBidi"/>
              <w:b w:val="0"/>
              <w:lang w:eastAsia="en-GB"/>
            </w:rPr>
          </w:pPr>
          <w:hyperlink w:anchor="_Toc42609373" w:history="1">
            <w:r w:rsidR="00E92AED">
              <w:rPr>
                <w:rStyle w:val="a7"/>
              </w:rPr>
              <w:t>SECTION B – Evidence of New Exporter</w:t>
            </w:r>
            <w:r w:rsidR="00E92AED">
              <w:tab/>
            </w:r>
            <w:r w:rsidR="00E92AED">
              <w:fldChar w:fldCharType="begin"/>
            </w:r>
            <w:r w:rsidR="00E92AED">
              <w:instrText xml:space="preserve"> PAGEREF _Toc42609373 \h </w:instrText>
            </w:r>
            <w:r w:rsidR="00E92AED">
              <w:fldChar w:fldCharType="separate"/>
            </w:r>
            <w:r w:rsidR="00E92AED">
              <w:t>5</w:t>
            </w:r>
            <w:r w:rsidR="00E92AED">
              <w:fldChar w:fldCharType="end"/>
            </w:r>
          </w:hyperlink>
        </w:p>
        <w:p w:rsidR="00B02F2C" w:rsidRDefault="000D5F8C">
          <w:pPr>
            <w:pStyle w:val="21"/>
            <w:tabs>
              <w:tab w:val="right" w:leader="dot" w:pos="9016"/>
            </w:tabs>
            <w:rPr>
              <w:rFonts w:asciiTheme="minorHAnsi" w:eastAsiaTheme="minorEastAsia" w:hAnsiTheme="minorHAnsi" w:cstheme="minorBidi"/>
              <w:lang w:eastAsia="en-GB"/>
            </w:rPr>
          </w:pPr>
          <w:hyperlink w:anchor="_Toc42609374" w:history="1">
            <w:r w:rsidR="00E92AED">
              <w:rPr>
                <w:rStyle w:val="a7"/>
                <w:b/>
              </w:rPr>
              <w:t>B1 – Relationship to overseas exporters</w:t>
            </w:r>
            <w:r w:rsidR="00E92AED">
              <w:tab/>
            </w:r>
            <w:r w:rsidR="00E92AED">
              <w:fldChar w:fldCharType="begin"/>
            </w:r>
            <w:r w:rsidR="00E92AED">
              <w:instrText xml:space="preserve"> PAGEREF _Toc42609374 \h </w:instrText>
            </w:r>
            <w:r w:rsidR="00E92AED">
              <w:fldChar w:fldCharType="separate"/>
            </w:r>
            <w:r w:rsidR="00E92AED">
              <w:t>5</w:t>
            </w:r>
            <w:r w:rsidR="00E92AED">
              <w:fldChar w:fldCharType="end"/>
            </w:r>
          </w:hyperlink>
        </w:p>
        <w:p w:rsidR="00B02F2C" w:rsidRDefault="000D5F8C">
          <w:pPr>
            <w:pStyle w:val="21"/>
            <w:tabs>
              <w:tab w:val="right" w:leader="dot" w:pos="9016"/>
            </w:tabs>
            <w:rPr>
              <w:rFonts w:asciiTheme="minorHAnsi" w:eastAsiaTheme="minorEastAsia" w:hAnsiTheme="minorHAnsi" w:cstheme="minorBidi"/>
              <w:lang w:eastAsia="en-GB"/>
            </w:rPr>
          </w:pPr>
          <w:hyperlink w:anchor="_Toc42609375" w:history="1">
            <w:r w:rsidR="00E92AED">
              <w:rPr>
                <w:rStyle w:val="a7"/>
                <w:b/>
                <w:bCs/>
              </w:rPr>
              <w:t>B2 – Exports of applicant</w:t>
            </w:r>
            <w:r w:rsidR="00E92AED">
              <w:tab/>
            </w:r>
            <w:r w:rsidR="00E92AED">
              <w:fldChar w:fldCharType="begin"/>
            </w:r>
            <w:r w:rsidR="00E92AED">
              <w:instrText xml:space="preserve"> PAGEREF _Toc42609375 \h </w:instrText>
            </w:r>
            <w:r w:rsidR="00E92AED">
              <w:fldChar w:fldCharType="separate"/>
            </w:r>
            <w:r w:rsidR="00E92AED">
              <w:t>5</w:t>
            </w:r>
            <w:r w:rsidR="00E92AED">
              <w:fldChar w:fldCharType="end"/>
            </w:r>
          </w:hyperlink>
        </w:p>
        <w:p w:rsidR="00B02F2C" w:rsidRDefault="000D5F8C">
          <w:pPr>
            <w:pStyle w:val="11"/>
            <w:rPr>
              <w:rFonts w:asciiTheme="minorHAnsi" w:eastAsiaTheme="minorEastAsia" w:hAnsiTheme="minorHAnsi" w:cstheme="minorBidi"/>
              <w:b w:val="0"/>
              <w:lang w:eastAsia="en-GB"/>
            </w:rPr>
          </w:pPr>
          <w:hyperlink w:anchor="_Toc42609376" w:history="1">
            <w:r w:rsidR="00E92AED">
              <w:rPr>
                <w:rStyle w:val="a7"/>
              </w:rPr>
              <w:t>Declaration</w:t>
            </w:r>
            <w:r w:rsidR="00E92AED">
              <w:tab/>
            </w:r>
            <w:r w:rsidR="00E92AED">
              <w:fldChar w:fldCharType="begin"/>
            </w:r>
            <w:r w:rsidR="00E92AED">
              <w:instrText xml:space="preserve"> PAGEREF _Toc42609376 \h </w:instrText>
            </w:r>
            <w:r w:rsidR="00E92AED">
              <w:fldChar w:fldCharType="separate"/>
            </w:r>
            <w:r w:rsidR="00E92AED">
              <w:t>6</w:t>
            </w:r>
            <w:r w:rsidR="00E92AED">
              <w:fldChar w:fldCharType="end"/>
            </w:r>
          </w:hyperlink>
        </w:p>
        <w:p w:rsidR="00B02F2C" w:rsidRDefault="000D5F8C">
          <w:pPr>
            <w:pStyle w:val="11"/>
            <w:rPr>
              <w:rFonts w:asciiTheme="minorHAnsi" w:eastAsiaTheme="minorEastAsia" w:hAnsiTheme="minorHAnsi" w:cstheme="minorBidi"/>
              <w:b w:val="0"/>
              <w:lang w:eastAsia="en-GB"/>
            </w:rPr>
          </w:pPr>
          <w:hyperlink w:anchor="_Toc42609377" w:history="1">
            <w:r w:rsidR="00E92AED">
              <w:rPr>
                <w:rStyle w:val="a7"/>
              </w:rPr>
              <w:t>Next steps</w:t>
            </w:r>
            <w:r w:rsidR="00E92AED">
              <w:tab/>
            </w:r>
            <w:r w:rsidR="00E92AED">
              <w:fldChar w:fldCharType="begin"/>
            </w:r>
            <w:r w:rsidR="00E92AED">
              <w:instrText xml:space="preserve"> PAGEREF _Toc42609377 \h </w:instrText>
            </w:r>
            <w:r w:rsidR="00E92AED">
              <w:fldChar w:fldCharType="separate"/>
            </w:r>
            <w:r w:rsidR="00E92AED">
              <w:t>7</w:t>
            </w:r>
            <w:r w:rsidR="00E92AED">
              <w:fldChar w:fldCharType="end"/>
            </w:r>
          </w:hyperlink>
        </w:p>
        <w:p w:rsidR="00B02F2C" w:rsidRDefault="00E92AED">
          <w:r>
            <w:rPr>
              <w:b/>
              <w:bCs/>
            </w:rPr>
            <w:fldChar w:fldCharType="end"/>
          </w:r>
        </w:p>
      </w:sdtContent>
    </w:sdt>
    <w:p w:rsidR="00B02F2C" w:rsidRDefault="00B02F2C">
      <w:pPr>
        <w:spacing w:line="276" w:lineRule="auto"/>
      </w:pPr>
    </w:p>
    <w:p w:rsidR="00B02F2C" w:rsidRDefault="00E92AED">
      <w:pPr>
        <w:pStyle w:val="1"/>
        <w:spacing w:line="276" w:lineRule="auto"/>
        <w:jc w:val="center"/>
        <w:rPr>
          <w:sz w:val="36"/>
          <w:szCs w:val="36"/>
          <w:u w:val="none"/>
        </w:rPr>
      </w:pPr>
      <w:r>
        <w:rPr>
          <w:sz w:val="32"/>
          <w:szCs w:val="32"/>
        </w:rPr>
        <w:br w:type="page"/>
      </w:r>
      <w:bookmarkStart w:id="0" w:name="_Toc42587596"/>
      <w:r>
        <w:rPr>
          <w:sz w:val="36"/>
          <w:szCs w:val="36"/>
          <w:u w:val="none"/>
        </w:rPr>
        <w:lastRenderedPageBreak/>
        <w:t>Instructions</w:t>
      </w:r>
      <w:bookmarkEnd w:id="0"/>
    </w:p>
    <w:p w:rsidR="00B02F2C" w:rsidRDefault="00E92AED">
      <w:pPr>
        <w:pStyle w:val="2"/>
        <w:rPr>
          <w:bCs/>
          <w:sz w:val="32"/>
          <w:szCs w:val="32"/>
          <w:u w:val="none"/>
        </w:rPr>
      </w:pPr>
      <w:r>
        <w:rPr>
          <w:b/>
          <w:sz w:val="32"/>
          <w:szCs w:val="32"/>
          <w:u w:val="none"/>
        </w:rPr>
        <w:t>About us</w:t>
      </w:r>
    </w:p>
    <w:p w:rsidR="00B02F2C" w:rsidRDefault="00E92AED">
      <w:pPr>
        <w:pStyle w:val="Regular"/>
        <w:rPr>
          <w:szCs w:val="24"/>
        </w:rPr>
      </w:pPr>
      <w:r>
        <w:rPr>
          <w:szCs w:val="24"/>
        </w:rPr>
        <w:t>The Trade Remedies Investigations Directorate (TRID) is part of the UK’s Department for International Trade. It carries out trade remedies investigations to find out if a new trade measure may be needed to counter dumped or subsidised imports or a sudden surge in imports.</w:t>
      </w:r>
    </w:p>
    <w:p w:rsidR="00B02F2C" w:rsidRDefault="00E92AED">
      <w:pPr>
        <w:pStyle w:val="Regular"/>
        <w:rPr>
          <w:szCs w:val="24"/>
        </w:rPr>
      </w:pPr>
      <w:r>
        <w:rPr>
          <w:szCs w:val="24"/>
        </w:rPr>
        <w:t xml:space="preserve">The legislative framework that TRID operates under is found in the </w:t>
      </w:r>
      <w:hyperlink r:id="rId14" w:history="1">
        <w:r>
          <w:rPr>
            <w:rStyle w:val="a7"/>
            <w:szCs w:val="24"/>
          </w:rPr>
          <w:t>Taxation (Cross-border Trade) Act 2018</w:t>
        </w:r>
      </w:hyperlink>
      <w:r>
        <w:rPr>
          <w:szCs w:val="24"/>
        </w:rPr>
        <w:t xml:space="preserve">) (‘the Act’) and the </w:t>
      </w:r>
      <w:hyperlink r:id="rId15" w:history="1">
        <w:r>
          <w:rPr>
            <w:rStyle w:val="a7"/>
          </w:rPr>
          <w:t>Trade Remedies (Dumping and Subsidisation) (EU Exit) Regulations 2019</w:t>
        </w:r>
      </w:hyperlink>
      <w:r>
        <w:t xml:space="preserve"> (‘the Regulations’). </w:t>
      </w:r>
    </w:p>
    <w:p w:rsidR="00B02F2C" w:rsidRDefault="00E92AED">
      <w:pPr>
        <w:pStyle w:val="2"/>
        <w:rPr>
          <w:bCs/>
          <w:szCs w:val="24"/>
        </w:rPr>
      </w:pPr>
      <w:r>
        <w:rPr>
          <w:b/>
          <w:sz w:val="32"/>
          <w:szCs w:val="32"/>
          <w:u w:val="none"/>
        </w:rPr>
        <w:t>About you</w:t>
      </w:r>
    </w:p>
    <w:p w:rsidR="00B02F2C" w:rsidRDefault="00E92AED">
      <w:pPr>
        <w:pStyle w:val="Regular"/>
        <w:rPr>
          <w:szCs w:val="24"/>
        </w:rPr>
      </w:pPr>
      <w:r>
        <w:rPr>
          <w:szCs w:val="24"/>
        </w:rPr>
        <w:t xml:space="preserve">If you did not export to the UK, or did not exist during the original investigation, you can apply to us to be considered as a new exporter. </w:t>
      </w:r>
    </w:p>
    <w:p w:rsidR="00B02F2C" w:rsidRDefault="00E92AED">
      <w:pPr>
        <w:pStyle w:val="Regular"/>
      </w:pPr>
      <w:r>
        <w:t xml:space="preserve">Any information you provide must contain sufficient evidence that your company qualifies as a new exporter as outlined by </w:t>
      </w:r>
      <w:hyperlink r:id="rId16" w:history="1">
        <w:r>
          <w:rPr>
            <w:rStyle w:val="a7"/>
          </w:rPr>
          <w:t>Regulation 71 of the Trade Remedies (Dumping and Subsidisation) (EU Exit) Regulations 2019</w:t>
        </w:r>
      </w:hyperlink>
      <w:r>
        <w:t xml:space="preserve">. More information on how we determine eligibility can be found in our </w:t>
      </w:r>
      <w:hyperlink r:id="rId17" w:history="1">
        <w:r>
          <w:rPr>
            <w:rStyle w:val="a7"/>
          </w:rPr>
          <w:t>guidance</w:t>
        </w:r>
      </w:hyperlink>
      <w:r>
        <w:t>.</w:t>
      </w:r>
    </w:p>
    <w:p w:rsidR="00B02F2C" w:rsidRDefault="00E92AED">
      <w:pPr>
        <w:pStyle w:val="Regular"/>
        <w:rPr>
          <w:szCs w:val="24"/>
        </w:rPr>
      </w:pPr>
      <w:r>
        <w:rPr>
          <w:szCs w:val="24"/>
        </w:rPr>
        <w:t xml:space="preserve">You can find out more about our remit and how we work by reading our guidance on </w:t>
      </w:r>
      <w:hyperlink r:id="rId18" w:history="1">
        <w:r>
          <w:rPr>
            <w:rStyle w:val="a7"/>
            <w:szCs w:val="24"/>
          </w:rPr>
          <w:t>trade remedies investigations.</w:t>
        </w:r>
      </w:hyperlink>
    </w:p>
    <w:p w:rsidR="00B02F2C" w:rsidRDefault="00E92AED">
      <w:pPr>
        <w:pStyle w:val="2"/>
      </w:pPr>
      <w:r>
        <w:rPr>
          <w:b/>
          <w:sz w:val="32"/>
          <w:szCs w:val="32"/>
          <w:u w:val="none"/>
        </w:rPr>
        <w:t>About this form</w:t>
      </w:r>
    </w:p>
    <w:p w:rsidR="00B02F2C" w:rsidRDefault="00E92AED">
      <w:pPr>
        <w:pStyle w:val="Regular"/>
        <w:rPr>
          <w:szCs w:val="24"/>
        </w:rPr>
      </w:pPr>
      <w:r>
        <w:rPr>
          <w:szCs w:val="24"/>
        </w:rPr>
        <w:t xml:space="preserve">Complete this form and the relevant annexes if you want to apply to be considered as a new exporter for a measure. This form will give us the information we need to decide whether to initiate a review. You can find more information on how we </w:t>
      </w:r>
      <w:hyperlink r:id="rId19" w:anchor="how-we-assess-your-application" w:history="1">
        <w:r>
          <w:rPr>
            <w:rStyle w:val="a7"/>
            <w:szCs w:val="24"/>
          </w:rPr>
          <w:t>assess applications</w:t>
        </w:r>
      </w:hyperlink>
      <w:r>
        <w:rPr>
          <w:szCs w:val="24"/>
        </w:rPr>
        <w:t xml:space="preserve"> in our guidance.</w:t>
      </w:r>
    </w:p>
    <w:p w:rsidR="00B02F2C" w:rsidRDefault="00E92AED">
      <w:pPr>
        <w:pStyle w:val="Regular"/>
        <w:rPr>
          <w:szCs w:val="24"/>
        </w:rPr>
      </w:pPr>
      <w:r>
        <w:rPr>
          <w:szCs w:val="24"/>
        </w:rPr>
        <w:t xml:space="preserve">You must submit your application online through the </w:t>
      </w:r>
      <w:hyperlink r:id="rId20" w:history="1">
        <w:r>
          <w:rPr>
            <w:rStyle w:val="a7"/>
            <w:szCs w:val="24"/>
          </w:rPr>
          <w:t>Trade Remedies Service</w:t>
        </w:r>
      </w:hyperlink>
      <w:r>
        <w:rPr>
          <w:szCs w:val="24"/>
        </w:rPr>
        <w:t xml:space="preserve">. When you submit your application, you must also submit a non-confidential version (including the annexes) which doesn’t contain any data you think is sensitive, as we are required to publish a copy of the application form. You can find out more about </w:t>
      </w:r>
      <w:hyperlink r:id="rId21" w:anchor="how-we-handle-confidential-information" w:history="1">
        <w:r>
          <w:rPr>
            <w:rStyle w:val="a7"/>
            <w:szCs w:val="24"/>
          </w:rPr>
          <w:t>what can be considered confidential and how to prepare a non-confidential version</w:t>
        </w:r>
        <w:r>
          <w:rPr>
            <w:rStyle w:val="a7"/>
          </w:rPr>
          <w:t xml:space="preserve"> of your documents</w:t>
        </w:r>
      </w:hyperlink>
      <w:r>
        <w:rPr>
          <w:szCs w:val="24"/>
        </w:rPr>
        <w:t xml:space="preserve"> in our guidance.</w:t>
      </w:r>
    </w:p>
    <w:p w:rsidR="00B02F2C" w:rsidRDefault="00E92AED">
      <w:pPr>
        <w:pStyle w:val="Regular"/>
        <w:rPr>
          <w:szCs w:val="24"/>
        </w:rPr>
      </w:pPr>
      <w:r>
        <w:rPr>
          <w:szCs w:val="24"/>
        </w:rPr>
        <w:t xml:space="preserve">If you are considering submitting an application and would like to discuss it with someone first, please email </w:t>
      </w:r>
      <w:hyperlink r:id="rId22" w:history="1">
        <w:r>
          <w:rPr>
            <w:rStyle w:val="a7"/>
          </w:rPr>
          <w:t>contact@traderemedies.gov.uk</w:t>
        </w:r>
      </w:hyperlink>
      <w:r>
        <w:rPr>
          <w:szCs w:val="24"/>
        </w:rPr>
        <w:t xml:space="preserve">. You can find more on completing this application in our </w:t>
      </w:r>
      <w:hyperlink r:id="rId23" w:history="1">
        <w:r>
          <w:rPr>
            <w:rStyle w:val="a7"/>
            <w:szCs w:val="24"/>
          </w:rPr>
          <w:t>Pre-Application Office</w:t>
        </w:r>
      </w:hyperlink>
      <w:r>
        <w:rPr>
          <w:szCs w:val="24"/>
        </w:rPr>
        <w:t xml:space="preserve"> and </w:t>
      </w:r>
      <w:hyperlink r:id="rId24" w:history="1">
        <w:r>
          <w:rPr>
            <w:rStyle w:val="a7"/>
            <w:szCs w:val="24"/>
          </w:rPr>
          <w:t>application assessment</w:t>
        </w:r>
      </w:hyperlink>
      <w:r>
        <w:rPr>
          <w:szCs w:val="24"/>
        </w:rPr>
        <w:t xml:space="preserve"> guidance.</w:t>
      </w:r>
    </w:p>
    <w:p w:rsidR="00B02F2C" w:rsidRDefault="00E92AED">
      <w:pPr>
        <w:pStyle w:val="2"/>
        <w:rPr>
          <w:u w:val="none"/>
        </w:rPr>
      </w:pPr>
      <w:r>
        <w:rPr>
          <w:b/>
          <w:sz w:val="32"/>
          <w:szCs w:val="32"/>
          <w:u w:val="none"/>
        </w:rPr>
        <w:lastRenderedPageBreak/>
        <w:t>How to complete this application form</w:t>
      </w:r>
    </w:p>
    <w:p w:rsidR="00B02F2C" w:rsidRDefault="00E92AED">
      <w:pPr>
        <w:pStyle w:val="Regular"/>
      </w:pPr>
      <w:r>
        <w:t xml:space="preserve">Please read and follow all the instructions carefully. You will need to provide evidence to support your concerns. You may need to attach supporting documents in appendices to supplement the answers you give. </w:t>
      </w:r>
    </w:p>
    <w:p w:rsidR="00B02F2C" w:rsidRDefault="00E92AED">
      <w:pPr>
        <w:pStyle w:val="Regular"/>
      </w:pPr>
      <w:r>
        <w:t>Please also note the following points:</w:t>
      </w:r>
    </w:p>
    <w:p w:rsidR="00B02F2C" w:rsidRDefault="00E92AED">
      <w:pPr>
        <w:pStyle w:val="BulletLoose"/>
        <w:rPr>
          <w:szCs w:val="24"/>
        </w:rPr>
      </w:pPr>
      <w:r>
        <w:rPr>
          <w:szCs w:val="24"/>
        </w:rPr>
        <w:t>Try to avoid leaving any questions blank. If the question isn’t relevant to you, please try to explain why.</w:t>
      </w:r>
    </w:p>
    <w:p w:rsidR="00B02F2C" w:rsidRDefault="00E92AED">
      <w:pPr>
        <w:pStyle w:val="BulletLoose"/>
        <w:rPr>
          <w:szCs w:val="24"/>
        </w:rPr>
      </w:pPr>
      <w:r>
        <w:rPr>
          <w:szCs w:val="24"/>
        </w:rPr>
        <w:t>If the answer to a question is “zero”, “no”, “none” or "not applicable”, please write this rather than leaving the answer blank.</w:t>
      </w:r>
    </w:p>
    <w:p w:rsidR="00B02F2C" w:rsidRDefault="00E92AED">
      <w:pPr>
        <w:pStyle w:val="BulletLoose"/>
        <w:rPr>
          <w:szCs w:val="24"/>
        </w:rPr>
      </w:pPr>
      <w:r>
        <w:rPr>
          <w:szCs w:val="24"/>
        </w:rPr>
        <w:t xml:space="preserve">If you feel you can’t present the information as requested, please contact the Pre-Application Office by emailing </w:t>
      </w:r>
      <w:hyperlink r:id="rId25">
        <w:r>
          <w:rPr>
            <w:rStyle w:val="a7"/>
          </w:rPr>
          <w:t>contact@traderemedies.gov.uk</w:t>
        </w:r>
      </w:hyperlink>
      <w:r>
        <w:rPr>
          <w:szCs w:val="24"/>
        </w:rPr>
        <w:t>.</w:t>
      </w:r>
    </w:p>
    <w:p w:rsidR="00B02F2C" w:rsidRDefault="00E92AED">
      <w:pPr>
        <w:pStyle w:val="BulletLoose"/>
        <w:rPr>
          <w:szCs w:val="24"/>
        </w:rPr>
      </w:pPr>
      <w:r>
        <w:rPr>
          <w:szCs w:val="24"/>
        </w:rPr>
        <w:t xml:space="preserve">If there is not enough space in any part of the application form to provide a full answer, please attach appendices. Please ensure that any attachments are given a corresponding appendix reference in the title of the document and that these are referenced in the boxes provided. </w:t>
      </w:r>
    </w:p>
    <w:p w:rsidR="00B02F2C" w:rsidRDefault="00E92AED">
      <w:pPr>
        <w:pStyle w:val="BulletLoose"/>
        <w:rPr>
          <w:szCs w:val="24"/>
        </w:rPr>
      </w:pPr>
      <w:r>
        <w:rPr>
          <w:szCs w:val="24"/>
        </w:rPr>
        <w:t>If you include any documents not in English, please provide an English translation.</w:t>
      </w:r>
    </w:p>
    <w:p w:rsidR="00B02F2C" w:rsidRDefault="00E92AED">
      <w:pPr>
        <w:pStyle w:val="BulletLoose"/>
        <w:rPr>
          <w:rFonts w:eastAsia="Arial"/>
          <w:szCs w:val="24"/>
        </w:rPr>
      </w:pPr>
      <w:r>
        <w:rPr>
          <w:szCs w:val="24"/>
        </w:rPr>
        <w:t>Provide all dates in the format DD/MM/YYYY (e.g. 23/05/2019).</w:t>
      </w:r>
    </w:p>
    <w:p w:rsidR="00B02F2C" w:rsidRDefault="00E92AED">
      <w:pPr>
        <w:pStyle w:val="BulletLoose"/>
        <w:rPr>
          <w:szCs w:val="24"/>
        </w:rPr>
      </w:pPr>
      <w:r>
        <w:rPr>
          <w:rFonts w:eastAsia="Arial"/>
          <w:szCs w:val="24"/>
        </w:rPr>
        <w:t>For all numerical figures, where appropriate please express every third number with a comma (e.g. ‘1,300’ for one-thousand three hundred, ‘1,300,000’ for one million and three-hundred thousand).</w:t>
      </w:r>
    </w:p>
    <w:p w:rsidR="00B02F2C" w:rsidRDefault="00E92AED">
      <w:pPr>
        <w:pStyle w:val="BulletLoose"/>
        <w:rPr>
          <w:szCs w:val="24"/>
        </w:rPr>
      </w:pPr>
      <w:r>
        <w:rPr>
          <w:rFonts w:eastAsia="Arial"/>
          <w:szCs w:val="24"/>
        </w:rPr>
        <w:t>Limit all sales/currency/income figures to two decimal places and use the appropriate currency symbol (e.g. £1,300.00).</w:t>
      </w:r>
    </w:p>
    <w:p w:rsidR="00B02F2C" w:rsidRDefault="00E92AED">
      <w:pPr>
        <w:pStyle w:val="BulletLoose"/>
        <w:rPr>
          <w:szCs w:val="24"/>
        </w:rPr>
      </w:pPr>
      <w:r>
        <w:rPr>
          <w:rFonts w:eastAsia="Arial"/>
          <w:szCs w:val="24"/>
        </w:rPr>
        <w:t xml:space="preserve">All figures should be reported net of tax unless otherwise stated. </w:t>
      </w:r>
    </w:p>
    <w:p w:rsidR="00B02F2C" w:rsidRDefault="00E92AED">
      <w:pPr>
        <w:pStyle w:val="BulletLoose"/>
        <w:rPr>
          <w:szCs w:val="24"/>
        </w:rPr>
      </w:pPr>
      <w:r>
        <w:rPr>
          <w:rFonts w:eastAsia="Arial"/>
          <w:szCs w:val="24"/>
        </w:rPr>
        <w:t xml:space="preserve">For definitions of the incoterms used throughout this document, please visit the </w:t>
      </w:r>
      <w:hyperlink r:id="rId26" w:history="1">
        <w:r>
          <w:rPr>
            <w:rStyle w:val="a7"/>
            <w:rFonts w:eastAsia="Arial"/>
            <w:iCs/>
            <w:szCs w:val="24"/>
          </w:rPr>
          <w:t>International Chamber of Commerce</w:t>
        </w:r>
      </w:hyperlink>
      <w:r>
        <w:rPr>
          <w:rFonts w:eastAsia="Arial"/>
          <w:szCs w:val="24"/>
        </w:rPr>
        <w:t>.</w:t>
      </w:r>
    </w:p>
    <w:p w:rsidR="00B02F2C" w:rsidRDefault="00E92AED">
      <w:pPr>
        <w:rPr>
          <w:sz w:val="32"/>
          <w:szCs w:val="32"/>
        </w:rPr>
      </w:pPr>
      <w:r>
        <w:br w:type="page"/>
      </w:r>
    </w:p>
    <w:p w:rsidR="00B02F2C" w:rsidRDefault="00E92AED">
      <w:pPr>
        <w:pStyle w:val="2"/>
        <w:rPr>
          <w:b/>
          <w:bCs/>
          <w:sz w:val="32"/>
          <w:szCs w:val="32"/>
          <w:u w:val="none"/>
        </w:rPr>
      </w:pPr>
      <w:r>
        <w:rPr>
          <w:b/>
          <w:bCs/>
          <w:sz w:val="32"/>
          <w:szCs w:val="32"/>
          <w:u w:val="none"/>
        </w:rPr>
        <w:lastRenderedPageBreak/>
        <w:t>What happens next</w:t>
      </w:r>
    </w:p>
    <w:p w:rsidR="00B02F2C" w:rsidRDefault="00E92AED">
      <w:pPr>
        <w:pStyle w:val="Regular"/>
        <w:rPr>
          <w:szCs w:val="24"/>
        </w:rPr>
      </w:pPr>
      <w:r>
        <w:t xml:space="preserve">Once you have completed this application form you can share a confidential version with the Pre-Application Office to get feedback before you formally submit your application. When you formally submit your application, you will need to submit a confidential and a non-confidential version of this form. Please upload these through our </w:t>
      </w:r>
      <w:hyperlink r:id="rId27" w:history="1">
        <w:r>
          <w:rPr>
            <w:rStyle w:val="a7"/>
          </w:rPr>
          <w:t>Trade Remedies Service</w:t>
        </w:r>
      </w:hyperlink>
      <w:r>
        <w:rPr>
          <w:rFonts w:eastAsia="Arial"/>
          <w:szCs w:val="24"/>
        </w:rPr>
        <w:t>.</w:t>
      </w:r>
      <w:r>
        <w:rPr>
          <w:szCs w:val="24"/>
        </w:rPr>
        <w:t xml:space="preserve"> </w:t>
      </w:r>
    </w:p>
    <w:p w:rsidR="00B02F2C" w:rsidRDefault="00E92AED">
      <w:pPr>
        <w:pStyle w:val="Regular"/>
        <w:rPr>
          <w:szCs w:val="24"/>
        </w:rPr>
      </w:pPr>
      <w:r>
        <w:rPr>
          <w:szCs w:val="24"/>
        </w:rPr>
        <w:t>Once you have done this:</w:t>
      </w:r>
    </w:p>
    <w:p w:rsidR="00B02F2C" w:rsidRDefault="00E92AED">
      <w:pPr>
        <w:pStyle w:val="BulletTight"/>
        <w:numPr>
          <w:ilvl w:val="0"/>
          <w:numId w:val="3"/>
        </w:numPr>
        <w:ind w:left="785"/>
        <w:rPr>
          <w:szCs w:val="44"/>
        </w:rPr>
      </w:pPr>
      <w:r>
        <w:rPr>
          <w:szCs w:val="44"/>
        </w:rPr>
        <w:t xml:space="preserve">you will receive an email confirming the documents have been uploaded successfully; </w:t>
      </w:r>
    </w:p>
    <w:p w:rsidR="00B02F2C" w:rsidRDefault="00E92AED">
      <w:pPr>
        <w:pStyle w:val="BulletTight"/>
        <w:numPr>
          <w:ilvl w:val="0"/>
          <w:numId w:val="3"/>
        </w:numPr>
        <w:ind w:left="785"/>
        <w:rPr>
          <w:szCs w:val="44"/>
        </w:rPr>
      </w:pPr>
      <w:r>
        <w:rPr>
          <w:szCs w:val="44"/>
        </w:rPr>
        <w:t>the assessor(s) of your application will contact you if further information is required; and</w:t>
      </w:r>
    </w:p>
    <w:p w:rsidR="00B02F2C" w:rsidRDefault="00E92AED">
      <w:pPr>
        <w:pStyle w:val="BulletTight"/>
        <w:numPr>
          <w:ilvl w:val="0"/>
          <w:numId w:val="3"/>
        </w:numPr>
        <w:ind w:left="785"/>
        <w:rPr>
          <w:szCs w:val="24"/>
        </w:rPr>
      </w:pPr>
      <w:r>
        <w:rPr>
          <w:szCs w:val="24"/>
        </w:rPr>
        <w:t>t</w:t>
      </w:r>
      <w:r>
        <w:rPr>
          <w:rFonts w:eastAsia="Arial"/>
          <w:szCs w:val="24"/>
        </w:rPr>
        <w:t>he assessor(s) of your application may contact you to arrange a visit to verify the information contained in your responses.</w:t>
      </w:r>
    </w:p>
    <w:p w:rsidR="00B02F2C" w:rsidRDefault="00B02F2C">
      <w:pPr>
        <w:pStyle w:val="Regula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rPr>
          <w:sz w:val="32"/>
          <w:szCs w:val="32"/>
        </w:rPr>
      </w:pPr>
    </w:p>
    <w:p w:rsidR="00B02F2C" w:rsidRDefault="00B02F2C">
      <w:pPr>
        <w:pStyle w:val="Regular"/>
      </w:pPr>
    </w:p>
    <w:p w:rsidR="00B02F2C" w:rsidRDefault="00E92AED">
      <w:pPr>
        <w:pStyle w:val="SectionTitle"/>
      </w:pPr>
      <w:r>
        <w:lastRenderedPageBreak/>
        <w:t>General Information</w:t>
      </w:r>
    </w:p>
    <w:p w:rsidR="00B02F2C" w:rsidRDefault="00E92AED">
      <w:pPr>
        <w:pStyle w:val="HeadingLevel1"/>
      </w:pPr>
      <w:bookmarkStart w:id="1" w:name="_Toc42609371"/>
      <w:r>
        <w:t>Current trade remedy measure</w:t>
      </w:r>
      <w:bookmarkEnd w:id="1"/>
    </w:p>
    <w:p w:rsidR="00B02F2C" w:rsidRDefault="00E92AED">
      <w:pPr>
        <w:pStyle w:val="a"/>
      </w:pPr>
      <w:r>
        <w:t>Please give the case number and name for the current trade remedy measure that this application applies to.</w:t>
      </w: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B02F2C" w:rsidRDefault="00B02F2C">
            <w:pPr>
              <w:suppressAutoHyphens/>
              <w:autoSpaceDE w:val="0"/>
              <w:autoSpaceDN w:val="0"/>
              <w:adjustRightInd w:val="0"/>
              <w:spacing w:after="0" w:line="22" w:lineRule="atLeast"/>
              <w:contextualSpacing/>
              <w:jc w:val="both"/>
              <w:rPr>
                <w:color w:val="808080" w:themeColor="background1" w:themeShade="80"/>
                <w:sz w:val="24"/>
                <w:szCs w:val="24"/>
                <w:lang w:val="en-US"/>
              </w:rPr>
            </w:pPr>
          </w:p>
          <w:p w:rsidR="00B02F2C" w:rsidRPr="008D4B38" w:rsidRDefault="008D4B38" w:rsidP="008D4B38">
            <w:pPr>
              <w:rPr>
                <w:sz w:val="24"/>
                <w:szCs w:val="24"/>
                <w:lang w:eastAsia="en-US"/>
              </w:rPr>
            </w:pPr>
            <w:r>
              <w:rPr>
                <w:sz w:val="24"/>
                <w:szCs w:val="24"/>
                <w:lang w:eastAsia="en-US"/>
              </w:rPr>
              <w:t>2020/30 Ceramic Tableware and Kitchenware</w:t>
            </w: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B02F2C"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p>
        </w:tc>
      </w:tr>
    </w:tbl>
    <w:p w:rsidR="00B02F2C" w:rsidRDefault="00B02F2C">
      <w:pPr>
        <w:spacing w:after="0" w:line="276" w:lineRule="auto"/>
      </w:pPr>
    </w:p>
    <w:p w:rsidR="00B02F2C" w:rsidRDefault="00E92AED">
      <w:pPr>
        <w:pStyle w:val="HeadingLevel1"/>
      </w:pPr>
      <w:bookmarkStart w:id="2" w:name="_Toc42609372"/>
      <w:r>
        <w:t>Applicant details</w:t>
      </w:r>
      <w:bookmarkEnd w:id="2"/>
    </w:p>
    <w:p w:rsidR="00B02F2C" w:rsidRDefault="00B02F2C">
      <w:pPr>
        <w:spacing w:after="0" w:line="276" w:lineRule="auto"/>
      </w:pPr>
    </w:p>
    <w:p w:rsidR="00B02F2C" w:rsidRDefault="00E92AED">
      <w:pPr>
        <w:pStyle w:val="a"/>
      </w:pPr>
      <w:r>
        <w:t>Please provide the name, address, email and telephone number of a contact person who can be contacted about this application.</w:t>
      </w: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8D4B38" w:rsidRDefault="008D4B38">
            <w:pPr>
              <w:suppressAutoHyphens/>
              <w:autoSpaceDE w:val="0"/>
              <w:autoSpaceDN w:val="0"/>
              <w:adjustRightInd w:val="0"/>
              <w:spacing w:after="0" w:line="22" w:lineRule="atLeast"/>
              <w:contextualSpacing/>
              <w:jc w:val="both"/>
              <w:rPr>
                <w:i/>
                <w:iCs/>
                <w:color w:val="808080" w:themeColor="background1" w:themeShade="80"/>
                <w:sz w:val="24"/>
                <w:szCs w:val="24"/>
                <w:lang w:val="en-US"/>
              </w:rPr>
            </w:pPr>
          </w:p>
          <w:p w:rsidR="008D4B38" w:rsidRDefault="008D4B38">
            <w:pPr>
              <w:suppressAutoHyphens/>
              <w:autoSpaceDE w:val="0"/>
              <w:autoSpaceDN w:val="0"/>
              <w:adjustRightInd w:val="0"/>
              <w:spacing w:after="0" w:line="22" w:lineRule="atLeast"/>
              <w:contextualSpacing/>
              <w:jc w:val="both"/>
              <w:rPr>
                <w:color w:val="808080" w:themeColor="background1" w:themeShade="80"/>
                <w:sz w:val="24"/>
                <w:szCs w:val="24"/>
                <w:lang w:val="en-US"/>
              </w:rPr>
            </w:pPr>
            <w:r>
              <w:rPr>
                <w:rFonts w:hint="eastAsia"/>
                <w:color w:val="808080" w:themeColor="background1" w:themeShade="80"/>
                <w:sz w:val="24"/>
                <w:szCs w:val="24"/>
                <w:lang w:val="en-US"/>
              </w:rPr>
              <w:t>N</w:t>
            </w:r>
            <w:r>
              <w:rPr>
                <w:color w:val="808080" w:themeColor="background1" w:themeShade="80"/>
                <w:sz w:val="24"/>
                <w:szCs w:val="24"/>
                <w:lang w:val="en-US"/>
              </w:rPr>
              <w:t xml:space="preserve">ame: </w:t>
            </w:r>
            <w:r>
              <w:rPr>
                <w:rFonts w:hint="eastAsia"/>
                <w:color w:val="808080" w:themeColor="background1" w:themeShade="80"/>
                <w:sz w:val="24"/>
                <w:szCs w:val="24"/>
                <w:lang w:val="en-US"/>
              </w:rPr>
              <w:t xml:space="preserve">Hunan Jewelmoon Ceramics Co.,Ltd </w:t>
            </w:r>
          </w:p>
          <w:p w:rsidR="00B02F2C" w:rsidRDefault="008D4B38">
            <w:pPr>
              <w:suppressAutoHyphens/>
              <w:autoSpaceDE w:val="0"/>
              <w:autoSpaceDN w:val="0"/>
              <w:adjustRightInd w:val="0"/>
              <w:spacing w:after="0" w:line="22" w:lineRule="atLeast"/>
              <w:contextualSpacing/>
              <w:jc w:val="both"/>
              <w:rPr>
                <w:i/>
                <w:iCs/>
                <w:color w:val="808080" w:themeColor="background1" w:themeShade="80"/>
                <w:sz w:val="24"/>
                <w:szCs w:val="24"/>
                <w:lang w:val="en-US"/>
              </w:rPr>
            </w:pPr>
            <w:r>
              <w:rPr>
                <w:i/>
                <w:iCs/>
                <w:color w:val="808080" w:themeColor="background1" w:themeShade="80"/>
                <w:sz w:val="24"/>
                <w:szCs w:val="24"/>
                <w:lang w:val="en-US"/>
              </w:rPr>
              <w:t xml:space="preserve">Contact: </w:t>
            </w:r>
          </w:p>
          <w:p w:rsidR="00B02F2C" w:rsidRDefault="00D8122D">
            <w:pPr>
              <w:suppressAutoHyphens/>
              <w:autoSpaceDE w:val="0"/>
              <w:autoSpaceDN w:val="0"/>
              <w:adjustRightInd w:val="0"/>
              <w:spacing w:after="0" w:line="22" w:lineRule="atLeast"/>
              <w:contextualSpacing/>
              <w:jc w:val="both"/>
              <w:rPr>
                <w:i/>
                <w:iCs/>
                <w:color w:val="808080" w:themeColor="background1" w:themeShade="80"/>
                <w:sz w:val="24"/>
                <w:szCs w:val="24"/>
                <w:lang w:val="en-US"/>
              </w:rPr>
            </w:pPr>
            <w:r>
              <w:rPr>
                <w:i/>
                <w:iCs/>
                <w:color w:val="808080" w:themeColor="background1" w:themeShade="80"/>
                <w:sz w:val="24"/>
                <w:szCs w:val="24"/>
                <w:lang w:val="en-US"/>
              </w:rPr>
              <w:t xml:space="preserve">Phone: </w:t>
            </w:r>
          </w:p>
          <w:p w:rsidR="00B02F2C" w:rsidRDefault="008D4B38">
            <w:pPr>
              <w:suppressAutoHyphens/>
              <w:autoSpaceDE w:val="0"/>
              <w:autoSpaceDN w:val="0"/>
              <w:adjustRightInd w:val="0"/>
              <w:spacing w:after="0" w:line="22" w:lineRule="atLeast"/>
              <w:contextualSpacing/>
              <w:jc w:val="both"/>
              <w:rPr>
                <w:i/>
                <w:iCs/>
                <w:color w:val="808080" w:themeColor="background1" w:themeShade="80"/>
                <w:sz w:val="24"/>
                <w:szCs w:val="24"/>
                <w:lang w:val="en-US"/>
              </w:rPr>
            </w:pPr>
            <w:r>
              <w:rPr>
                <w:i/>
                <w:iCs/>
                <w:color w:val="808080" w:themeColor="background1" w:themeShade="80"/>
                <w:sz w:val="24"/>
                <w:szCs w:val="24"/>
                <w:lang w:val="en-US"/>
              </w:rPr>
              <w:t>Add:</w:t>
            </w:r>
            <w:r w:rsidR="00E92AED">
              <w:rPr>
                <w:rFonts w:hint="eastAsia"/>
                <w:i/>
                <w:iCs/>
                <w:color w:val="808080" w:themeColor="background1" w:themeShade="80"/>
                <w:sz w:val="24"/>
                <w:szCs w:val="24"/>
                <w:lang w:val="en-US"/>
              </w:rPr>
              <w:t>Hunan Zhuanbu village,Chashan Town,Liling,China.</w:t>
            </w:r>
          </w:p>
          <w:p w:rsidR="00B02F2C" w:rsidRDefault="008D4B38">
            <w:pPr>
              <w:suppressAutoHyphens/>
              <w:autoSpaceDE w:val="0"/>
              <w:autoSpaceDN w:val="0"/>
              <w:adjustRightInd w:val="0"/>
              <w:spacing w:after="0" w:line="22" w:lineRule="atLeast"/>
              <w:contextualSpacing/>
              <w:jc w:val="both"/>
              <w:rPr>
                <w:i/>
                <w:iCs/>
                <w:color w:val="808080" w:themeColor="background1" w:themeShade="80"/>
                <w:sz w:val="24"/>
                <w:szCs w:val="24"/>
                <w:lang w:val="en-US"/>
              </w:rPr>
            </w:pPr>
            <w:r>
              <w:rPr>
                <w:i/>
                <w:iCs/>
                <w:color w:val="808080" w:themeColor="background1" w:themeShade="80"/>
                <w:sz w:val="24"/>
                <w:szCs w:val="24"/>
                <w:lang w:val="en-US"/>
              </w:rPr>
              <w:t xml:space="preserve">Email: </w:t>
            </w:r>
            <w:bookmarkStart w:id="3" w:name="_GoBack"/>
            <w:bookmarkEnd w:id="3"/>
          </w:p>
          <w:p w:rsidR="00B02F2C" w:rsidRDefault="00B02F2C">
            <w:pPr>
              <w:suppressAutoHyphens/>
              <w:autoSpaceDE w:val="0"/>
              <w:autoSpaceDN w:val="0"/>
              <w:adjustRightInd w:val="0"/>
              <w:spacing w:after="0" w:line="22" w:lineRule="atLeast"/>
              <w:contextualSpacing/>
              <w:jc w:val="both"/>
              <w:rPr>
                <w:color w:val="808080" w:themeColor="background1" w:themeShade="80"/>
                <w:sz w:val="24"/>
                <w:szCs w:val="24"/>
              </w:rPr>
            </w:pP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B02F2C"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p>
        </w:tc>
      </w:tr>
    </w:tbl>
    <w:p w:rsidR="00B02F2C" w:rsidRDefault="00B02F2C">
      <w:pPr>
        <w:spacing w:after="0" w:line="276" w:lineRule="auto"/>
      </w:pPr>
    </w:p>
    <w:p w:rsidR="00B02F2C" w:rsidRDefault="00B02F2C">
      <w:pPr>
        <w:spacing w:after="0" w:line="276" w:lineRule="auto"/>
      </w:pPr>
    </w:p>
    <w:p w:rsidR="00B02F2C" w:rsidRDefault="00E92AED">
      <w:pPr>
        <w:pStyle w:val="a"/>
      </w:pPr>
      <w:r>
        <w:t>If you have appointed an external representative to assist with your application, provide a letter of authorisation giving their name, business name, address, telephone number and email. Include below whether or not we can liaise directly with your representative.</w:t>
      </w: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B02F2C" w:rsidRDefault="00E92AED">
            <w:pPr>
              <w:suppressAutoHyphens/>
              <w:autoSpaceDE w:val="0"/>
              <w:autoSpaceDN w:val="0"/>
              <w:adjustRightInd w:val="0"/>
              <w:spacing w:after="0" w:line="22" w:lineRule="atLeast"/>
              <w:contextualSpacing/>
              <w:jc w:val="both"/>
              <w:rPr>
                <w:color w:val="808080" w:themeColor="background1" w:themeShade="80"/>
                <w:sz w:val="24"/>
                <w:szCs w:val="24"/>
                <w:lang w:val="en-US"/>
              </w:rPr>
            </w:pPr>
            <w:r>
              <w:rPr>
                <w:rFonts w:hint="eastAsia"/>
                <w:color w:val="808080" w:themeColor="background1" w:themeShade="80"/>
                <w:sz w:val="24"/>
                <w:szCs w:val="24"/>
                <w:lang w:val="en-US"/>
              </w:rPr>
              <w:t>No</w:t>
            </w: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B02F2C"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p>
        </w:tc>
      </w:tr>
    </w:tbl>
    <w:p w:rsidR="00B02F2C" w:rsidRDefault="00B02F2C">
      <w:pPr>
        <w:spacing w:after="0" w:line="276" w:lineRule="auto"/>
      </w:pPr>
    </w:p>
    <w:p w:rsidR="00B02F2C" w:rsidRDefault="00B02F2C">
      <w:pPr>
        <w:spacing w:after="0" w:line="276" w:lineRule="auto"/>
      </w:pPr>
    </w:p>
    <w:p w:rsidR="00B02F2C" w:rsidRDefault="00B02F2C">
      <w:pPr>
        <w:spacing w:after="0" w:line="276" w:lineRule="auto"/>
      </w:pPr>
    </w:p>
    <w:p w:rsidR="00B02F2C" w:rsidRDefault="00B02F2C">
      <w:pPr>
        <w:rPr>
          <w:b/>
          <w:color w:val="000000"/>
          <w:u w:val="single"/>
        </w:rPr>
      </w:pPr>
    </w:p>
    <w:p w:rsidR="00B02F2C" w:rsidRDefault="00B02F2C">
      <w:pPr>
        <w:rPr>
          <w:b/>
          <w:color w:val="000000"/>
          <w:u w:val="single"/>
        </w:rPr>
      </w:pPr>
    </w:p>
    <w:p w:rsidR="00B02F2C" w:rsidRDefault="00B02F2C">
      <w:pPr>
        <w:rPr>
          <w:b/>
          <w:color w:val="000000"/>
          <w:u w:val="single"/>
        </w:rPr>
      </w:pPr>
    </w:p>
    <w:p w:rsidR="00B02F2C" w:rsidRDefault="00B02F2C">
      <w:pPr>
        <w:widowControl w:val="0"/>
        <w:tabs>
          <w:tab w:val="left" w:pos="1701"/>
        </w:tabs>
        <w:spacing w:after="0" w:line="276" w:lineRule="auto"/>
      </w:pPr>
    </w:p>
    <w:p w:rsidR="00B02F2C" w:rsidRDefault="00E92AED">
      <w:pPr>
        <w:pStyle w:val="SectionTitle"/>
      </w:pPr>
      <w:r>
        <w:lastRenderedPageBreak/>
        <w:t>New Exporter Eligibility</w:t>
      </w:r>
    </w:p>
    <w:p w:rsidR="00B02F2C" w:rsidRDefault="00E92AED">
      <w:pPr>
        <w:pStyle w:val="HeadingLevel1"/>
      </w:pPr>
      <w:bookmarkStart w:id="4" w:name="_Toc42609374"/>
      <w:bookmarkStart w:id="5" w:name="_Toc42608690"/>
      <w:r>
        <w:t>Relationship to overseas exporters</w:t>
      </w:r>
      <w:bookmarkEnd w:id="4"/>
      <w:bookmarkEnd w:id="5"/>
      <w:r>
        <w:t xml:space="preserve"> </w:t>
      </w:r>
    </w:p>
    <w:p w:rsidR="00B02F2C" w:rsidRDefault="00E92AED">
      <w:pPr>
        <w:pStyle w:val="a"/>
      </w:pPr>
      <w:r>
        <w:t xml:space="preserve">Please confirm that you are not related to an exporter who is subject to the measure. </w:t>
      </w:r>
    </w:p>
    <w:p w:rsidR="00B02F2C" w:rsidRDefault="00B02F2C">
      <w:pPr>
        <w:spacing w:after="0" w:line="240" w:lineRule="auto"/>
      </w:pPr>
    </w:p>
    <w:p w:rsidR="00B02F2C" w:rsidRDefault="00E92AED">
      <w:pPr>
        <w:spacing w:after="0" w:line="240" w:lineRule="auto"/>
        <w:rPr>
          <w:sz w:val="24"/>
          <w:szCs w:val="24"/>
        </w:rPr>
      </w:pPr>
      <w:r>
        <w:rPr>
          <w:sz w:val="24"/>
          <w:szCs w:val="24"/>
        </w:rPr>
        <w:t>Parties are “associated” where they meet the definition of “related persons” in the Customs (Import Duty) (EU Exit) Regulations 2018 (see Appendix A)</w:t>
      </w:r>
    </w:p>
    <w:p w:rsidR="00B02F2C" w:rsidRDefault="00B02F2C">
      <w:pPr>
        <w:spacing w:after="0" w:line="240" w:lineRule="auto"/>
      </w:pP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B02F2C" w:rsidRDefault="00E92AED">
            <w:pPr>
              <w:suppressAutoHyphens/>
              <w:autoSpaceDE w:val="0"/>
              <w:autoSpaceDN w:val="0"/>
              <w:adjustRightInd w:val="0"/>
              <w:spacing w:after="0" w:line="22" w:lineRule="atLeast"/>
              <w:contextualSpacing/>
              <w:jc w:val="both"/>
              <w:rPr>
                <w:i/>
                <w:iCs/>
                <w:color w:val="808080" w:themeColor="background1" w:themeShade="80"/>
                <w:sz w:val="24"/>
                <w:szCs w:val="24"/>
                <w:lang w:val="en-US"/>
              </w:rPr>
            </w:pPr>
            <w:r>
              <w:rPr>
                <w:rFonts w:hint="eastAsia"/>
                <w:i/>
                <w:iCs/>
                <w:color w:val="808080" w:themeColor="background1" w:themeShade="80"/>
                <w:sz w:val="24"/>
                <w:szCs w:val="24"/>
                <w:lang w:val="en-US"/>
              </w:rPr>
              <w:t>YES</w:t>
            </w:r>
          </w:p>
          <w:p w:rsidR="00B02F2C" w:rsidRDefault="00B02F2C">
            <w:pPr>
              <w:suppressAutoHyphens/>
              <w:autoSpaceDE w:val="0"/>
              <w:autoSpaceDN w:val="0"/>
              <w:adjustRightInd w:val="0"/>
              <w:spacing w:after="0" w:line="22" w:lineRule="atLeast"/>
              <w:contextualSpacing/>
              <w:jc w:val="both"/>
              <w:rPr>
                <w:color w:val="808080" w:themeColor="background1" w:themeShade="80"/>
                <w:sz w:val="24"/>
                <w:szCs w:val="24"/>
              </w:rPr>
            </w:pP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B02F2C"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r w:rsidR="008D4B38">
              <w:rPr>
                <w:sz w:val="24"/>
                <w:szCs w:val="24"/>
              </w:rPr>
              <w:t xml:space="preserve"> </w:t>
            </w:r>
          </w:p>
          <w:p w:rsidR="008D4B38" w:rsidRDefault="00DC39B2">
            <w:pPr>
              <w:suppressAutoHyphens/>
              <w:autoSpaceDE w:val="0"/>
              <w:autoSpaceDN w:val="0"/>
              <w:adjustRightInd w:val="0"/>
              <w:spacing w:after="0" w:line="22" w:lineRule="atLeast"/>
              <w:contextualSpacing/>
              <w:jc w:val="both"/>
              <w:rPr>
                <w:sz w:val="24"/>
                <w:szCs w:val="24"/>
              </w:rPr>
            </w:pPr>
            <w:r>
              <w:rPr>
                <w:sz w:val="24"/>
                <w:szCs w:val="24"/>
              </w:rPr>
              <w:t xml:space="preserve">01 </w:t>
            </w:r>
            <w:r w:rsidR="008D4B38">
              <w:rPr>
                <w:rFonts w:hint="eastAsia"/>
                <w:sz w:val="24"/>
                <w:szCs w:val="24"/>
              </w:rPr>
              <w:t>JMC</w:t>
            </w:r>
            <w:r w:rsidR="008D4B38">
              <w:rPr>
                <w:sz w:val="24"/>
                <w:szCs w:val="24"/>
              </w:rPr>
              <w:t xml:space="preserve"> company structure</w:t>
            </w:r>
          </w:p>
        </w:tc>
      </w:tr>
    </w:tbl>
    <w:p w:rsidR="00B02F2C" w:rsidRDefault="00B02F2C">
      <w:pPr>
        <w:spacing w:after="0" w:line="240" w:lineRule="auto"/>
      </w:pPr>
    </w:p>
    <w:p w:rsidR="00B02F2C" w:rsidRDefault="00E92AED">
      <w:pPr>
        <w:pStyle w:val="a"/>
      </w:pPr>
      <w:r>
        <w:t>Please confirm that you are not related to an exporter who exported to the UK during the period of investigation which was used to establish the need for the original measure.</w:t>
      </w:r>
    </w:p>
    <w:p w:rsidR="00B02F2C" w:rsidRDefault="00B02F2C">
      <w:pPr>
        <w:widowControl w:val="0"/>
        <w:tabs>
          <w:tab w:val="left" w:pos="1701"/>
        </w:tabs>
        <w:spacing w:after="0" w:line="240" w:lineRule="auto"/>
      </w:pP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B02F2C" w:rsidRDefault="00E92AED">
            <w:pPr>
              <w:suppressAutoHyphens/>
              <w:autoSpaceDE w:val="0"/>
              <w:autoSpaceDN w:val="0"/>
              <w:adjustRightInd w:val="0"/>
              <w:spacing w:after="0" w:line="22" w:lineRule="atLeast"/>
              <w:contextualSpacing/>
              <w:jc w:val="both"/>
              <w:rPr>
                <w:color w:val="808080" w:themeColor="background1" w:themeShade="80"/>
                <w:sz w:val="24"/>
                <w:szCs w:val="24"/>
                <w:lang w:val="en-US"/>
              </w:rPr>
            </w:pPr>
            <w:r>
              <w:rPr>
                <w:rFonts w:hint="eastAsia"/>
                <w:color w:val="808080" w:themeColor="background1" w:themeShade="80"/>
                <w:sz w:val="24"/>
                <w:szCs w:val="24"/>
                <w:lang w:val="en-US"/>
              </w:rPr>
              <w:t>YES</w:t>
            </w: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B02F2C"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p>
          <w:p w:rsidR="008D4B38" w:rsidRDefault="00DC39B2">
            <w:pPr>
              <w:suppressAutoHyphens/>
              <w:autoSpaceDE w:val="0"/>
              <w:autoSpaceDN w:val="0"/>
              <w:adjustRightInd w:val="0"/>
              <w:spacing w:after="0" w:line="22" w:lineRule="atLeast"/>
              <w:contextualSpacing/>
              <w:jc w:val="both"/>
              <w:rPr>
                <w:sz w:val="24"/>
                <w:szCs w:val="24"/>
              </w:rPr>
            </w:pPr>
            <w:r>
              <w:rPr>
                <w:sz w:val="24"/>
                <w:szCs w:val="24"/>
              </w:rPr>
              <w:t xml:space="preserve">01 </w:t>
            </w:r>
            <w:r w:rsidR="008D4B38">
              <w:rPr>
                <w:rFonts w:hint="eastAsia"/>
                <w:sz w:val="24"/>
                <w:szCs w:val="24"/>
              </w:rPr>
              <w:t>JMC</w:t>
            </w:r>
            <w:r w:rsidR="008D4B38">
              <w:rPr>
                <w:sz w:val="24"/>
                <w:szCs w:val="24"/>
              </w:rPr>
              <w:t xml:space="preserve"> company structure</w:t>
            </w:r>
          </w:p>
        </w:tc>
      </w:tr>
    </w:tbl>
    <w:p w:rsidR="00B02F2C" w:rsidRDefault="00E92AED">
      <w:pPr>
        <w:widowControl w:val="0"/>
        <w:tabs>
          <w:tab w:val="left" w:pos="1701"/>
        </w:tabs>
        <w:spacing w:after="0" w:line="240" w:lineRule="auto"/>
      </w:pPr>
      <w:r>
        <w:t xml:space="preserve">  </w:t>
      </w:r>
    </w:p>
    <w:p w:rsidR="00B02F2C" w:rsidRDefault="00E92AED">
      <w:pPr>
        <w:pStyle w:val="HeadingLevel1"/>
      </w:pPr>
      <w:bookmarkStart w:id="6" w:name="_Toc42609375"/>
      <w:r>
        <w:t>Exports of applicant</w:t>
      </w:r>
      <w:bookmarkEnd w:id="6"/>
    </w:p>
    <w:p w:rsidR="00B02F2C" w:rsidRDefault="00B02F2C">
      <w:pPr>
        <w:widowControl w:val="0"/>
        <w:tabs>
          <w:tab w:val="left" w:pos="1701"/>
        </w:tabs>
        <w:spacing w:after="0" w:line="240" w:lineRule="auto"/>
      </w:pPr>
    </w:p>
    <w:p w:rsidR="00B02F2C" w:rsidRDefault="00E92AED">
      <w:pPr>
        <w:pStyle w:val="a"/>
      </w:pPr>
      <w:r>
        <w:t>Please confirm that you did not export to the UK during the investigation period of the original review.</w:t>
      </w: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B02F2C" w:rsidRDefault="00E92AED">
            <w:pPr>
              <w:suppressAutoHyphens/>
              <w:autoSpaceDE w:val="0"/>
              <w:autoSpaceDN w:val="0"/>
              <w:adjustRightInd w:val="0"/>
              <w:spacing w:after="0" w:line="22" w:lineRule="atLeast"/>
              <w:contextualSpacing/>
              <w:jc w:val="both"/>
              <w:rPr>
                <w:color w:val="808080" w:themeColor="background1" w:themeShade="80"/>
                <w:sz w:val="24"/>
                <w:szCs w:val="24"/>
                <w:lang w:val="en-US"/>
              </w:rPr>
            </w:pPr>
            <w:r>
              <w:rPr>
                <w:rFonts w:hint="eastAsia"/>
                <w:color w:val="808080" w:themeColor="background1" w:themeShade="80"/>
                <w:sz w:val="24"/>
                <w:szCs w:val="24"/>
                <w:lang w:val="en-US"/>
              </w:rPr>
              <w:t>YES</w:t>
            </w: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B02F2C"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p>
        </w:tc>
      </w:tr>
    </w:tbl>
    <w:p w:rsidR="00B02F2C" w:rsidRDefault="00B02F2C">
      <w:pPr>
        <w:spacing w:after="0" w:line="240" w:lineRule="auto"/>
      </w:pPr>
    </w:p>
    <w:p w:rsidR="00B02F2C" w:rsidRDefault="00B02F2C">
      <w:pPr>
        <w:spacing w:after="0" w:line="240" w:lineRule="auto"/>
      </w:pPr>
    </w:p>
    <w:p w:rsidR="00B02F2C" w:rsidRDefault="00E92AED">
      <w:pPr>
        <w:pStyle w:val="a"/>
      </w:pPr>
      <w:r>
        <w:t>Please confirm that you are now exporting like goods to the UK or have a contractual obligation to export a significant quantity to the UK.</w:t>
      </w:r>
    </w:p>
    <w:tbl>
      <w:tblPr>
        <w:tblStyle w:val="a6"/>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2F2C">
        <w:tc>
          <w:tcPr>
            <w:tcW w:w="9016" w:type="dxa"/>
            <w:gridSpan w:val="2"/>
          </w:tcPr>
          <w:p w:rsidR="00B02F2C" w:rsidRDefault="00E92AED">
            <w:pPr>
              <w:suppressAutoHyphens/>
              <w:autoSpaceDE w:val="0"/>
              <w:autoSpaceDN w:val="0"/>
              <w:adjustRightInd w:val="0"/>
              <w:spacing w:after="0" w:line="22" w:lineRule="atLeast"/>
              <w:contextualSpacing/>
              <w:jc w:val="both"/>
              <w:rPr>
                <w:color w:val="808080" w:themeColor="background1" w:themeShade="80"/>
                <w:sz w:val="24"/>
                <w:szCs w:val="24"/>
                <w:lang w:val="en-US"/>
              </w:rPr>
            </w:pPr>
            <w:r>
              <w:rPr>
                <w:rFonts w:hint="eastAsia"/>
                <w:color w:val="808080" w:themeColor="background1" w:themeShade="80"/>
                <w:sz w:val="24"/>
                <w:szCs w:val="24"/>
                <w:lang w:val="en-US"/>
              </w:rPr>
              <w:t>YES</w:t>
            </w:r>
          </w:p>
          <w:p w:rsidR="008D4B38" w:rsidRDefault="008D4B38">
            <w:pPr>
              <w:suppressAutoHyphens/>
              <w:autoSpaceDE w:val="0"/>
              <w:autoSpaceDN w:val="0"/>
              <w:adjustRightInd w:val="0"/>
              <w:spacing w:after="0" w:line="22" w:lineRule="atLeast"/>
              <w:contextualSpacing/>
              <w:jc w:val="both"/>
              <w:rPr>
                <w:color w:val="808080" w:themeColor="background1" w:themeShade="80"/>
                <w:sz w:val="24"/>
                <w:szCs w:val="24"/>
                <w:lang w:val="en-US"/>
              </w:rPr>
            </w:pPr>
          </w:p>
          <w:p w:rsidR="008D4B38" w:rsidRDefault="008D4B38">
            <w:pPr>
              <w:suppressAutoHyphens/>
              <w:autoSpaceDE w:val="0"/>
              <w:autoSpaceDN w:val="0"/>
              <w:adjustRightInd w:val="0"/>
              <w:spacing w:after="0" w:line="22" w:lineRule="atLeast"/>
              <w:contextualSpacing/>
              <w:jc w:val="both"/>
              <w:rPr>
                <w:color w:val="808080" w:themeColor="background1" w:themeShade="80"/>
                <w:sz w:val="24"/>
                <w:szCs w:val="24"/>
                <w:lang w:val="en-US"/>
              </w:rPr>
            </w:pPr>
            <w:r>
              <w:rPr>
                <w:color w:val="808080" w:themeColor="background1" w:themeShade="80"/>
                <w:sz w:val="24"/>
                <w:szCs w:val="24"/>
                <w:lang w:val="en-US"/>
              </w:rPr>
              <w:t>O</w:t>
            </w:r>
            <w:r>
              <w:rPr>
                <w:rFonts w:hint="eastAsia"/>
                <w:color w:val="808080" w:themeColor="background1" w:themeShade="80"/>
                <w:sz w:val="24"/>
                <w:szCs w:val="24"/>
                <w:lang w:val="en-US"/>
              </w:rPr>
              <w:t>ne</w:t>
            </w:r>
            <w:r>
              <w:rPr>
                <w:color w:val="808080" w:themeColor="background1" w:themeShade="80"/>
                <w:sz w:val="24"/>
                <w:szCs w:val="24"/>
                <w:lang w:val="en-US"/>
              </w:rPr>
              <w:t xml:space="preserve"> order from Procook with Order No. </w:t>
            </w:r>
            <w:r w:rsidRPr="008D4B38">
              <w:rPr>
                <w:color w:val="808080" w:themeColor="background1" w:themeShade="80"/>
                <w:sz w:val="24"/>
                <w:szCs w:val="24"/>
                <w:lang w:val="en-US"/>
              </w:rPr>
              <w:t>PC35398</w:t>
            </w:r>
            <w:r>
              <w:rPr>
                <w:color w:val="808080" w:themeColor="background1" w:themeShade="80"/>
                <w:sz w:val="24"/>
                <w:szCs w:val="24"/>
                <w:lang w:val="en-US"/>
              </w:rPr>
              <w:t>. Please refer to the</w:t>
            </w:r>
            <w:r w:rsidR="003222FA">
              <w:rPr>
                <w:color w:val="808080" w:themeColor="background1" w:themeShade="80"/>
                <w:sz w:val="24"/>
                <w:szCs w:val="24"/>
                <w:lang w:val="en-US"/>
              </w:rPr>
              <w:t xml:space="preserve"> Appendix 02 :</w:t>
            </w:r>
            <w:r>
              <w:rPr>
                <w:color w:val="808080" w:themeColor="background1" w:themeShade="80"/>
                <w:sz w:val="24"/>
                <w:szCs w:val="24"/>
                <w:lang w:val="en-US"/>
              </w:rPr>
              <w:t xml:space="preserve"> Procook </w:t>
            </w:r>
            <w:r>
              <w:rPr>
                <w:rFonts w:hint="eastAsia"/>
                <w:color w:val="808080" w:themeColor="background1" w:themeShade="80"/>
                <w:sz w:val="24"/>
                <w:szCs w:val="24"/>
                <w:lang w:val="en-US"/>
              </w:rPr>
              <w:t>o</w:t>
            </w:r>
            <w:r>
              <w:rPr>
                <w:color w:val="808080" w:themeColor="background1" w:themeShade="80"/>
                <w:sz w:val="24"/>
                <w:szCs w:val="24"/>
                <w:lang w:val="en-US"/>
              </w:rPr>
              <w:t>rder</w:t>
            </w:r>
            <w:r w:rsidR="003222FA">
              <w:rPr>
                <w:color w:val="808080" w:themeColor="background1" w:themeShade="80"/>
                <w:sz w:val="24"/>
                <w:szCs w:val="24"/>
                <w:lang w:val="en-US"/>
              </w:rPr>
              <w:t xml:space="preserve"> PC35398 </w:t>
            </w:r>
            <w:r>
              <w:rPr>
                <w:color w:val="808080" w:themeColor="background1" w:themeShade="80"/>
                <w:sz w:val="24"/>
                <w:szCs w:val="24"/>
                <w:lang w:val="en-US"/>
              </w:rPr>
              <w:t xml:space="preserve">and also the </w:t>
            </w:r>
            <w:r w:rsidR="003222FA">
              <w:rPr>
                <w:color w:val="808080" w:themeColor="background1" w:themeShade="80"/>
                <w:sz w:val="24"/>
                <w:szCs w:val="24"/>
                <w:lang w:val="en-US"/>
              </w:rPr>
              <w:t xml:space="preserve">Appendix 03: Concept Home </w:t>
            </w:r>
            <w:r>
              <w:rPr>
                <w:color w:val="808080" w:themeColor="background1" w:themeShade="80"/>
                <w:sz w:val="24"/>
                <w:szCs w:val="24"/>
                <w:lang w:val="en-US"/>
              </w:rPr>
              <w:t>signed PI</w:t>
            </w:r>
            <w:r w:rsidR="003222FA">
              <w:rPr>
                <w:color w:val="808080" w:themeColor="background1" w:themeShade="80"/>
                <w:sz w:val="24"/>
                <w:szCs w:val="24"/>
                <w:lang w:val="en-US"/>
              </w:rPr>
              <w:t xml:space="preserve">: PC2023015 </w:t>
            </w:r>
            <w:r>
              <w:rPr>
                <w:color w:val="808080" w:themeColor="background1" w:themeShade="80"/>
                <w:sz w:val="24"/>
                <w:szCs w:val="24"/>
                <w:lang w:val="en-US"/>
              </w:rPr>
              <w:t xml:space="preserve">. </w:t>
            </w:r>
          </w:p>
          <w:p w:rsidR="008D4B38" w:rsidRDefault="008D4B38">
            <w:pPr>
              <w:suppressAutoHyphens/>
              <w:autoSpaceDE w:val="0"/>
              <w:autoSpaceDN w:val="0"/>
              <w:adjustRightInd w:val="0"/>
              <w:spacing w:after="0" w:line="22" w:lineRule="atLeast"/>
              <w:contextualSpacing/>
              <w:jc w:val="both"/>
              <w:rPr>
                <w:color w:val="808080" w:themeColor="background1" w:themeShade="80"/>
                <w:sz w:val="24"/>
                <w:szCs w:val="24"/>
                <w:lang w:val="en-US"/>
              </w:rPr>
            </w:pPr>
            <w:r>
              <w:rPr>
                <w:color w:val="808080" w:themeColor="background1" w:themeShade="80"/>
                <w:sz w:val="24"/>
                <w:szCs w:val="24"/>
                <w:lang w:val="en-US"/>
              </w:rPr>
              <w:lastRenderedPageBreak/>
              <w:t xml:space="preserve">One 40HQ container was arrived at the port, please refer to the </w:t>
            </w:r>
            <w:r w:rsidR="003222FA">
              <w:rPr>
                <w:color w:val="808080" w:themeColor="background1" w:themeShade="80"/>
                <w:sz w:val="24"/>
                <w:szCs w:val="24"/>
                <w:lang w:val="en-US"/>
              </w:rPr>
              <w:t xml:space="preserve">Appendix 04: JMC CI to Concept Home and Appendix o5 Concept Home </w:t>
            </w:r>
            <w:r>
              <w:rPr>
                <w:color w:val="808080" w:themeColor="background1" w:themeShade="80"/>
                <w:sz w:val="24"/>
                <w:szCs w:val="24"/>
                <w:lang w:val="en-US"/>
              </w:rPr>
              <w:t>CI</w:t>
            </w:r>
            <w:r w:rsidR="003222FA">
              <w:rPr>
                <w:color w:val="808080" w:themeColor="background1" w:themeShade="80"/>
                <w:sz w:val="24"/>
                <w:szCs w:val="24"/>
                <w:lang w:val="en-US"/>
              </w:rPr>
              <w:t xml:space="preserve"> to Procook and Appendix 06 : BL </w:t>
            </w:r>
            <w:r>
              <w:rPr>
                <w:color w:val="808080" w:themeColor="background1" w:themeShade="80"/>
                <w:sz w:val="24"/>
                <w:szCs w:val="24"/>
                <w:lang w:val="en-US"/>
              </w:rPr>
              <w:t xml:space="preserve">. </w:t>
            </w:r>
          </w:p>
          <w:p w:rsidR="008D4B38" w:rsidRDefault="003222FA" w:rsidP="003222FA">
            <w:pPr>
              <w:suppressAutoHyphens/>
              <w:autoSpaceDE w:val="0"/>
              <w:autoSpaceDN w:val="0"/>
              <w:adjustRightInd w:val="0"/>
              <w:spacing w:after="0" w:line="22" w:lineRule="atLeast"/>
              <w:contextualSpacing/>
              <w:jc w:val="both"/>
              <w:rPr>
                <w:color w:val="808080" w:themeColor="background1" w:themeShade="80"/>
                <w:sz w:val="24"/>
                <w:szCs w:val="24"/>
                <w:lang w:val="en-US"/>
              </w:rPr>
            </w:pPr>
            <w:r>
              <w:rPr>
                <w:color w:val="808080" w:themeColor="background1" w:themeShade="80"/>
                <w:sz w:val="24"/>
                <w:szCs w:val="24"/>
                <w:lang w:val="en-US"/>
              </w:rPr>
              <w:t>The rest of goods in o</w:t>
            </w:r>
            <w:r w:rsidR="008D4B38">
              <w:rPr>
                <w:color w:val="808080" w:themeColor="background1" w:themeShade="80"/>
                <w:sz w:val="24"/>
                <w:szCs w:val="24"/>
                <w:lang w:val="en-US"/>
              </w:rPr>
              <w:t xml:space="preserve">ne 20GP container is coming. </w:t>
            </w:r>
          </w:p>
        </w:tc>
      </w:tr>
      <w:tr w:rsidR="00B02F2C">
        <w:tc>
          <w:tcPr>
            <w:tcW w:w="4508" w:type="dxa"/>
            <w:tcBorders>
              <w:top w:val="single" w:sz="4" w:space="0" w:color="FFFFFF" w:themeColor="background1"/>
              <w:left w:val="nil"/>
              <w:bottom w:val="nil"/>
              <w:right w:val="single" w:sz="4" w:space="0" w:color="auto"/>
            </w:tcBorders>
          </w:tcPr>
          <w:p w:rsidR="00B02F2C" w:rsidRDefault="00B02F2C">
            <w:pPr>
              <w:suppressAutoHyphens/>
              <w:autoSpaceDE w:val="0"/>
              <w:autoSpaceDN w:val="0"/>
              <w:adjustRightInd w:val="0"/>
              <w:spacing w:after="0" w:line="22" w:lineRule="atLeast"/>
              <w:contextualSpacing/>
              <w:jc w:val="both"/>
              <w:rPr>
                <w:sz w:val="24"/>
                <w:szCs w:val="24"/>
              </w:rPr>
            </w:pPr>
          </w:p>
        </w:tc>
        <w:tc>
          <w:tcPr>
            <w:tcW w:w="4508" w:type="dxa"/>
            <w:tcBorders>
              <w:left w:val="single" w:sz="4" w:space="0" w:color="auto"/>
            </w:tcBorders>
          </w:tcPr>
          <w:p w:rsidR="002D5B17" w:rsidRDefault="00E92AED">
            <w:pPr>
              <w:suppressAutoHyphens/>
              <w:autoSpaceDE w:val="0"/>
              <w:autoSpaceDN w:val="0"/>
              <w:adjustRightInd w:val="0"/>
              <w:spacing w:after="0" w:line="22" w:lineRule="atLeast"/>
              <w:contextualSpacing/>
              <w:jc w:val="both"/>
              <w:rPr>
                <w:sz w:val="24"/>
                <w:szCs w:val="24"/>
              </w:rPr>
            </w:pPr>
            <w:r>
              <w:rPr>
                <w:sz w:val="24"/>
                <w:szCs w:val="24"/>
              </w:rPr>
              <w:t>Appendix reference:</w:t>
            </w:r>
            <w:r w:rsidR="002D5B17">
              <w:rPr>
                <w:sz w:val="24"/>
                <w:szCs w:val="24"/>
              </w:rPr>
              <w:t xml:space="preserve"> </w:t>
            </w:r>
          </w:p>
          <w:p w:rsidR="008D4B38" w:rsidRPr="008D4B38" w:rsidRDefault="00DC39B2">
            <w:pPr>
              <w:suppressAutoHyphens/>
              <w:autoSpaceDE w:val="0"/>
              <w:autoSpaceDN w:val="0"/>
              <w:adjustRightInd w:val="0"/>
              <w:spacing w:after="0" w:line="22" w:lineRule="atLeast"/>
              <w:contextualSpacing/>
              <w:jc w:val="both"/>
              <w:rPr>
                <w:sz w:val="24"/>
                <w:szCs w:val="24"/>
              </w:rPr>
            </w:pPr>
            <w:r>
              <w:rPr>
                <w:sz w:val="24"/>
                <w:szCs w:val="24"/>
              </w:rPr>
              <w:t xml:space="preserve">02 </w:t>
            </w:r>
            <w:r w:rsidR="008D4B38">
              <w:rPr>
                <w:sz w:val="24"/>
                <w:szCs w:val="24"/>
              </w:rPr>
              <w:t>Procook Order</w:t>
            </w:r>
            <w:r w:rsidR="008D4B38" w:rsidRPr="008D4B38">
              <w:rPr>
                <w:sz w:val="24"/>
                <w:szCs w:val="24"/>
              </w:rPr>
              <w:t xml:space="preserve"> PC35398</w:t>
            </w:r>
          </w:p>
          <w:p w:rsidR="008D4B38" w:rsidRDefault="00DC39B2">
            <w:pPr>
              <w:suppressAutoHyphens/>
              <w:autoSpaceDE w:val="0"/>
              <w:autoSpaceDN w:val="0"/>
              <w:adjustRightInd w:val="0"/>
              <w:spacing w:after="0" w:line="22" w:lineRule="atLeast"/>
              <w:contextualSpacing/>
              <w:jc w:val="both"/>
              <w:rPr>
                <w:sz w:val="24"/>
                <w:szCs w:val="24"/>
              </w:rPr>
            </w:pPr>
            <w:r>
              <w:rPr>
                <w:sz w:val="24"/>
                <w:szCs w:val="24"/>
              </w:rPr>
              <w:t xml:space="preserve">03 </w:t>
            </w:r>
            <w:r w:rsidR="008D4B38" w:rsidRPr="008D4B38">
              <w:rPr>
                <w:sz w:val="24"/>
                <w:szCs w:val="24"/>
              </w:rPr>
              <w:t>Concept Home PI: PC2023015</w:t>
            </w:r>
          </w:p>
          <w:p w:rsidR="00B02F2C" w:rsidRDefault="00DC39B2">
            <w:pPr>
              <w:suppressAutoHyphens/>
              <w:autoSpaceDE w:val="0"/>
              <w:autoSpaceDN w:val="0"/>
              <w:adjustRightInd w:val="0"/>
              <w:spacing w:after="0" w:line="22" w:lineRule="atLeast"/>
              <w:contextualSpacing/>
              <w:jc w:val="both"/>
              <w:rPr>
                <w:sz w:val="24"/>
                <w:szCs w:val="24"/>
              </w:rPr>
            </w:pPr>
            <w:r>
              <w:rPr>
                <w:sz w:val="24"/>
                <w:szCs w:val="24"/>
              </w:rPr>
              <w:t xml:space="preserve">04 </w:t>
            </w:r>
            <w:r w:rsidR="002D5B17">
              <w:rPr>
                <w:sz w:val="24"/>
                <w:szCs w:val="24"/>
              </w:rPr>
              <w:t xml:space="preserve">JMC </w:t>
            </w:r>
            <w:r w:rsidR="002D5B17">
              <w:rPr>
                <w:rFonts w:hint="eastAsia"/>
                <w:sz w:val="24"/>
                <w:szCs w:val="24"/>
              </w:rPr>
              <w:t>Inv</w:t>
            </w:r>
            <w:r w:rsidR="002D5B17">
              <w:rPr>
                <w:sz w:val="24"/>
                <w:szCs w:val="24"/>
              </w:rPr>
              <w:t>oice to Concept Home</w:t>
            </w:r>
          </w:p>
          <w:p w:rsidR="002D5B17" w:rsidRDefault="00DC39B2">
            <w:pPr>
              <w:suppressAutoHyphens/>
              <w:autoSpaceDE w:val="0"/>
              <w:autoSpaceDN w:val="0"/>
              <w:adjustRightInd w:val="0"/>
              <w:spacing w:after="0" w:line="22" w:lineRule="atLeast"/>
              <w:contextualSpacing/>
              <w:jc w:val="both"/>
              <w:rPr>
                <w:sz w:val="24"/>
                <w:szCs w:val="24"/>
              </w:rPr>
            </w:pPr>
            <w:r>
              <w:rPr>
                <w:sz w:val="24"/>
                <w:szCs w:val="24"/>
              </w:rPr>
              <w:t xml:space="preserve">05 </w:t>
            </w:r>
            <w:r w:rsidR="002D5B17">
              <w:rPr>
                <w:sz w:val="24"/>
                <w:szCs w:val="24"/>
              </w:rPr>
              <w:t>Concept Home Invoice to Procook</w:t>
            </w:r>
          </w:p>
          <w:p w:rsidR="003222FA" w:rsidRDefault="003222FA">
            <w:pPr>
              <w:suppressAutoHyphens/>
              <w:autoSpaceDE w:val="0"/>
              <w:autoSpaceDN w:val="0"/>
              <w:adjustRightInd w:val="0"/>
              <w:spacing w:after="0" w:line="22" w:lineRule="atLeast"/>
              <w:contextualSpacing/>
              <w:jc w:val="both"/>
              <w:rPr>
                <w:sz w:val="24"/>
                <w:szCs w:val="24"/>
              </w:rPr>
            </w:pPr>
            <w:r>
              <w:rPr>
                <w:sz w:val="24"/>
                <w:szCs w:val="24"/>
              </w:rPr>
              <w:t>06 BL for 40HQ</w:t>
            </w:r>
          </w:p>
        </w:tc>
      </w:tr>
    </w:tbl>
    <w:p w:rsidR="00B02F2C" w:rsidRDefault="00B02F2C">
      <w:pPr>
        <w:widowControl w:val="0"/>
        <w:tabs>
          <w:tab w:val="left" w:pos="1701"/>
        </w:tabs>
        <w:spacing w:after="0" w:line="240" w:lineRule="auto"/>
      </w:pPr>
    </w:p>
    <w:p w:rsidR="00B02F2C" w:rsidRDefault="00B02F2C">
      <w:pPr>
        <w:widowControl w:val="0"/>
        <w:tabs>
          <w:tab w:val="left" w:pos="1701"/>
        </w:tabs>
        <w:spacing w:after="0" w:line="240" w:lineRule="auto"/>
        <w:rPr>
          <w:sz w:val="26"/>
          <w:szCs w:val="26"/>
        </w:rPr>
      </w:pPr>
    </w:p>
    <w:p w:rsidR="002D5B17" w:rsidRDefault="002D5B17">
      <w:pPr>
        <w:widowControl w:val="0"/>
        <w:tabs>
          <w:tab w:val="left" w:pos="1701"/>
        </w:tabs>
        <w:spacing w:after="0" w:line="240" w:lineRule="auto"/>
        <w:rPr>
          <w:sz w:val="26"/>
          <w:szCs w:val="26"/>
        </w:rPr>
      </w:pPr>
    </w:p>
    <w:p w:rsidR="00B02F2C" w:rsidRDefault="00B02F2C">
      <w:pPr>
        <w:widowControl w:val="0"/>
        <w:tabs>
          <w:tab w:val="left" w:pos="1701"/>
        </w:tabs>
        <w:spacing w:after="0" w:line="240" w:lineRule="auto"/>
        <w:rPr>
          <w:sz w:val="26"/>
          <w:szCs w:val="26"/>
        </w:rPr>
      </w:pPr>
    </w:p>
    <w:p w:rsidR="00B02F2C" w:rsidRDefault="00E92AED">
      <w:pPr>
        <w:pStyle w:val="Regular"/>
        <w:spacing w:after="0" w:line="240" w:lineRule="auto"/>
        <w:jc w:val="center"/>
        <w:rPr>
          <w:b/>
          <w:bCs/>
          <w:sz w:val="36"/>
          <w:szCs w:val="36"/>
        </w:rPr>
      </w:pPr>
      <w:bookmarkStart w:id="7" w:name="_Toc42609376"/>
      <w:bookmarkStart w:id="8" w:name="_Toc42608691"/>
      <w:r>
        <w:rPr>
          <w:b/>
          <w:bCs/>
          <w:sz w:val="36"/>
          <w:szCs w:val="36"/>
        </w:rPr>
        <w:t>Appendix A</w:t>
      </w:r>
    </w:p>
    <w:p w:rsidR="00B02F2C" w:rsidRDefault="00B02F2C">
      <w:pPr>
        <w:spacing w:after="0" w:line="240" w:lineRule="auto"/>
      </w:pPr>
    </w:p>
    <w:p w:rsidR="00B02F2C" w:rsidRDefault="00E92AED">
      <w:pPr>
        <w:spacing w:after="0" w:line="240" w:lineRule="auto"/>
      </w:pPr>
      <w:r>
        <w:t>Definition of related persons:</w:t>
      </w:r>
    </w:p>
    <w:p w:rsidR="00B02F2C" w:rsidRDefault="00B02F2C">
      <w:pPr>
        <w:spacing w:after="0" w:line="240" w:lineRule="auto"/>
      </w:pPr>
    </w:p>
    <w:p w:rsidR="00B02F2C" w:rsidRDefault="00E92AED">
      <w:pPr>
        <w:spacing w:after="0" w:line="240" w:lineRule="auto"/>
      </w:pPr>
      <w:r>
        <w:t>(1) Persons A and B are related persons for the purposes of this Part in the following cases—</w:t>
      </w:r>
    </w:p>
    <w:p w:rsidR="00B02F2C" w:rsidRDefault="00B02F2C">
      <w:pPr>
        <w:spacing w:after="0" w:line="240" w:lineRule="auto"/>
      </w:pPr>
    </w:p>
    <w:p w:rsidR="00B02F2C" w:rsidRDefault="00E92AED">
      <w:pPr>
        <w:pStyle w:val="a"/>
        <w:numPr>
          <w:ilvl w:val="0"/>
          <w:numId w:val="4"/>
        </w:numPr>
        <w:spacing w:after="0" w:line="240" w:lineRule="auto"/>
      </w:pPr>
      <w:r>
        <w:t>where B is a body corporate, A is an officer of B;</w:t>
      </w:r>
    </w:p>
    <w:p w:rsidR="00B02F2C" w:rsidRDefault="00E92AED">
      <w:pPr>
        <w:pStyle w:val="a"/>
        <w:numPr>
          <w:ilvl w:val="0"/>
          <w:numId w:val="4"/>
        </w:numPr>
        <w:spacing w:after="0" w:line="240" w:lineRule="auto"/>
      </w:pPr>
      <w:r>
        <w:t>A and B are partners in the same business;</w:t>
      </w:r>
    </w:p>
    <w:p w:rsidR="00B02F2C" w:rsidRDefault="00E92AED">
      <w:pPr>
        <w:pStyle w:val="a"/>
        <w:numPr>
          <w:ilvl w:val="0"/>
          <w:numId w:val="4"/>
        </w:numPr>
        <w:spacing w:after="0" w:line="240" w:lineRule="auto"/>
      </w:pPr>
      <w:r>
        <w:t>A is an employee of B;</w:t>
      </w:r>
    </w:p>
    <w:p w:rsidR="00B02F2C" w:rsidRDefault="00E92AED">
      <w:pPr>
        <w:pStyle w:val="a"/>
        <w:numPr>
          <w:ilvl w:val="0"/>
          <w:numId w:val="4"/>
        </w:numPr>
        <w:spacing w:after="0" w:line="240" w:lineRule="auto"/>
      </w:pPr>
      <w:r>
        <w:t>the same person controls a business carried on by A and a business carried on by B;</w:t>
      </w:r>
    </w:p>
    <w:p w:rsidR="00B02F2C" w:rsidRDefault="00E92AED">
      <w:pPr>
        <w:pStyle w:val="a"/>
        <w:numPr>
          <w:ilvl w:val="0"/>
          <w:numId w:val="4"/>
        </w:numPr>
        <w:spacing w:after="0" w:line="240" w:lineRule="auto"/>
      </w:pPr>
      <w:r>
        <w:t>A controls a business carried on by B;</w:t>
      </w:r>
    </w:p>
    <w:p w:rsidR="00B02F2C" w:rsidRDefault="00E92AED">
      <w:pPr>
        <w:pStyle w:val="a"/>
        <w:numPr>
          <w:ilvl w:val="0"/>
          <w:numId w:val="4"/>
        </w:numPr>
        <w:spacing w:after="0" w:line="240" w:lineRule="auto"/>
      </w:pPr>
      <w:r>
        <w:t>A and B jointly control the business of another person; or</w:t>
      </w:r>
    </w:p>
    <w:p w:rsidR="00B02F2C" w:rsidRDefault="00E92AED">
      <w:pPr>
        <w:pStyle w:val="a"/>
        <w:numPr>
          <w:ilvl w:val="0"/>
          <w:numId w:val="4"/>
        </w:numPr>
        <w:spacing w:after="0" w:line="240" w:lineRule="auto"/>
      </w:pPr>
      <w:r>
        <w:t>A is a member of the same family as B.</w:t>
      </w:r>
    </w:p>
    <w:p w:rsidR="00B02F2C" w:rsidRDefault="00B02F2C">
      <w:pPr>
        <w:spacing w:after="0" w:line="240" w:lineRule="auto"/>
        <w:ind w:left="360"/>
      </w:pPr>
    </w:p>
    <w:p w:rsidR="00B02F2C" w:rsidRDefault="00E92AED">
      <w:pPr>
        <w:spacing w:after="0" w:line="240" w:lineRule="auto"/>
      </w:pPr>
      <w:r>
        <w:t>(2) For the purposes of paragraph (1)—</w:t>
      </w:r>
    </w:p>
    <w:p w:rsidR="00B02F2C" w:rsidRDefault="00B02F2C">
      <w:pPr>
        <w:spacing w:after="0" w:line="240" w:lineRule="auto"/>
      </w:pPr>
    </w:p>
    <w:p w:rsidR="00B02F2C" w:rsidRDefault="00E92AED">
      <w:pPr>
        <w:pStyle w:val="a"/>
        <w:numPr>
          <w:ilvl w:val="0"/>
          <w:numId w:val="5"/>
        </w:numPr>
        <w:spacing w:after="0" w:line="240" w:lineRule="auto"/>
      </w:pPr>
      <w:r>
        <w:t>a person controls a business carried on by another person where the latter is accustomed to conduct the business in accordance with the directions of the former;</w:t>
      </w:r>
    </w:p>
    <w:p w:rsidR="00B02F2C" w:rsidRDefault="00E92AED">
      <w:pPr>
        <w:pStyle w:val="a"/>
        <w:numPr>
          <w:ilvl w:val="0"/>
          <w:numId w:val="5"/>
        </w:numPr>
        <w:spacing w:after="0" w:line="240" w:lineRule="auto"/>
      </w:pPr>
      <w:r>
        <w:t>a person also controls a business carried on by another person where the control is exercised through a third person who acts on that person's direction;</w:t>
      </w:r>
    </w:p>
    <w:p w:rsidR="00B02F2C" w:rsidRDefault="00E92AED">
      <w:pPr>
        <w:pStyle w:val="a"/>
        <w:numPr>
          <w:ilvl w:val="0"/>
          <w:numId w:val="5"/>
        </w:numPr>
        <w:spacing w:after="0" w:line="240" w:lineRule="auto"/>
      </w:pPr>
      <w:r>
        <w:t>where a business is carried on by a company, a person controls that business where that person holds 5% or more of the voting rights in the company; and</w:t>
      </w:r>
    </w:p>
    <w:p w:rsidR="00B02F2C" w:rsidRDefault="00E92AED">
      <w:pPr>
        <w:pStyle w:val="a"/>
        <w:numPr>
          <w:ilvl w:val="0"/>
          <w:numId w:val="5"/>
        </w:numPr>
        <w:spacing w:after="0" w:line="240" w:lineRule="auto"/>
      </w:pPr>
      <w:r>
        <w:t>a business referred to is not limited to a business involved in the importation of the chargeable goods presented to Customs.</w:t>
      </w:r>
    </w:p>
    <w:p w:rsidR="00B02F2C" w:rsidRDefault="00B02F2C">
      <w:pPr>
        <w:spacing w:after="0" w:line="240" w:lineRule="auto"/>
        <w:ind w:left="360"/>
      </w:pPr>
    </w:p>
    <w:p w:rsidR="00B02F2C" w:rsidRDefault="00E92AED">
      <w:pPr>
        <w:spacing w:after="0" w:line="240" w:lineRule="auto"/>
      </w:pPr>
      <w:r>
        <w:t>(3) In paragraph (1)(g), “A is a member of the same family as B” where a relationship exists directly or indirectly between A and B which arises through blood, adoption, marriage, civil partnership or co-habitation.</w:t>
      </w:r>
    </w:p>
    <w:p w:rsidR="00B02F2C" w:rsidRDefault="00B02F2C">
      <w:pPr>
        <w:spacing w:after="0" w:line="240" w:lineRule="auto"/>
      </w:pPr>
    </w:p>
    <w:p w:rsidR="00B02F2C" w:rsidRDefault="00E92AED">
      <w:pPr>
        <w:spacing w:after="0" w:line="240" w:lineRule="auto"/>
      </w:pPr>
      <w:r>
        <w:lastRenderedPageBreak/>
        <w:t>(4) HMRC must publish a notice as to the relationships HMRC consider fall within paragraph (3).</w:t>
      </w:r>
    </w:p>
    <w:p w:rsidR="00B02F2C" w:rsidRDefault="00E92AED">
      <w:pPr>
        <w:pStyle w:val="SectionTitle"/>
      </w:pPr>
      <w:r>
        <w:lastRenderedPageBreak/>
        <w:t>Declaration</w:t>
      </w:r>
      <w:bookmarkEnd w:id="7"/>
      <w:bookmarkEnd w:id="8"/>
    </w:p>
    <w:p w:rsidR="00B02F2C" w:rsidRDefault="00E92AED">
      <w:pPr>
        <w:pStyle w:val="Regular"/>
      </w:pPr>
      <w:r>
        <w:t xml:space="preserve">This application is made by, or on behalf of, an overseas exporter that did not export the goods subject to review into the United Kingdom during the period of investigation in respect of which the application of the relevant anti-dumping amount or countervailing amount is based. </w:t>
      </w:r>
    </w:p>
    <w:p w:rsidR="00B02F2C" w:rsidRDefault="00E92AED">
      <w:pPr>
        <w:pStyle w:val="Regular"/>
      </w:pPr>
      <w:r>
        <w:t xml:space="preserve">The applicant confirms that they: </w:t>
      </w:r>
    </w:p>
    <w:p w:rsidR="00B02F2C" w:rsidRDefault="00E92AED">
      <w:pPr>
        <w:pStyle w:val="a"/>
        <w:numPr>
          <w:ilvl w:val="0"/>
          <w:numId w:val="6"/>
        </w:numPr>
        <w:spacing w:after="0" w:line="276" w:lineRule="auto"/>
      </w:pPr>
      <w:r>
        <w:t>Are not related to an exporter subject to the measure;</w:t>
      </w:r>
    </w:p>
    <w:p w:rsidR="00B02F2C" w:rsidRDefault="00E92AED">
      <w:pPr>
        <w:pStyle w:val="a"/>
        <w:numPr>
          <w:ilvl w:val="0"/>
          <w:numId w:val="6"/>
        </w:numPr>
        <w:spacing w:after="0" w:line="276" w:lineRule="auto"/>
      </w:pPr>
      <w:r>
        <w:t xml:space="preserve">Are not associated to an exporter who exported to the UK </w:t>
      </w:r>
      <w:r>
        <w:rPr>
          <w:rFonts w:eastAsia="Arial"/>
        </w:rPr>
        <w:t>during the investigation period of the original measure;</w:t>
      </w:r>
    </w:p>
    <w:p w:rsidR="00B02F2C" w:rsidRDefault="00E92AED">
      <w:pPr>
        <w:pStyle w:val="a"/>
        <w:numPr>
          <w:ilvl w:val="0"/>
          <w:numId w:val="6"/>
        </w:numPr>
        <w:spacing w:after="0" w:line="276" w:lineRule="auto"/>
      </w:pPr>
      <w:r>
        <w:t xml:space="preserve">did not export goods subject to the measure to the UK during the investigation period of the original investigation; </w:t>
      </w:r>
    </w:p>
    <w:p w:rsidR="00B02F2C" w:rsidRDefault="00E92AED">
      <w:pPr>
        <w:pStyle w:val="a"/>
        <w:numPr>
          <w:ilvl w:val="0"/>
          <w:numId w:val="6"/>
        </w:numPr>
        <w:spacing w:after="0" w:line="276" w:lineRule="auto"/>
      </w:pPr>
      <w:r>
        <w:t>are now exporting the goods concerned to the UK or have a contractual obligation to export a significant quantity to the UK.</w:t>
      </w:r>
    </w:p>
    <w:p w:rsidR="00B02F2C" w:rsidRDefault="00B02F2C">
      <w:pPr>
        <w:spacing w:after="0" w:line="276" w:lineRule="auto"/>
        <w:rPr>
          <w:color w:val="000000"/>
        </w:rPr>
      </w:pPr>
    </w:p>
    <w:p w:rsidR="00B02F2C" w:rsidRDefault="00B02F2C"/>
    <w:sectPr w:rsidR="00B02F2C">
      <w:headerReference w:type="default" r:id="rId28"/>
      <w:footerReference w:type="default" r:id="rId2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8C" w:rsidRDefault="000D5F8C">
      <w:pPr>
        <w:spacing w:line="240" w:lineRule="auto"/>
      </w:pPr>
      <w:r>
        <w:separator/>
      </w:r>
    </w:p>
  </w:endnote>
  <w:endnote w:type="continuationSeparator" w:id="0">
    <w:p w:rsidR="000D5F8C" w:rsidRDefault="000D5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14076"/>
      <w:docPartObj>
        <w:docPartGallery w:val="AutoText"/>
      </w:docPartObj>
    </w:sdtPr>
    <w:sdtEndPr/>
    <w:sdtContent>
      <w:p w:rsidR="00B02F2C" w:rsidRDefault="00E92AED">
        <w:pPr>
          <w:pStyle w:val="a4"/>
          <w:jc w:val="center"/>
        </w:pPr>
        <w:r>
          <w:fldChar w:fldCharType="begin"/>
        </w:r>
        <w:r>
          <w:instrText xml:space="preserve"> PAGE   \* MERGEFORMAT </w:instrText>
        </w:r>
        <w:r>
          <w:fldChar w:fldCharType="separate"/>
        </w:r>
        <w:r w:rsidR="00D8122D">
          <w:rPr>
            <w:noProof/>
          </w:rPr>
          <w:t>6</w:t>
        </w:r>
        <w:r>
          <w:fldChar w:fldCharType="end"/>
        </w:r>
      </w:p>
    </w:sdtContent>
  </w:sdt>
  <w:p w:rsidR="00B02F2C" w:rsidRDefault="00B02F2C">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8C" w:rsidRDefault="000D5F8C">
      <w:pPr>
        <w:spacing w:after="0"/>
      </w:pPr>
      <w:r>
        <w:separator/>
      </w:r>
    </w:p>
  </w:footnote>
  <w:footnote w:type="continuationSeparator" w:id="0">
    <w:p w:rsidR="000D5F8C" w:rsidRDefault="000D5F8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02F2C">
      <w:tc>
        <w:tcPr>
          <w:tcW w:w="0" w:type="auto"/>
        </w:tcPr>
        <w:p w:rsidR="00B02F2C" w:rsidRDefault="00E92AED">
          <w:pPr>
            <w:spacing w:before="20" w:after="20" w:line="240" w:lineRule="auto"/>
          </w:pPr>
          <w:r>
            <w:rPr>
              <w:noProof/>
              <w:lang w:val="en-US"/>
            </w:rPr>
            <w:drawing>
              <wp:inline distT="0" distB="0" distL="0" distR="0">
                <wp:extent cx="1431925" cy="673100"/>
                <wp:effectExtent l="0" t="0" r="0" b="0"/>
                <wp:docPr id="48095245" name="Picture 5"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5245" name="Picture 5" descr="C:\Users\joanne.gill\AppData\Local\Microsoft\Windows\INetCache\Content.MSO\B6BD2A75.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rsidR="00B02F2C" w:rsidRDefault="00B02F2C">
          <w:pPr>
            <w:spacing w:after="0" w:line="240" w:lineRule="auto"/>
            <w:jc w:val="center"/>
          </w:pPr>
        </w:p>
      </w:tc>
      <w:tc>
        <w:tcPr>
          <w:tcW w:w="3941" w:type="dxa"/>
        </w:tcPr>
        <w:p w:rsidR="00B02F2C" w:rsidRDefault="00B02F2C">
          <w:pPr>
            <w:pStyle w:val="a8"/>
            <w:jc w:val="right"/>
            <w:rPr>
              <w:sz w:val="19"/>
              <w:szCs w:val="19"/>
            </w:rPr>
          </w:pPr>
        </w:p>
        <w:p w:rsidR="00B02F2C" w:rsidRDefault="00E92AED">
          <w:pPr>
            <w:pStyle w:val="a8"/>
            <w:jc w:val="right"/>
            <w:rPr>
              <w:sz w:val="19"/>
              <w:szCs w:val="19"/>
            </w:rPr>
          </w:pPr>
          <w:r>
            <w:rPr>
              <w:sz w:val="19"/>
              <w:szCs w:val="19"/>
            </w:rPr>
            <w:t>Trade Remedies Investigations Directorate</w:t>
          </w:r>
        </w:p>
        <w:p w:rsidR="00B02F2C" w:rsidRDefault="000D5F8C">
          <w:pPr>
            <w:tabs>
              <w:tab w:val="left" w:pos="2133"/>
            </w:tabs>
            <w:spacing w:after="0"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E92AED">
                <w:rPr>
                  <w:rFonts w:ascii="Segoe UI Symbol" w:eastAsia="MS Gothic" w:hAnsi="Segoe UI Symbol" w:cs="Segoe UI Symbol"/>
                  <w:b/>
                  <w:color w:val="FF0000"/>
                  <w:sz w:val="18"/>
                </w:rPr>
                <w:t>☐</w:t>
              </w:r>
            </w:sdtContent>
          </w:sdt>
          <w:r w:rsidR="00E92AED">
            <w:rPr>
              <w:color w:val="FF0000"/>
              <w:sz w:val="18"/>
            </w:rPr>
            <w:t xml:space="preserve"> Confidential</w:t>
          </w:r>
          <w:r w:rsidR="00E92AED">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E92AED">
                <w:rPr>
                  <w:rFonts w:ascii="Segoe UI Symbol" w:eastAsia="MS Gothic" w:hAnsi="Segoe UI Symbol" w:cs="Segoe UI Symbol"/>
                  <w:b/>
                  <w:color w:val="FF0000"/>
                  <w:sz w:val="18"/>
                </w:rPr>
                <w:t>☐</w:t>
              </w:r>
            </w:sdtContent>
          </w:sdt>
          <w:r w:rsidR="00E92AED">
            <w:rPr>
              <w:color w:val="FF0000"/>
              <w:sz w:val="18"/>
            </w:rPr>
            <w:t xml:space="preserve"> Non-Confidential</w:t>
          </w:r>
        </w:p>
        <w:p w:rsidR="00B02F2C" w:rsidRDefault="00B02F2C">
          <w:pPr>
            <w:pStyle w:val="a8"/>
            <w:ind w:firstLine="148"/>
            <w:rPr>
              <w:color w:val="FF0000"/>
              <w:sz w:val="18"/>
            </w:rPr>
          </w:pPr>
        </w:p>
      </w:tc>
    </w:tr>
  </w:tbl>
  <w:p w:rsidR="00B02F2C" w:rsidRDefault="00B02F2C">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0CD1"/>
    <w:multiLevelType w:val="multilevel"/>
    <w:tmpl w:val="1B280CD1"/>
    <w:lvl w:ilvl="0">
      <w:start w:val="1"/>
      <w:numFmt w:val="upperLetter"/>
      <w:pStyle w:val="SectionTitle"/>
      <w:suff w:val="space"/>
      <w:lvlText w:val="SECTION %1:"/>
      <w:lvlJc w:val="left"/>
      <w:pPr>
        <w:ind w:left="0" w:firstLine="0"/>
      </w:pPr>
      <w:rPr>
        <w:rFonts w:ascii="Arial" w:hAnsi="Arial" w:hint="default"/>
        <w:b/>
        <w:i w:val="0"/>
        <w:sz w:val="36"/>
      </w:rPr>
    </w:lvl>
    <w:lvl w:ilvl="1">
      <w:start w:val="1"/>
      <w:numFmt w:val="decimal"/>
      <w:pStyle w:val="HeadingLevel1"/>
      <w:suff w:val="space"/>
      <w:lvlText w:val="%1%2."/>
      <w:lvlJc w:val="left"/>
      <w:pPr>
        <w:ind w:left="0" w:firstLine="0"/>
      </w:pPr>
      <w:rPr>
        <w:rFonts w:ascii="Arial" w:hAnsi="Arial" w:hint="default"/>
        <w:b/>
        <w:i w:val="0"/>
        <w:sz w:val="32"/>
      </w:rPr>
    </w:lvl>
    <w:lvl w:ilvl="2">
      <w:start w:val="1"/>
      <w:numFmt w:val="decimal"/>
      <w:pStyle w:val="HeadingLevel2"/>
      <w:suff w:val="space"/>
      <w:lvlText w:val="%1%2.%3 -"/>
      <w:lvlJc w:val="left"/>
      <w:pPr>
        <w:ind w:left="340" w:hanging="340"/>
      </w:pPr>
      <w:rPr>
        <w:rFonts w:ascii="Arial" w:hAnsi="Arial" w:hint="default"/>
        <w:b/>
        <w:i w:val="0"/>
        <w:color w:val="auto"/>
        <w:sz w:val="28"/>
        <w:u w:val="none"/>
      </w:rPr>
    </w:lvl>
    <w:lvl w:ilvl="3">
      <w:start w:val="1"/>
      <w:numFmt w:val="decimal"/>
      <w:pStyle w:val="a"/>
      <w:lvlText w:val="%4."/>
      <w:lvlJc w:val="left"/>
      <w:pPr>
        <w:tabs>
          <w:tab w:val="left"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2EF05A10"/>
    <w:multiLevelType w:val="multilevel"/>
    <w:tmpl w:val="2EF05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DA58EF"/>
    <w:multiLevelType w:val="multilevel"/>
    <w:tmpl w:val="42DA58E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50BF1"/>
    <w:multiLevelType w:val="multilevel"/>
    <w:tmpl w:val="48150BF1"/>
    <w:lvl w:ilvl="0">
      <w:start w:val="1"/>
      <w:numFmt w:val="bullet"/>
      <w:pStyle w:val="BulletLoos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B838AE"/>
    <w:multiLevelType w:val="multilevel"/>
    <w:tmpl w:val="51B83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AE17AED"/>
    <w:multiLevelType w:val="multilevel"/>
    <w:tmpl w:val="6AE17AE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zYmNkNDhmOGFkNTliMjQ0MTk3MGRjYjJjNWZmMmUifQ=="/>
  </w:docVars>
  <w:rsids>
    <w:rsidRoot w:val="006A0421"/>
    <w:rsid w:val="00026028"/>
    <w:rsid w:val="000D5F8C"/>
    <w:rsid w:val="002D5B17"/>
    <w:rsid w:val="003222FA"/>
    <w:rsid w:val="005E5F70"/>
    <w:rsid w:val="006A0421"/>
    <w:rsid w:val="007A1A3D"/>
    <w:rsid w:val="008D4B38"/>
    <w:rsid w:val="00B02F2C"/>
    <w:rsid w:val="00B91310"/>
    <w:rsid w:val="00D8122D"/>
    <w:rsid w:val="00DC39B2"/>
    <w:rsid w:val="00E92AED"/>
    <w:rsid w:val="095537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95A4"/>
  <w15:docId w15:val="{9D7FB985-0E81-4848-BF97-364768E8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Arial" w:eastAsia="宋体" w:hAnsi="Arial" w:cs="Arial"/>
      <w:sz w:val="22"/>
      <w:szCs w:val="22"/>
      <w:lang w:val="en-GB"/>
    </w:rPr>
  </w:style>
  <w:style w:type="paragraph" w:styleId="1">
    <w:name w:val="heading 1"/>
    <w:basedOn w:val="a0"/>
    <w:next w:val="a0"/>
    <w:link w:val="10"/>
    <w:pPr>
      <w:keepNext/>
      <w:keepLines/>
      <w:spacing w:before="240" w:after="0"/>
      <w:outlineLvl w:val="0"/>
    </w:pPr>
    <w:rPr>
      <w:b/>
      <w:color w:val="000000"/>
      <w:u w:val="single"/>
    </w:rPr>
  </w:style>
  <w:style w:type="paragraph" w:styleId="2">
    <w:name w:val="heading 2"/>
    <w:basedOn w:val="a0"/>
    <w:next w:val="a0"/>
    <w:link w:val="20"/>
    <w:qFormat/>
    <w:pPr>
      <w:keepNext/>
      <w:keepLines/>
      <w:spacing w:before="40" w:after="0" w:line="240" w:lineRule="auto"/>
      <w:outlineLvl w:val="1"/>
    </w:pPr>
    <w:rPr>
      <w:color w:val="00000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513"/>
        <w:tab w:val="right" w:pos="9026"/>
      </w:tabs>
      <w:spacing w:after="0" w:line="240" w:lineRule="auto"/>
    </w:pPr>
  </w:style>
  <w:style w:type="paragraph" w:styleId="11">
    <w:name w:val="toc 1"/>
    <w:basedOn w:val="a0"/>
    <w:next w:val="a0"/>
    <w:uiPriority w:val="39"/>
    <w:unhideWhenUsed/>
    <w:pPr>
      <w:tabs>
        <w:tab w:val="right" w:leader="dot" w:pos="9016"/>
      </w:tabs>
      <w:spacing w:after="100"/>
    </w:pPr>
    <w:rPr>
      <w:b/>
    </w:rPr>
  </w:style>
  <w:style w:type="paragraph" w:styleId="21">
    <w:name w:val="toc 2"/>
    <w:basedOn w:val="a0"/>
    <w:next w:val="a0"/>
    <w:uiPriority w:val="39"/>
    <w:unhideWhenUsed/>
    <w:pPr>
      <w:spacing w:after="100"/>
      <w:ind w:left="220"/>
    </w:pPr>
  </w:style>
  <w:style w:type="table" w:styleId="a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Pr>
      <w:color w:val="0563C1" w:themeColor="hyperlink"/>
      <w:u w:val="single"/>
    </w:rPr>
  </w:style>
  <w:style w:type="character" w:customStyle="1" w:styleId="10">
    <w:name w:val="标题 1 字符"/>
    <w:basedOn w:val="a1"/>
    <w:link w:val="1"/>
    <w:qFormat/>
    <w:rPr>
      <w:rFonts w:ascii="Arial" w:eastAsia="宋体" w:hAnsi="Arial" w:cs="Arial"/>
      <w:b/>
      <w:color w:val="000000"/>
      <w:u w:val="single"/>
      <w:lang w:eastAsia="zh-CN"/>
    </w:rPr>
  </w:style>
  <w:style w:type="character" w:customStyle="1" w:styleId="20">
    <w:name w:val="标题 2 字符"/>
    <w:basedOn w:val="a1"/>
    <w:link w:val="2"/>
    <w:qFormat/>
    <w:rPr>
      <w:rFonts w:ascii="Arial" w:eastAsia="宋体" w:hAnsi="Arial" w:cs="Arial"/>
      <w:color w:val="000000"/>
      <w:u w:val="single"/>
      <w:lang w:eastAsia="zh-CN"/>
    </w:rPr>
  </w:style>
  <w:style w:type="character" w:customStyle="1" w:styleId="a5">
    <w:name w:val="页脚 字符"/>
    <w:basedOn w:val="a1"/>
    <w:link w:val="a4"/>
    <w:uiPriority w:val="99"/>
    <w:qFormat/>
    <w:rPr>
      <w:rFonts w:ascii="Arial" w:eastAsia="宋体" w:hAnsi="Arial" w:cs="Arial"/>
      <w:lang w:eastAsia="zh-CN"/>
    </w:rPr>
  </w:style>
  <w:style w:type="paragraph" w:styleId="a">
    <w:name w:val="List Paragraph"/>
    <w:basedOn w:val="a0"/>
    <w:uiPriority w:val="34"/>
    <w:qFormat/>
    <w:pPr>
      <w:numPr>
        <w:ilvl w:val="3"/>
        <w:numId w:val="1"/>
      </w:numPr>
      <w:contextualSpacing/>
    </w:pPr>
    <w:rPr>
      <w:sz w:val="24"/>
    </w:rPr>
  </w:style>
  <w:style w:type="paragraph" w:styleId="a8">
    <w:name w:val="No Spacing"/>
    <w:uiPriority w:val="1"/>
    <w:qFormat/>
    <w:rPr>
      <w:rFonts w:ascii="Arial" w:eastAsia="宋体" w:hAnsi="Arial" w:cs="Arial"/>
      <w:sz w:val="22"/>
      <w:szCs w:val="22"/>
      <w:lang w:val="en-GB"/>
    </w:rPr>
  </w:style>
  <w:style w:type="paragraph" w:customStyle="1" w:styleId="TOC1">
    <w:name w:val="TOC 标题1"/>
    <w:basedOn w:val="1"/>
    <w:next w:val="a0"/>
    <w:uiPriority w:val="39"/>
    <w:unhideWhenUsed/>
    <w:qFormat/>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customStyle="1" w:styleId="HeadingLevel1">
    <w:name w:val="Heading Level 1"/>
    <w:basedOn w:val="a0"/>
    <w:link w:val="HeadingLevel1Char"/>
    <w:qFormat/>
    <w:pPr>
      <w:numPr>
        <w:ilvl w:val="1"/>
        <w:numId w:val="1"/>
      </w:numPr>
      <w:spacing w:before="160" w:line="360" w:lineRule="auto"/>
      <w:outlineLvl w:val="1"/>
    </w:pPr>
    <w:rPr>
      <w:rFonts w:eastAsiaTheme="minorHAnsi"/>
      <w:b/>
      <w:sz w:val="32"/>
      <w:lang w:eastAsia="en-US"/>
    </w:rPr>
  </w:style>
  <w:style w:type="character" w:customStyle="1" w:styleId="HeadingLevel1Char">
    <w:name w:val="Heading Level 1 Char"/>
    <w:basedOn w:val="a1"/>
    <w:link w:val="HeadingLevel1"/>
    <w:rPr>
      <w:rFonts w:ascii="Arial" w:hAnsi="Arial" w:cs="Arial"/>
      <w:b/>
      <w:sz w:val="32"/>
    </w:rPr>
  </w:style>
  <w:style w:type="paragraph" w:customStyle="1" w:styleId="HeadingLevel2">
    <w:name w:val="Heading Level 2"/>
    <w:basedOn w:val="HeadingLevel1"/>
    <w:qFormat/>
    <w:pPr>
      <w:numPr>
        <w:ilvl w:val="2"/>
      </w:numPr>
      <w:tabs>
        <w:tab w:val="left" w:pos="360"/>
      </w:tabs>
      <w:outlineLvl w:val="2"/>
    </w:pPr>
  </w:style>
  <w:style w:type="paragraph" w:customStyle="1" w:styleId="Regular">
    <w:name w:val="Regular"/>
    <w:link w:val="RegularChar"/>
    <w:qFormat/>
    <w:pPr>
      <w:spacing w:before="120" w:after="160" w:line="276" w:lineRule="auto"/>
    </w:pPr>
    <w:rPr>
      <w:rFonts w:ascii="Arial" w:eastAsia="宋体" w:hAnsi="Arial" w:cs="Arial"/>
      <w:sz w:val="24"/>
      <w:szCs w:val="22"/>
      <w:lang w:val="en-GB"/>
    </w:rPr>
  </w:style>
  <w:style w:type="character" w:customStyle="1" w:styleId="RegularChar">
    <w:name w:val="Regular Char"/>
    <w:basedOn w:val="a1"/>
    <w:link w:val="Regular"/>
    <w:rPr>
      <w:rFonts w:ascii="Arial" w:eastAsia="宋体" w:hAnsi="Arial" w:cs="Arial"/>
      <w:sz w:val="24"/>
      <w:lang w:eastAsia="zh-CN"/>
    </w:rPr>
  </w:style>
  <w:style w:type="paragraph" w:customStyle="1" w:styleId="BulletTight">
    <w:name w:val="BulletTight"/>
    <w:link w:val="BulletTightChar"/>
    <w:qFormat/>
    <w:pPr>
      <w:spacing w:line="276" w:lineRule="auto"/>
      <w:ind w:left="785" w:hanging="360"/>
    </w:pPr>
    <w:rPr>
      <w:rFonts w:ascii="Arial" w:eastAsia="宋体" w:hAnsi="Arial" w:cs="Arial"/>
      <w:color w:val="000000"/>
      <w:sz w:val="24"/>
      <w:szCs w:val="22"/>
      <w:lang w:val="en-GB"/>
    </w:rPr>
  </w:style>
  <w:style w:type="character" w:customStyle="1" w:styleId="BulletTightChar">
    <w:name w:val="BulletTight Char"/>
    <w:basedOn w:val="a1"/>
    <w:link w:val="BulletTight"/>
    <w:qFormat/>
    <w:rPr>
      <w:rFonts w:ascii="Arial" w:eastAsia="宋体" w:hAnsi="Arial" w:cs="Arial"/>
      <w:color w:val="000000"/>
      <w:sz w:val="24"/>
      <w:lang w:eastAsia="zh-CN"/>
    </w:rPr>
  </w:style>
  <w:style w:type="paragraph" w:customStyle="1" w:styleId="BulletLoose">
    <w:name w:val="BulletLoose"/>
    <w:basedOn w:val="a0"/>
    <w:link w:val="BulletLooseChar"/>
    <w:qFormat/>
    <w:pPr>
      <w:numPr>
        <w:numId w:val="2"/>
      </w:numPr>
      <w:spacing w:before="120" w:after="0" w:line="276" w:lineRule="auto"/>
    </w:pPr>
    <w:rPr>
      <w:sz w:val="24"/>
    </w:rPr>
  </w:style>
  <w:style w:type="character" w:customStyle="1" w:styleId="BulletLooseChar">
    <w:name w:val="BulletLoose Char"/>
    <w:basedOn w:val="a1"/>
    <w:link w:val="BulletLoose"/>
    <w:rPr>
      <w:rFonts w:ascii="Arial" w:eastAsia="宋体" w:hAnsi="Arial" w:cs="Arial"/>
      <w:sz w:val="24"/>
      <w:lang w:eastAsia="zh-CN"/>
    </w:rPr>
  </w:style>
  <w:style w:type="paragraph" w:customStyle="1" w:styleId="SectionTitle">
    <w:name w:val="Section Title"/>
    <w:basedOn w:val="Regular"/>
    <w:next w:val="HeadingLevel1"/>
    <w:link w:val="SectionTitleChar"/>
    <w:qFormat/>
    <w:pPr>
      <w:pageBreakBefore/>
      <w:numPr>
        <w:numId w:val="1"/>
      </w:num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a1"/>
    <w:link w:val="SectionTitle"/>
    <w:qFormat/>
    <w:rPr>
      <w:rFonts w:ascii="Arial"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33070">
      <w:bodyDiv w:val="1"/>
      <w:marLeft w:val="0"/>
      <w:marRight w:val="0"/>
      <w:marTop w:val="0"/>
      <w:marBottom w:val="0"/>
      <w:divBdr>
        <w:top w:val="none" w:sz="0" w:space="0" w:color="auto"/>
        <w:left w:val="none" w:sz="0" w:space="0" w:color="auto"/>
        <w:bottom w:val="none" w:sz="0" w:space="0" w:color="auto"/>
        <w:right w:val="none" w:sz="0" w:space="0" w:color="auto"/>
      </w:divBdr>
    </w:div>
    <w:div w:id="38726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iccwbo.org/resources-for-business/incoterms-rules/incoterms-rules-2010/"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settings" Target="settings.xml"/><Relationship Id="rId12" Type="http://schemas.openxmlformats.org/officeDocument/2006/relationships/package" Target="embeddings/Microsoft_PowerPoint_____.pptx"/><Relationship Id="rId17" Type="http://schemas.openxmlformats.org/officeDocument/2006/relationships/hyperlink" Target="https://www.gov.uk/government/publications/the-uk-trade-remedies-investigations-process/new-exporter-review" TargetMode="External"/><Relationship Id="rId25" Type="http://schemas.openxmlformats.org/officeDocument/2006/relationships/hyperlink" Target="mailto:contact@traderemedies.gov.uk" TargetMode="External"/><Relationship Id="rId29" Type="http://schemas.openxmlformats.org/officeDocument/2006/relationships/footer" Target="footer1.xml"/><Relationship Id="rId16" Type="http://schemas.openxmlformats.org/officeDocument/2006/relationships/hyperlink" Target="https://www.legislation.gov.uk/uksi/2019/450/regulation/71/made" TargetMode="External"/><Relationship Id="rId20" Type="http://schemas.openxmlformats.org/officeDocument/2006/relationships/hyperlink" Target="https://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overnment/publications/the-uk-trade-remedies-investigations-process/how-to-make-an-application-for-a-trade-remedies-investigation" TargetMode="External"/><Relationship Id="rId5" Type="http://schemas.openxmlformats.org/officeDocument/2006/relationships/numbering" Target="numbering.xml"/><Relationship Id="rId15" Type="http://schemas.openxmlformats.org/officeDocument/2006/relationships/hyperlink" Target="https://www.legislation.gov.uk/uksi/2019/450/contents/made" TargetMode="External"/><Relationship Id="rId23" Type="http://schemas.openxmlformats.org/officeDocument/2006/relationships/hyperlink" Target="https://www.gov.uk/government/publications/the-uk-trade-remedies-investigations-process/the-trid-pre-application-offic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22/contents/enacted" TargetMode="External"/><Relationship Id="rId22" Type="http://schemas.openxmlformats.org/officeDocument/2006/relationships/hyperlink" Target="mailto:contact@traderemedies.gov.uk" TargetMode="External"/><Relationship Id="rId27" Type="http://schemas.openxmlformats.org/officeDocument/2006/relationships/hyperlink" Target="http://www.trade-remedies.service.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2" ma:contentTypeDescription="" ma:contentTypeScope="" ma:versionID="c8971e66f8780798da7e08c70f090452">
  <xsd:schema xmlns:xsd="http://www.w3.org/2001/XMLSchema" xmlns:xs="http://www.w3.org/2001/XMLSchema" xmlns:p="http://schemas.microsoft.com/office/2006/metadata/properties" xmlns:ns2="c14de8ec-1bbe-45d0-9da6-488d8f109529" xmlns:ns3="df68658f-1f22-42dc-96fa-5f63ff94b6d4" xmlns:ns4="9853fa78-0f40-476d-84f1-df703a9f0a1e" targetNamespace="http://schemas.microsoft.com/office/2006/metadata/properties" ma:root="true" ma:fieldsID="a183d3e44651f114b68c218d2eb17aa5" ns2:_="" ns3:_="" ns4:_="">
    <xsd:import namespace="c14de8ec-1bbe-45d0-9da6-488d8f109529"/>
    <xsd:import namespace="df68658f-1f22-42dc-96fa-5f63ff94b6d4"/>
    <xsd:import namespace="9853fa78-0f40-476d-84f1-df703a9f0a1e"/>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3:ApprovalButton" minOccurs="0"/>
                <xsd:element ref="ns3:FeedbackButton" minOccurs="0"/>
                <xsd:element ref="ns3:CommunicationsButton" minOccurs="0"/>
                <xsd:element ref="ns4:MinorButton" minOccurs="0"/>
                <xsd:element ref="ns4:MajorButton"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ma:readOnly="fals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restriction>
      </xsd:simpleType>
    </xsd:element>
    <xsd:element name="Archive" ma:index="18"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ApprovalButton" ma:index="19" nillable="true" ma:displayName="Approval Button" ma:hidden="true" ma:internalName="ApprovalButton" ma:readOnly="false">
      <xsd:simpleType>
        <xsd:restriction base="dms:Text">
          <xsd:maxLength value="255"/>
        </xsd:restriction>
      </xsd:simpleType>
    </xsd:element>
    <xsd:element name="FeedbackButton" ma:index="20" nillable="true" ma:displayName="Feedback Button" ma:hidden="true" ma:internalName="FeedbackButton" ma:readOnly="false">
      <xsd:simpleType>
        <xsd:restriction base="dms:Text">
          <xsd:maxLength value="255"/>
        </xsd:restriction>
      </xsd:simpleType>
    </xsd:element>
    <xsd:element name="CommunicationsButton" ma:index="21" nillable="true" ma:displayName="Communications Button" ma:hidden="true" ma:internalName="CommunicationsButton" ma:readOnly="false">
      <xsd:simpleType>
        <xsd:restriction base="dms:Text">
          <xsd:maxLength value="255"/>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inorButton" ma:index="22" nillable="true" ma:displayName="MinorButton" ma:internalName="MinorButton">
      <xsd:simpleType>
        <xsd:restriction base="dms:Text">
          <xsd:maxLength value="255"/>
        </xsd:restriction>
      </xsd:simpleType>
    </xsd:element>
    <xsd:element name="MajorButton" ma:index="23" nillable="true" ma:displayName="MajorButton" ma:internalName="MajorButton">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9734C98-9BA9-491B-AC2E-DA763E6F668F}">
  <ds:schemaRefs>
    <ds:schemaRef ds:uri="http://schemas.microsoft.com/sharepoint/v3/contenttype/forms"/>
  </ds:schemaRefs>
</ds:datastoreItem>
</file>

<file path=customXml/itemProps2.xml><?xml version="1.0" encoding="utf-8"?>
<ds:datastoreItem xmlns:ds="http://schemas.openxmlformats.org/officeDocument/2006/customXml" ds:itemID="{F9A90A85-7896-4AF8-98C1-4F2252397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df68658f-1f22-42dc-96fa-5f63ff94b6d4"/>
    <ds:schemaRef ds:uri="9853fa78-0f40-476d-84f1-df703a9f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067B3-E702-4599-98FB-1288C5815C49}"/>
</file>

<file path=customXml/itemProps4.xml><?xml version="1.0" encoding="utf-8"?>
<ds:datastoreItem xmlns:ds="http://schemas.openxmlformats.org/officeDocument/2006/customXml" ds:itemID="{0F461691-B18B-48D1-9FDD-A40B1A135F80}">
  <ds:schemaRefs>
    <ds:schemaRef ds:uri="http://schemas.microsoft.com/office/2006/metadata/properties"/>
    <ds:schemaRef ds:uri="http://schemas.microsoft.com/office/infopath/2007/PartnerControls"/>
    <ds:schemaRef ds:uri="c14de8ec-1bbe-45d0-9da6-488d8f109529"/>
    <ds:schemaRef ds:uri="df68658f-1f22-42dc-96fa-5f63ff94b6d4"/>
    <ds:schemaRef ds:uri="9853fa78-0f40-476d-84f1-df703a9f0a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1760</Words>
  <Characters>10032</Characters>
  <Application>Microsoft Office Word</Application>
  <DocSecurity>0</DocSecurity>
  <Lines>83</Lines>
  <Paragraphs>23</Paragraphs>
  <ScaleCrop>false</ScaleCrop>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2023-08-16T12:51:00Z</dcterms:created>
  <dcterms:modified xsi:type="dcterms:W3CDTF">2023-08-16T12:51:00Z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2020-12-23T17:47:34.7482209Z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194dd162-30fb-4f49-a78b-97bcaf522a36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2212900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
  </property>
  <property fmtid="{D5CDD505-2E9C-101B-9397-08002B2CF9AE}" pid="16" name="KSOProductBuildVer">
    <vt:lpwstr>2052-11.1.0.14309</vt:lpwstr>
  </property>
  <property fmtid="{D5CDD505-2E9C-101B-9397-08002B2CF9AE}" pid="17" name="ICV">
    <vt:lpwstr>039EBBA6CE024A16A382CAF9FC85C36B_13</vt:lpwstr>
  </property>
</Properties>
</file>