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153AD" w14:textId="77777777" w:rsidR="00D40EF5" w:rsidRPr="0044150C" w:rsidRDefault="00D40EF5" w:rsidP="00D40EF5">
      <w:pPr>
        <w:rPr>
          <w:rFonts w:ascii="Arial" w:hAnsi="Arial" w:cs="Arial"/>
          <w:sz w:val="24"/>
          <w:szCs w:val="24"/>
          <w:lang w:val="en-GB"/>
        </w:rPr>
      </w:pPr>
      <w:r w:rsidRPr="0044150C">
        <w:rPr>
          <w:rFonts w:ascii="Arial" w:hAnsi="Arial" w:cs="Arial"/>
          <w:noProof/>
          <w:sz w:val="24"/>
          <w:szCs w:val="24"/>
          <w:lang w:val="en-GB"/>
        </w:rPr>
        <mc:AlternateContent>
          <mc:Choice Requires="wps">
            <w:drawing>
              <wp:anchor distT="0" distB="0" distL="114300" distR="114300" simplePos="0" relativeHeight="251661312" behindDoc="0" locked="0" layoutInCell="1" allowOverlap="1" wp14:anchorId="314750CC" wp14:editId="17F35F54">
                <wp:simplePos x="0" y="0"/>
                <wp:positionH relativeFrom="column">
                  <wp:posOffset>0</wp:posOffset>
                </wp:positionH>
                <wp:positionV relativeFrom="paragraph">
                  <wp:posOffset>338455</wp:posOffset>
                </wp:positionV>
                <wp:extent cx="5483860" cy="6524625"/>
                <wp:effectExtent l="0" t="0" r="21590" b="28575"/>
                <wp:wrapTopAndBottom/>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3860" cy="6524625"/>
                        </a:xfrm>
                        <a:prstGeom prst="rect">
                          <a:avLst/>
                        </a:prstGeom>
                        <a:solidFill>
                          <a:schemeClr val="bg1"/>
                        </a:solidFill>
                        <a:ln w="9525">
                          <a:solidFill>
                            <a:srgbClr val="000000"/>
                          </a:solidFill>
                          <a:miter lim="800000"/>
                          <a:headEnd/>
                          <a:tailEnd/>
                        </a:ln>
                      </wps:spPr>
                      <wps:txbx>
                        <w:txbxContent>
                          <w:p w14:paraId="78069AF9" w14:textId="77777777" w:rsidR="00D40EF5" w:rsidRDefault="00D40EF5" w:rsidP="00D40EF5">
                            <w:pPr>
                              <w:ind w:left="1134" w:right="1379"/>
                              <w:jc w:val="center"/>
                              <w:rPr>
                                <w:rFonts w:eastAsia="Arial Unicode MS" w:cs="Arial"/>
                                <w:b/>
                              </w:rPr>
                            </w:pPr>
                          </w:p>
                          <w:p w14:paraId="30743027" w14:textId="77777777" w:rsidR="00D40EF5" w:rsidRDefault="00D40EF5" w:rsidP="00D40EF5">
                            <w:pPr>
                              <w:jc w:val="center"/>
                              <w:rPr>
                                <w:rFonts w:eastAsia="Arial Unicode MS" w:cs="Arial"/>
                                <w:b/>
                              </w:rPr>
                            </w:pPr>
                          </w:p>
                          <w:p w14:paraId="74681F02" w14:textId="77777777" w:rsidR="00D40EF5" w:rsidRDefault="00D40EF5" w:rsidP="00D40EF5">
                            <w:pPr>
                              <w:jc w:val="center"/>
                              <w:rPr>
                                <w:rFonts w:eastAsia="Arial Unicode MS" w:cs="Arial"/>
                                <w:b/>
                              </w:rPr>
                            </w:pPr>
                          </w:p>
                          <w:p w14:paraId="7D435F1C" w14:textId="50477680" w:rsidR="007B30ED" w:rsidRDefault="007B30ED" w:rsidP="007B30ED">
                            <w:pPr>
                              <w:jc w:val="center"/>
                              <w:rPr>
                                <w:rFonts w:ascii="Arial" w:hAnsi="Arial" w:cs="Arial"/>
                                <w:b/>
                                <w:sz w:val="32"/>
                                <w:szCs w:val="32"/>
                              </w:rPr>
                            </w:pPr>
                            <w:r>
                              <w:rPr>
                                <w:rFonts w:ascii="Arial" w:hAnsi="Arial" w:cs="Arial" w:hint="eastAsia"/>
                                <w:b/>
                                <w:sz w:val="32"/>
                                <w:szCs w:val="32"/>
                              </w:rPr>
                              <w:t>AS00</w:t>
                            </w:r>
                            <w:r w:rsidR="00816DDA">
                              <w:rPr>
                                <w:rFonts w:ascii="Arial" w:hAnsi="Arial" w:cs="Arial"/>
                                <w:b/>
                                <w:sz w:val="32"/>
                                <w:szCs w:val="32"/>
                              </w:rPr>
                              <w:t>7</w:t>
                            </w:r>
                            <w:r>
                              <w:rPr>
                                <w:rFonts w:ascii="Arial" w:hAnsi="Arial" w:cs="Arial" w:hint="eastAsia"/>
                                <w:b/>
                                <w:sz w:val="32"/>
                                <w:szCs w:val="32"/>
                              </w:rPr>
                              <w:t>6</w:t>
                            </w:r>
                          </w:p>
                          <w:p w14:paraId="444BC587" w14:textId="11B91FAB" w:rsidR="007B30ED" w:rsidRDefault="007B30ED" w:rsidP="007B30ED">
                            <w:pPr>
                              <w:jc w:val="center"/>
                              <w:rPr>
                                <w:rFonts w:ascii="Arial" w:hAnsi="Arial" w:cs="Arial"/>
                                <w:b/>
                                <w:sz w:val="32"/>
                                <w:szCs w:val="32"/>
                              </w:rPr>
                            </w:pPr>
                            <w:r w:rsidRPr="007B30ED">
                              <w:rPr>
                                <w:rFonts w:ascii="Arial" w:hAnsi="Arial" w:cs="Arial"/>
                                <w:b/>
                                <w:sz w:val="32"/>
                                <w:szCs w:val="32"/>
                              </w:rPr>
                              <w:t xml:space="preserve">ANTI-SUBSIDY INVESTIGATION CONCERNING IMPORTS OF </w:t>
                            </w:r>
                            <w:r w:rsidR="009C3948">
                              <w:rPr>
                                <w:rFonts w:ascii="Arial" w:hAnsi="Arial" w:cs="Arial"/>
                                <w:b/>
                                <w:sz w:val="32"/>
                                <w:szCs w:val="32"/>
                              </w:rPr>
                              <w:t>BOOM LIFT</w:t>
                            </w:r>
                            <w:r w:rsidRPr="007B30ED">
                              <w:rPr>
                                <w:rFonts w:ascii="Arial" w:hAnsi="Arial" w:cs="Arial"/>
                                <w:b/>
                                <w:sz w:val="32"/>
                                <w:szCs w:val="32"/>
                              </w:rPr>
                              <w:t xml:space="preserve">S </w:t>
                            </w:r>
                          </w:p>
                          <w:p w14:paraId="17A40182" w14:textId="4D62044C" w:rsidR="007B30ED" w:rsidRPr="007B30ED" w:rsidRDefault="007B30ED" w:rsidP="007B30ED">
                            <w:pPr>
                              <w:jc w:val="center"/>
                              <w:rPr>
                                <w:rFonts w:ascii="Arial" w:hAnsi="Arial" w:cs="Arial"/>
                                <w:b/>
                                <w:sz w:val="32"/>
                                <w:szCs w:val="32"/>
                              </w:rPr>
                            </w:pPr>
                            <w:r w:rsidRPr="007B30ED">
                              <w:rPr>
                                <w:rFonts w:ascii="Arial" w:hAnsi="Arial" w:cs="Arial"/>
                                <w:b/>
                                <w:sz w:val="32"/>
                                <w:szCs w:val="32"/>
                              </w:rPr>
                              <w:t>ORIGINATING IN</w:t>
                            </w:r>
                          </w:p>
                          <w:p w14:paraId="09DAA6AE" w14:textId="77777777" w:rsidR="007B30ED" w:rsidRPr="007B30ED" w:rsidRDefault="007B30ED" w:rsidP="007B30ED">
                            <w:pPr>
                              <w:jc w:val="center"/>
                              <w:rPr>
                                <w:rFonts w:ascii="Arial" w:hAnsi="Arial" w:cs="Arial"/>
                                <w:b/>
                                <w:sz w:val="32"/>
                                <w:szCs w:val="32"/>
                              </w:rPr>
                            </w:pPr>
                            <w:r w:rsidRPr="007B30ED">
                              <w:rPr>
                                <w:rFonts w:ascii="Arial" w:hAnsi="Arial" w:cs="Arial"/>
                                <w:b/>
                                <w:sz w:val="32"/>
                                <w:szCs w:val="32"/>
                              </w:rPr>
                              <w:t>THE PEOPLE’S REPUBLIC OF CHINA</w:t>
                            </w:r>
                          </w:p>
                          <w:p w14:paraId="4B302EF8" w14:textId="24391B82" w:rsidR="00D40EF5" w:rsidRPr="002D7D87" w:rsidRDefault="00D40EF5" w:rsidP="007B30ED">
                            <w:pPr>
                              <w:jc w:val="center"/>
                              <w:rPr>
                                <w:rFonts w:ascii="Arial" w:hAnsi="Arial" w:cs="Arial"/>
                                <w:b/>
                                <w:color w:val="FFFFFF" w:themeColor="background1"/>
                                <w:sz w:val="32"/>
                                <w:szCs w:val="32"/>
                              </w:rPr>
                            </w:pPr>
                          </w:p>
                          <w:p w14:paraId="53B20D5A" w14:textId="77777777" w:rsidR="00D40EF5" w:rsidRPr="002D7D87" w:rsidRDefault="00D40EF5" w:rsidP="00D40EF5">
                            <w:pPr>
                              <w:jc w:val="center"/>
                              <w:rPr>
                                <w:rFonts w:ascii="Arial" w:hAnsi="Arial" w:cs="Arial"/>
                                <w:b/>
                                <w:sz w:val="32"/>
                                <w:szCs w:val="32"/>
                              </w:rPr>
                            </w:pPr>
                          </w:p>
                          <w:p w14:paraId="70B71500" w14:textId="77777777" w:rsidR="00D40EF5" w:rsidRPr="002D7D87" w:rsidRDefault="00D40EF5" w:rsidP="00D40EF5">
                            <w:pPr>
                              <w:jc w:val="center"/>
                              <w:rPr>
                                <w:rFonts w:ascii="Arial" w:hAnsi="Arial" w:cs="Arial"/>
                                <w:b/>
                                <w:sz w:val="32"/>
                                <w:szCs w:val="32"/>
                              </w:rPr>
                            </w:pPr>
                          </w:p>
                          <w:p w14:paraId="7BB17C27" w14:textId="16FFF2D0" w:rsidR="00B12166" w:rsidRPr="007B30ED" w:rsidRDefault="00B12166" w:rsidP="00D40EF5">
                            <w:pPr>
                              <w:jc w:val="center"/>
                              <w:rPr>
                                <w:rFonts w:ascii="Arial" w:hAnsi="Arial" w:cs="Arial"/>
                                <w:b/>
                                <w:sz w:val="32"/>
                                <w:szCs w:val="32"/>
                              </w:rPr>
                            </w:pPr>
                            <w:r w:rsidRPr="007B30ED">
                              <w:rPr>
                                <w:rFonts w:ascii="Arial" w:hAnsi="Arial" w:cs="Arial"/>
                                <w:b/>
                                <w:sz w:val="32"/>
                                <w:szCs w:val="32"/>
                              </w:rPr>
                              <w:t xml:space="preserve">COMMENTS </w:t>
                            </w:r>
                            <w:r w:rsidR="007B30ED" w:rsidRPr="007B30ED">
                              <w:rPr>
                                <w:rFonts w:ascii="Arial" w:hAnsi="Arial" w:cs="Arial" w:hint="eastAsia"/>
                                <w:b/>
                                <w:sz w:val="32"/>
                                <w:szCs w:val="32"/>
                              </w:rPr>
                              <w:t>ON</w:t>
                            </w:r>
                            <w:r w:rsidRPr="007B30ED">
                              <w:rPr>
                                <w:rFonts w:ascii="Arial" w:hAnsi="Arial" w:cs="Arial"/>
                                <w:b/>
                                <w:sz w:val="32"/>
                                <w:szCs w:val="32"/>
                              </w:rPr>
                              <w:t xml:space="preserve"> THE </w:t>
                            </w:r>
                            <w:r w:rsidR="007B30ED" w:rsidRPr="007B30ED">
                              <w:rPr>
                                <w:rFonts w:ascii="Arial" w:hAnsi="Arial" w:cs="Arial" w:hint="eastAsia"/>
                                <w:b/>
                                <w:sz w:val="32"/>
                                <w:szCs w:val="32"/>
                              </w:rPr>
                              <w:t>APPLICATION</w:t>
                            </w:r>
                            <w:r w:rsidR="00956957">
                              <w:rPr>
                                <w:rFonts w:ascii="Arial" w:hAnsi="Arial" w:cs="Arial"/>
                                <w:b/>
                                <w:sz w:val="32"/>
                                <w:szCs w:val="32"/>
                              </w:rPr>
                              <w:t xml:space="preserve"> AND THE INVESTIGATION</w:t>
                            </w:r>
                          </w:p>
                          <w:p w14:paraId="189B0DDB" w14:textId="62E37E17" w:rsidR="00C91793" w:rsidRDefault="00B12166" w:rsidP="00CC6DC5">
                            <w:pPr>
                              <w:jc w:val="center"/>
                              <w:rPr>
                                <w:rFonts w:ascii="Arial" w:hAnsi="Arial" w:cs="Arial"/>
                                <w:b/>
                                <w:sz w:val="32"/>
                                <w:szCs w:val="32"/>
                              </w:rPr>
                            </w:pPr>
                            <w:r w:rsidRPr="00B12166">
                              <w:rPr>
                                <w:rFonts w:ascii="Arial" w:hAnsi="Arial" w:cs="Arial"/>
                                <w:b/>
                                <w:sz w:val="32"/>
                                <w:szCs w:val="32"/>
                              </w:rPr>
                              <w:t>OF TH</w:t>
                            </w:r>
                            <w:r>
                              <w:rPr>
                                <w:rFonts w:ascii="Arial" w:hAnsi="Arial" w:cs="Arial"/>
                                <w:b/>
                                <w:sz w:val="32"/>
                                <w:szCs w:val="32"/>
                              </w:rPr>
                              <w:t xml:space="preserve">E </w:t>
                            </w:r>
                            <w:r w:rsidR="00D40EF5" w:rsidRPr="002D7D87">
                              <w:rPr>
                                <w:rFonts w:ascii="Arial" w:hAnsi="Arial" w:cs="Arial"/>
                                <w:b/>
                                <w:sz w:val="32"/>
                                <w:szCs w:val="32"/>
                              </w:rPr>
                              <w:t xml:space="preserve">GOVERNMENT OF THE </w:t>
                            </w:r>
                          </w:p>
                          <w:p w14:paraId="38944FF3" w14:textId="7E122179" w:rsidR="00D40EF5" w:rsidRPr="002D7D87" w:rsidRDefault="00D40EF5" w:rsidP="00D40EF5">
                            <w:pPr>
                              <w:spacing w:after="120"/>
                              <w:jc w:val="center"/>
                              <w:rPr>
                                <w:rFonts w:ascii="Arial" w:hAnsi="Arial" w:cs="Arial"/>
                                <w:b/>
                                <w:sz w:val="32"/>
                                <w:szCs w:val="32"/>
                              </w:rPr>
                            </w:pPr>
                            <w:r w:rsidRPr="002D7D87">
                              <w:rPr>
                                <w:rFonts w:ascii="Arial" w:hAnsi="Arial" w:cs="Arial"/>
                                <w:b/>
                                <w:sz w:val="32"/>
                                <w:szCs w:val="32"/>
                              </w:rPr>
                              <w:t>PEOPLE’S REPUBLIC OF CHINA</w:t>
                            </w:r>
                          </w:p>
                          <w:p w14:paraId="2CCBF060" w14:textId="77777777" w:rsidR="00D40EF5" w:rsidRPr="002D7D87" w:rsidRDefault="00D40EF5" w:rsidP="00D40EF5">
                            <w:pPr>
                              <w:jc w:val="center"/>
                              <w:rPr>
                                <w:rFonts w:ascii="Arial" w:hAnsi="Arial" w:cs="Arial"/>
                                <w:b/>
                                <w:sz w:val="32"/>
                                <w:szCs w:val="32"/>
                              </w:rPr>
                            </w:pPr>
                          </w:p>
                          <w:p w14:paraId="26D15736" w14:textId="77777777" w:rsidR="00D40EF5" w:rsidRPr="002D7D87" w:rsidRDefault="00D40EF5" w:rsidP="00D40EF5">
                            <w:pPr>
                              <w:jc w:val="center"/>
                              <w:rPr>
                                <w:rFonts w:ascii="Arial" w:hAnsi="Arial" w:cs="Arial"/>
                                <w:b/>
                                <w:sz w:val="32"/>
                                <w:szCs w:val="32"/>
                              </w:rPr>
                            </w:pPr>
                          </w:p>
                          <w:p w14:paraId="480B7F45" w14:textId="77777777" w:rsidR="00D40EF5" w:rsidRPr="002D7D87" w:rsidRDefault="00D40EF5" w:rsidP="00D40EF5">
                            <w:pPr>
                              <w:ind w:left="1134" w:right="1379"/>
                              <w:jc w:val="center"/>
                              <w:rPr>
                                <w:rFonts w:ascii="Arial" w:hAnsi="Arial" w:cs="Arial"/>
                                <w:b/>
                                <w:bCs/>
                                <w:sz w:val="32"/>
                                <w:szCs w:val="32"/>
                              </w:rPr>
                            </w:pPr>
                            <w:r>
                              <w:rPr>
                                <w:rFonts w:ascii="Arial" w:hAnsi="Arial" w:cs="Arial"/>
                                <w:b/>
                                <w:bCs/>
                                <w:sz w:val="32"/>
                                <w:szCs w:val="32"/>
                              </w:rPr>
                              <w:t>OPEN</w:t>
                            </w:r>
                            <w:r w:rsidRPr="002D7D87">
                              <w:rPr>
                                <w:rFonts w:ascii="Arial" w:hAnsi="Arial" w:cs="Arial"/>
                                <w:b/>
                                <w:bCs/>
                                <w:sz w:val="32"/>
                                <w:szCs w:val="32"/>
                              </w:rPr>
                              <w:t xml:space="preserve"> VERSION</w:t>
                            </w:r>
                          </w:p>
                          <w:p w14:paraId="7C1E4CEF" w14:textId="77777777" w:rsidR="00D40EF5" w:rsidRPr="002D7D87" w:rsidRDefault="00D40EF5" w:rsidP="00D40EF5">
                            <w:pPr>
                              <w:ind w:left="1134" w:right="1379"/>
                              <w:jc w:val="center"/>
                              <w:rPr>
                                <w:rFonts w:ascii="Arial" w:hAnsi="Arial" w:cs="Arial"/>
                                <w:b/>
                                <w:bCs/>
                                <w:sz w:val="32"/>
                                <w:szCs w:val="32"/>
                              </w:rPr>
                            </w:pPr>
                          </w:p>
                          <w:p w14:paraId="317A68FB" w14:textId="77777777" w:rsidR="00D40EF5" w:rsidRPr="002D7D87" w:rsidRDefault="00D40EF5" w:rsidP="00D40EF5">
                            <w:pPr>
                              <w:ind w:left="1134" w:right="1379"/>
                              <w:jc w:val="center"/>
                              <w:rPr>
                                <w:rFonts w:ascii="Arial" w:hAnsi="Arial" w:cs="Arial"/>
                                <w:b/>
                                <w:bCs/>
                                <w:sz w:val="32"/>
                                <w:szCs w:val="32"/>
                              </w:rPr>
                            </w:pPr>
                          </w:p>
                          <w:p w14:paraId="401A3E46" w14:textId="321942A0" w:rsidR="00D40EF5" w:rsidRPr="002D7D87" w:rsidRDefault="00D40EF5" w:rsidP="00D40EF5">
                            <w:pPr>
                              <w:jc w:val="center"/>
                              <w:rPr>
                                <w:rFonts w:ascii="Arial" w:hAnsi="Arial" w:cs="Arial"/>
                                <w:b/>
                                <w:bCs/>
                                <w:sz w:val="32"/>
                                <w:szCs w:val="32"/>
                              </w:rPr>
                            </w:pPr>
                            <w:r w:rsidRPr="002D7D87">
                              <w:rPr>
                                <w:rFonts w:ascii="Arial" w:hAnsi="Arial" w:cs="Arial"/>
                                <w:b/>
                                <w:bCs/>
                                <w:sz w:val="32"/>
                                <w:szCs w:val="32"/>
                              </w:rPr>
                              <w:t xml:space="preserve"> </w:t>
                            </w:r>
                            <w:r w:rsidR="006F3A09">
                              <w:rPr>
                                <w:rFonts w:ascii="Arial" w:hAnsi="Arial" w:cs="Arial"/>
                                <w:b/>
                                <w:bCs/>
                                <w:sz w:val="32"/>
                                <w:szCs w:val="32"/>
                              </w:rPr>
                              <w:t>3</w:t>
                            </w:r>
                            <w:r w:rsidR="00CC6DC5">
                              <w:rPr>
                                <w:rFonts w:ascii="Arial" w:hAnsi="Arial" w:cs="Arial"/>
                                <w:b/>
                                <w:bCs/>
                                <w:sz w:val="32"/>
                                <w:szCs w:val="32"/>
                              </w:rPr>
                              <w:t xml:space="preserve"> </w:t>
                            </w:r>
                            <w:r w:rsidR="00321319">
                              <w:rPr>
                                <w:rFonts w:ascii="Arial" w:hAnsi="Arial" w:cs="Arial"/>
                                <w:b/>
                                <w:bCs/>
                                <w:sz w:val="32"/>
                                <w:szCs w:val="32"/>
                              </w:rPr>
                              <w:t>January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750CC" id="_x0000_t202" coordsize="21600,21600" o:spt="202" path="m,l,21600r21600,l21600,xe">
                <v:stroke joinstyle="miter"/>
                <v:path gradientshapeok="t" o:connecttype="rect"/>
              </v:shapetype>
              <v:shape id="Text Box 26" o:spid="_x0000_s1026" type="#_x0000_t202" style="position:absolute;left:0;text-align:left;margin-left:0;margin-top:26.65pt;width:431.8pt;height:51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" fillcolor="white [3212]">
                <v:textbox>
                  <w:txbxContent>
                    <w:p w14:paraId="78069AF9" w14:textId="77777777" w:rsidR="00D40EF5" w:rsidRDefault="00D40EF5" w:rsidP="00D40EF5">
                      <w:pPr>
                        <w:ind w:left="1134" w:right="1379"/>
                        <w:jc w:val="center"/>
                        <w:rPr>
                          <w:rFonts w:eastAsia="Arial Unicode MS" w:cs="Arial"/>
                          <w:b/>
                        </w:rPr>
                      </w:pPr>
                    </w:p>
                    <w:p w14:paraId="30743027" w14:textId="77777777" w:rsidR="00D40EF5" w:rsidRDefault="00D40EF5" w:rsidP="00D40EF5">
                      <w:pPr>
                        <w:jc w:val="center"/>
                        <w:rPr>
                          <w:rFonts w:eastAsia="Arial Unicode MS" w:cs="Arial"/>
                          <w:b/>
                        </w:rPr>
                      </w:pPr>
                    </w:p>
                    <w:p w14:paraId="74681F02" w14:textId="77777777" w:rsidR="00D40EF5" w:rsidRDefault="00D40EF5" w:rsidP="00D40EF5">
                      <w:pPr>
                        <w:jc w:val="center"/>
                        <w:rPr>
                          <w:rFonts w:eastAsia="Arial Unicode MS" w:cs="Arial"/>
                          <w:b/>
                        </w:rPr>
                      </w:pPr>
                    </w:p>
                    <w:p w14:paraId="7D435F1C" w14:textId="50477680" w:rsidR="007B30ED" w:rsidRDefault="007B30ED" w:rsidP="007B30ED">
                      <w:pPr>
                        <w:jc w:val="center"/>
                        <w:rPr>
                          <w:rFonts w:ascii="Arial" w:hAnsi="Arial" w:cs="Arial"/>
                          <w:b/>
                          <w:sz w:val="32"/>
                          <w:szCs w:val="32"/>
                        </w:rPr>
                      </w:pPr>
                      <w:r>
                        <w:rPr>
                          <w:rFonts w:ascii="Arial" w:hAnsi="Arial" w:cs="Arial" w:hint="eastAsia"/>
                          <w:b/>
                          <w:sz w:val="32"/>
                          <w:szCs w:val="32"/>
                        </w:rPr>
                        <w:t>AS00</w:t>
                      </w:r>
                      <w:r w:rsidR="00816DDA">
                        <w:rPr>
                          <w:rFonts w:ascii="Arial" w:hAnsi="Arial" w:cs="Arial"/>
                          <w:b/>
                          <w:sz w:val="32"/>
                          <w:szCs w:val="32"/>
                        </w:rPr>
                        <w:t>7</w:t>
                      </w:r>
                      <w:r>
                        <w:rPr>
                          <w:rFonts w:ascii="Arial" w:hAnsi="Arial" w:cs="Arial" w:hint="eastAsia"/>
                          <w:b/>
                          <w:sz w:val="32"/>
                          <w:szCs w:val="32"/>
                        </w:rPr>
                        <w:t>6</w:t>
                      </w:r>
                    </w:p>
                    <w:p w14:paraId="444BC587" w14:textId="11B91FAB" w:rsidR="007B30ED" w:rsidRDefault="007B30ED" w:rsidP="007B30ED">
                      <w:pPr>
                        <w:jc w:val="center"/>
                        <w:rPr>
                          <w:rFonts w:ascii="Arial" w:hAnsi="Arial" w:cs="Arial"/>
                          <w:b/>
                          <w:sz w:val="32"/>
                          <w:szCs w:val="32"/>
                        </w:rPr>
                      </w:pPr>
                      <w:r w:rsidRPr="007B30ED">
                        <w:rPr>
                          <w:rFonts w:ascii="Arial" w:hAnsi="Arial" w:cs="Arial"/>
                          <w:b/>
                          <w:sz w:val="32"/>
                          <w:szCs w:val="32"/>
                        </w:rPr>
                        <w:t xml:space="preserve">ANTI-SUBSIDY INVESTIGATION CONCERNING IMPORTS OF </w:t>
                      </w:r>
                      <w:r w:rsidR="009C3948">
                        <w:rPr>
                          <w:rFonts w:ascii="Arial" w:hAnsi="Arial" w:cs="Arial"/>
                          <w:b/>
                          <w:sz w:val="32"/>
                          <w:szCs w:val="32"/>
                        </w:rPr>
                        <w:t>BOOM LIFT</w:t>
                      </w:r>
                      <w:r w:rsidRPr="007B30ED">
                        <w:rPr>
                          <w:rFonts w:ascii="Arial" w:hAnsi="Arial" w:cs="Arial"/>
                          <w:b/>
                          <w:sz w:val="32"/>
                          <w:szCs w:val="32"/>
                        </w:rPr>
                        <w:t xml:space="preserve">S </w:t>
                      </w:r>
                    </w:p>
                    <w:p w14:paraId="17A40182" w14:textId="4D62044C" w:rsidR="007B30ED" w:rsidRPr="007B30ED" w:rsidRDefault="007B30ED" w:rsidP="007B30ED">
                      <w:pPr>
                        <w:jc w:val="center"/>
                        <w:rPr>
                          <w:rFonts w:ascii="Arial" w:hAnsi="Arial" w:cs="Arial"/>
                          <w:b/>
                          <w:sz w:val="32"/>
                          <w:szCs w:val="32"/>
                        </w:rPr>
                      </w:pPr>
                      <w:r w:rsidRPr="007B30ED">
                        <w:rPr>
                          <w:rFonts w:ascii="Arial" w:hAnsi="Arial" w:cs="Arial"/>
                          <w:b/>
                          <w:sz w:val="32"/>
                          <w:szCs w:val="32"/>
                        </w:rPr>
                        <w:t>ORIGINATING IN</w:t>
                      </w:r>
                    </w:p>
                    <w:p w14:paraId="09DAA6AE" w14:textId="77777777" w:rsidR="007B30ED" w:rsidRPr="007B30ED" w:rsidRDefault="007B30ED" w:rsidP="007B30ED">
                      <w:pPr>
                        <w:jc w:val="center"/>
                        <w:rPr>
                          <w:rFonts w:ascii="Arial" w:hAnsi="Arial" w:cs="Arial"/>
                          <w:b/>
                          <w:sz w:val="32"/>
                          <w:szCs w:val="32"/>
                        </w:rPr>
                      </w:pPr>
                      <w:r w:rsidRPr="007B30ED">
                        <w:rPr>
                          <w:rFonts w:ascii="Arial" w:hAnsi="Arial" w:cs="Arial"/>
                          <w:b/>
                          <w:sz w:val="32"/>
                          <w:szCs w:val="32"/>
                        </w:rPr>
                        <w:t>THE PEOPLE’S REPUBLIC OF CHINA</w:t>
                      </w:r>
                    </w:p>
                    <w:p w14:paraId="4B302EF8" w14:textId="24391B82" w:rsidR="00D40EF5" w:rsidRPr="002D7D87" w:rsidRDefault="00D40EF5" w:rsidP="007B30ED">
                      <w:pPr>
                        <w:jc w:val="center"/>
                        <w:rPr>
                          <w:rFonts w:ascii="Arial" w:hAnsi="Arial" w:cs="Arial"/>
                          <w:b/>
                          <w:color w:val="FFFFFF" w:themeColor="background1"/>
                          <w:sz w:val="32"/>
                          <w:szCs w:val="32"/>
                        </w:rPr>
                      </w:pPr>
                    </w:p>
                    <w:p w14:paraId="53B20D5A" w14:textId="77777777" w:rsidR="00D40EF5" w:rsidRPr="002D7D87" w:rsidRDefault="00D40EF5" w:rsidP="00D40EF5">
                      <w:pPr>
                        <w:jc w:val="center"/>
                        <w:rPr>
                          <w:rFonts w:ascii="Arial" w:hAnsi="Arial" w:cs="Arial"/>
                          <w:b/>
                          <w:sz w:val="32"/>
                          <w:szCs w:val="32"/>
                        </w:rPr>
                      </w:pPr>
                    </w:p>
                    <w:p w14:paraId="70B71500" w14:textId="77777777" w:rsidR="00D40EF5" w:rsidRPr="002D7D87" w:rsidRDefault="00D40EF5" w:rsidP="00D40EF5">
                      <w:pPr>
                        <w:jc w:val="center"/>
                        <w:rPr>
                          <w:rFonts w:ascii="Arial" w:hAnsi="Arial" w:cs="Arial"/>
                          <w:b/>
                          <w:sz w:val="32"/>
                          <w:szCs w:val="32"/>
                        </w:rPr>
                      </w:pPr>
                    </w:p>
                    <w:p w14:paraId="7BB17C27" w14:textId="16FFF2D0" w:rsidR="00B12166" w:rsidRPr="007B30ED" w:rsidRDefault="00B12166" w:rsidP="00D40EF5">
                      <w:pPr>
                        <w:jc w:val="center"/>
                        <w:rPr>
                          <w:rFonts w:ascii="Arial" w:hAnsi="Arial" w:cs="Arial"/>
                          <w:b/>
                          <w:sz w:val="32"/>
                          <w:szCs w:val="32"/>
                        </w:rPr>
                      </w:pPr>
                      <w:r w:rsidRPr="007B30ED">
                        <w:rPr>
                          <w:rFonts w:ascii="Arial" w:hAnsi="Arial" w:cs="Arial"/>
                          <w:b/>
                          <w:sz w:val="32"/>
                          <w:szCs w:val="32"/>
                        </w:rPr>
                        <w:t xml:space="preserve">COMMENTS </w:t>
                      </w:r>
                      <w:r w:rsidR="007B30ED" w:rsidRPr="007B30ED">
                        <w:rPr>
                          <w:rFonts w:ascii="Arial" w:hAnsi="Arial" w:cs="Arial" w:hint="eastAsia"/>
                          <w:b/>
                          <w:sz w:val="32"/>
                          <w:szCs w:val="32"/>
                        </w:rPr>
                        <w:t>ON</w:t>
                      </w:r>
                      <w:r w:rsidRPr="007B30ED">
                        <w:rPr>
                          <w:rFonts w:ascii="Arial" w:hAnsi="Arial" w:cs="Arial"/>
                          <w:b/>
                          <w:sz w:val="32"/>
                          <w:szCs w:val="32"/>
                        </w:rPr>
                        <w:t xml:space="preserve"> THE </w:t>
                      </w:r>
                      <w:r w:rsidR="007B30ED" w:rsidRPr="007B30ED">
                        <w:rPr>
                          <w:rFonts w:ascii="Arial" w:hAnsi="Arial" w:cs="Arial" w:hint="eastAsia"/>
                          <w:b/>
                          <w:sz w:val="32"/>
                          <w:szCs w:val="32"/>
                        </w:rPr>
                        <w:t>APPLICATION</w:t>
                      </w:r>
                      <w:r w:rsidR="00956957">
                        <w:rPr>
                          <w:rFonts w:ascii="Arial" w:hAnsi="Arial" w:cs="Arial"/>
                          <w:b/>
                          <w:sz w:val="32"/>
                          <w:szCs w:val="32"/>
                        </w:rPr>
                        <w:t xml:space="preserve"> AND THE INVESTIGATION</w:t>
                      </w:r>
                    </w:p>
                    <w:p w14:paraId="189B0DDB" w14:textId="62E37E17" w:rsidR="00C91793" w:rsidRDefault="00B12166" w:rsidP="00CC6DC5">
                      <w:pPr>
                        <w:jc w:val="center"/>
                        <w:rPr>
                          <w:rFonts w:ascii="Arial" w:hAnsi="Arial" w:cs="Arial"/>
                          <w:b/>
                          <w:sz w:val="32"/>
                          <w:szCs w:val="32"/>
                        </w:rPr>
                      </w:pPr>
                      <w:r w:rsidRPr="00B12166">
                        <w:rPr>
                          <w:rFonts w:ascii="Arial" w:hAnsi="Arial" w:cs="Arial"/>
                          <w:b/>
                          <w:sz w:val="32"/>
                          <w:szCs w:val="32"/>
                        </w:rPr>
                        <w:t>OF TH</w:t>
                      </w:r>
                      <w:r>
                        <w:rPr>
                          <w:rFonts w:ascii="Arial" w:hAnsi="Arial" w:cs="Arial"/>
                          <w:b/>
                          <w:sz w:val="32"/>
                          <w:szCs w:val="32"/>
                        </w:rPr>
                        <w:t xml:space="preserve">E </w:t>
                      </w:r>
                      <w:r w:rsidR="00D40EF5" w:rsidRPr="002D7D87">
                        <w:rPr>
                          <w:rFonts w:ascii="Arial" w:hAnsi="Arial" w:cs="Arial"/>
                          <w:b/>
                          <w:sz w:val="32"/>
                          <w:szCs w:val="32"/>
                        </w:rPr>
                        <w:t xml:space="preserve">GOVERNMENT OF THE </w:t>
                      </w:r>
                    </w:p>
                    <w:p w14:paraId="38944FF3" w14:textId="7E122179" w:rsidR="00D40EF5" w:rsidRPr="002D7D87" w:rsidRDefault="00D40EF5" w:rsidP="00D40EF5">
                      <w:pPr>
                        <w:spacing w:after="120"/>
                        <w:jc w:val="center"/>
                        <w:rPr>
                          <w:rFonts w:ascii="Arial" w:hAnsi="Arial" w:cs="Arial"/>
                          <w:b/>
                          <w:sz w:val="32"/>
                          <w:szCs w:val="32"/>
                        </w:rPr>
                      </w:pPr>
                      <w:r w:rsidRPr="002D7D87">
                        <w:rPr>
                          <w:rFonts w:ascii="Arial" w:hAnsi="Arial" w:cs="Arial"/>
                          <w:b/>
                          <w:sz w:val="32"/>
                          <w:szCs w:val="32"/>
                        </w:rPr>
                        <w:t>PEOPLE’S REPUBLIC OF CHINA</w:t>
                      </w:r>
                    </w:p>
                    <w:p w14:paraId="2CCBF060" w14:textId="77777777" w:rsidR="00D40EF5" w:rsidRPr="002D7D87" w:rsidRDefault="00D40EF5" w:rsidP="00D40EF5">
                      <w:pPr>
                        <w:jc w:val="center"/>
                        <w:rPr>
                          <w:rFonts w:ascii="Arial" w:hAnsi="Arial" w:cs="Arial"/>
                          <w:b/>
                          <w:sz w:val="32"/>
                          <w:szCs w:val="32"/>
                        </w:rPr>
                      </w:pPr>
                    </w:p>
                    <w:p w14:paraId="26D15736" w14:textId="77777777" w:rsidR="00D40EF5" w:rsidRPr="002D7D87" w:rsidRDefault="00D40EF5" w:rsidP="00D40EF5">
                      <w:pPr>
                        <w:jc w:val="center"/>
                        <w:rPr>
                          <w:rFonts w:ascii="Arial" w:hAnsi="Arial" w:cs="Arial"/>
                          <w:b/>
                          <w:sz w:val="32"/>
                          <w:szCs w:val="32"/>
                        </w:rPr>
                      </w:pPr>
                    </w:p>
                    <w:p w14:paraId="480B7F45" w14:textId="77777777" w:rsidR="00D40EF5" w:rsidRPr="002D7D87" w:rsidRDefault="00D40EF5" w:rsidP="00D40EF5">
                      <w:pPr>
                        <w:ind w:left="1134" w:right="1379"/>
                        <w:jc w:val="center"/>
                        <w:rPr>
                          <w:rFonts w:ascii="Arial" w:hAnsi="Arial" w:cs="Arial"/>
                          <w:b/>
                          <w:bCs/>
                          <w:sz w:val="32"/>
                          <w:szCs w:val="32"/>
                        </w:rPr>
                      </w:pPr>
                      <w:r>
                        <w:rPr>
                          <w:rFonts w:ascii="Arial" w:hAnsi="Arial" w:cs="Arial"/>
                          <w:b/>
                          <w:bCs/>
                          <w:sz w:val="32"/>
                          <w:szCs w:val="32"/>
                        </w:rPr>
                        <w:t>OPEN</w:t>
                      </w:r>
                      <w:r w:rsidRPr="002D7D87">
                        <w:rPr>
                          <w:rFonts w:ascii="Arial" w:hAnsi="Arial" w:cs="Arial"/>
                          <w:b/>
                          <w:bCs/>
                          <w:sz w:val="32"/>
                          <w:szCs w:val="32"/>
                        </w:rPr>
                        <w:t xml:space="preserve"> VERSION</w:t>
                      </w:r>
                    </w:p>
                    <w:p w14:paraId="7C1E4CEF" w14:textId="77777777" w:rsidR="00D40EF5" w:rsidRPr="002D7D87" w:rsidRDefault="00D40EF5" w:rsidP="00D40EF5">
                      <w:pPr>
                        <w:ind w:left="1134" w:right="1379"/>
                        <w:jc w:val="center"/>
                        <w:rPr>
                          <w:rFonts w:ascii="Arial" w:hAnsi="Arial" w:cs="Arial"/>
                          <w:b/>
                          <w:bCs/>
                          <w:sz w:val="32"/>
                          <w:szCs w:val="32"/>
                        </w:rPr>
                      </w:pPr>
                    </w:p>
                    <w:p w14:paraId="317A68FB" w14:textId="77777777" w:rsidR="00D40EF5" w:rsidRPr="002D7D87" w:rsidRDefault="00D40EF5" w:rsidP="00D40EF5">
                      <w:pPr>
                        <w:ind w:left="1134" w:right="1379"/>
                        <w:jc w:val="center"/>
                        <w:rPr>
                          <w:rFonts w:ascii="Arial" w:hAnsi="Arial" w:cs="Arial"/>
                          <w:b/>
                          <w:bCs/>
                          <w:sz w:val="32"/>
                          <w:szCs w:val="32"/>
                        </w:rPr>
                      </w:pPr>
                    </w:p>
                    <w:p w14:paraId="401A3E46" w14:textId="321942A0" w:rsidR="00D40EF5" w:rsidRPr="002D7D87" w:rsidRDefault="00D40EF5" w:rsidP="00D40EF5">
                      <w:pPr>
                        <w:jc w:val="center"/>
                        <w:rPr>
                          <w:rFonts w:ascii="Arial" w:hAnsi="Arial" w:cs="Arial"/>
                          <w:b/>
                          <w:bCs/>
                          <w:sz w:val="32"/>
                          <w:szCs w:val="32"/>
                        </w:rPr>
                      </w:pPr>
                      <w:r w:rsidRPr="002D7D87">
                        <w:rPr>
                          <w:rFonts w:ascii="Arial" w:hAnsi="Arial" w:cs="Arial"/>
                          <w:b/>
                          <w:bCs/>
                          <w:sz w:val="32"/>
                          <w:szCs w:val="32"/>
                        </w:rPr>
                        <w:t xml:space="preserve"> </w:t>
                      </w:r>
                      <w:r w:rsidR="006F3A09">
                        <w:rPr>
                          <w:rFonts w:ascii="Arial" w:hAnsi="Arial" w:cs="Arial"/>
                          <w:b/>
                          <w:bCs/>
                          <w:sz w:val="32"/>
                          <w:szCs w:val="32"/>
                        </w:rPr>
                        <w:t>3</w:t>
                      </w:r>
                      <w:r w:rsidR="00CC6DC5">
                        <w:rPr>
                          <w:rFonts w:ascii="Arial" w:hAnsi="Arial" w:cs="Arial"/>
                          <w:b/>
                          <w:bCs/>
                          <w:sz w:val="32"/>
                          <w:szCs w:val="32"/>
                        </w:rPr>
                        <w:t xml:space="preserve"> </w:t>
                      </w:r>
                      <w:r w:rsidR="00321319">
                        <w:rPr>
                          <w:rFonts w:ascii="Arial" w:hAnsi="Arial" w:cs="Arial"/>
                          <w:b/>
                          <w:bCs/>
                          <w:sz w:val="32"/>
                          <w:szCs w:val="32"/>
                        </w:rPr>
                        <w:t>January 2024</w:t>
                      </w:r>
                    </w:p>
                  </w:txbxContent>
                </v:textbox>
                <w10:wrap type="topAndBottom"/>
              </v:shape>
            </w:pict>
          </mc:Fallback>
        </mc:AlternateContent>
      </w:r>
    </w:p>
    <w:p w14:paraId="30E404B1" w14:textId="77777777" w:rsidR="00D40EF5" w:rsidRPr="0044150C" w:rsidRDefault="00D40EF5" w:rsidP="00D40EF5">
      <w:pPr>
        <w:tabs>
          <w:tab w:val="left" w:pos="5180"/>
        </w:tabs>
        <w:rPr>
          <w:rFonts w:ascii="Arial" w:hAnsi="Arial" w:cs="Arial"/>
          <w:sz w:val="24"/>
          <w:szCs w:val="24"/>
          <w:lang w:val="en-GB"/>
        </w:rPr>
      </w:pPr>
    </w:p>
    <w:p w14:paraId="3694C2E8" w14:textId="77777777" w:rsidR="00D40EF5" w:rsidRPr="0044150C" w:rsidRDefault="00D40EF5" w:rsidP="00D40EF5">
      <w:pPr>
        <w:tabs>
          <w:tab w:val="left" w:pos="5180"/>
        </w:tabs>
        <w:rPr>
          <w:rFonts w:ascii="Arial" w:hAnsi="Arial" w:cs="Arial"/>
          <w:sz w:val="24"/>
          <w:szCs w:val="24"/>
          <w:lang w:val="en-GB"/>
        </w:rPr>
      </w:pPr>
    </w:p>
    <w:p w14:paraId="04061880" w14:textId="77777777" w:rsidR="00D40EF5" w:rsidRPr="0044150C" w:rsidRDefault="00D40EF5" w:rsidP="00D40EF5">
      <w:pPr>
        <w:jc w:val="left"/>
        <w:rPr>
          <w:rFonts w:ascii="Arial" w:hAnsi="Arial" w:cs="Arial"/>
          <w:sz w:val="24"/>
          <w:szCs w:val="24"/>
          <w:lang w:val="en-GB"/>
        </w:rPr>
      </w:pPr>
      <w:r w:rsidRPr="0044150C">
        <w:rPr>
          <w:rFonts w:ascii="Arial" w:hAnsi="Arial" w:cs="Arial"/>
          <w:sz w:val="24"/>
          <w:szCs w:val="24"/>
          <w:lang w:val="en-GB"/>
        </w:rPr>
        <w:br w:type="page"/>
      </w:r>
    </w:p>
    <w:p w14:paraId="78E68E49" w14:textId="77777777" w:rsidR="00D40EF5" w:rsidRPr="0044150C" w:rsidRDefault="00D40EF5" w:rsidP="000760FD">
      <w:pPr>
        <w:tabs>
          <w:tab w:val="left" w:pos="630"/>
          <w:tab w:val="left" w:pos="5180"/>
        </w:tabs>
        <w:spacing w:line="240" w:lineRule="auto"/>
        <w:jc w:val="center"/>
        <w:rPr>
          <w:rFonts w:ascii="Arial" w:hAnsi="Arial" w:cs="Arial"/>
          <w:sz w:val="28"/>
          <w:szCs w:val="28"/>
          <w:lang w:val="en-GB"/>
        </w:rPr>
      </w:pPr>
      <w:r w:rsidRPr="0044150C">
        <w:rPr>
          <w:rFonts w:ascii="Arial" w:hAnsi="Arial" w:cs="Arial"/>
          <w:sz w:val="28"/>
          <w:szCs w:val="28"/>
          <w:lang w:val="en-GB"/>
        </w:rPr>
        <w:lastRenderedPageBreak/>
        <w:t>TABLE OF CONTENTS</w:t>
      </w:r>
    </w:p>
    <w:sdt>
      <w:sdtPr>
        <w:rPr>
          <w:rFonts w:asciiTheme="minorHAnsi" w:hAnsiTheme="minorHAnsi" w:cstheme="minorBidi"/>
          <w:b w:val="0"/>
          <w:bCs w:val="0"/>
          <w:caps w:val="0"/>
          <w:noProof w:val="0"/>
          <w:sz w:val="22"/>
          <w:szCs w:val="22"/>
          <w:lang w:val="en-GB"/>
        </w:rPr>
        <w:id w:val="169458207"/>
        <w:docPartObj>
          <w:docPartGallery w:val="Table of Contents"/>
          <w:docPartUnique/>
        </w:docPartObj>
      </w:sdtPr>
      <w:sdtEndPr/>
      <w:sdtContent>
        <w:p w14:paraId="7F585242" w14:textId="03990017" w:rsidR="00B727FF" w:rsidRDefault="00D40EF5" w:rsidP="008E501A">
          <w:pPr>
            <w:pStyle w:val="TOC1"/>
            <w:rPr>
              <w:rFonts w:asciiTheme="minorHAnsi" w:hAnsiTheme="minorHAnsi"/>
              <w:kern w:val="2"/>
              <w:sz w:val="21"/>
              <w:szCs w:val="22"/>
            </w:rPr>
          </w:pPr>
          <w:r w:rsidRPr="0044150C">
            <w:rPr>
              <w:sz w:val="22"/>
              <w:szCs w:val="22"/>
              <w:lang w:val="en-GB"/>
            </w:rPr>
            <w:fldChar w:fldCharType="begin"/>
          </w:r>
          <w:r w:rsidRPr="0044150C">
            <w:rPr>
              <w:sz w:val="22"/>
              <w:szCs w:val="22"/>
              <w:lang w:val="en-GB"/>
            </w:rPr>
            <w:instrText xml:space="preserve"> TOC \o "1-3" \h \z \u </w:instrText>
          </w:r>
          <w:r w:rsidRPr="0044150C">
            <w:rPr>
              <w:sz w:val="22"/>
              <w:szCs w:val="22"/>
              <w:lang w:val="en-GB"/>
            </w:rPr>
            <w:fldChar w:fldCharType="separate"/>
          </w:r>
          <w:hyperlink w:anchor="_Toc226652282" w:history="1">
            <w:r w:rsidR="00B727FF" w:rsidRPr="008C2E37">
              <w:rPr>
                <w:rStyle w:val="a4"/>
              </w:rPr>
              <w:t>1</w:t>
            </w:r>
            <w:r w:rsidR="00B727FF">
              <w:rPr>
                <w:rFonts w:asciiTheme="minorHAnsi" w:hAnsiTheme="minorHAnsi"/>
                <w:kern w:val="2"/>
                <w:sz w:val="21"/>
                <w:szCs w:val="22"/>
              </w:rPr>
              <w:tab/>
            </w:r>
            <w:r w:rsidR="00B727FF" w:rsidRPr="008E501A">
              <w:rPr>
                <w:rStyle w:val="a4"/>
              </w:rPr>
              <w:t>Introduction</w:t>
            </w:r>
            <w:r w:rsidR="00B727FF">
              <w:rPr>
                <w:webHidden/>
              </w:rPr>
              <w:tab/>
            </w:r>
            <w:r w:rsidR="00B727FF">
              <w:rPr>
                <w:webHidden/>
              </w:rPr>
              <w:fldChar w:fldCharType="begin"/>
            </w:r>
            <w:r w:rsidR="00B727FF">
              <w:rPr>
                <w:webHidden/>
              </w:rPr>
              <w:instrText xml:space="preserve"> PAGEREF _Toc226652282 \h </w:instrText>
            </w:r>
            <w:r w:rsidR="00B727FF">
              <w:rPr>
                <w:webHidden/>
              </w:rPr>
            </w:r>
            <w:r w:rsidR="00B727FF">
              <w:rPr>
                <w:webHidden/>
              </w:rPr>
              <w:fldChar w:fldCharType="separate"/>
            </w:r>
            <w:r w:rsidR="00B727FF">
              <w:rPr>
                <w:webHidden/>
              </w:rPr>
              <w:t>3</w:t>
            </w:r>
            <w:r w:rsidR="00B727FF">
              <w:rPr>
                <w:webHidden/>
              </w:rPr>
              <w:fldChar w:fldCharType="end"/>
            </w:r>
          </w:hyperlink>
        </w:p>
        <w:p w14:paraId="7A589CA4" w14:textId="60AD732B" w:rsidR="00B727FF" w:rsidRDefault="00A8371D" w:rsidP="008E501A">
          <w:pPr>
            <w:pStyle w:val="TOC1"/>
            <w:rPr>
              <w:rFonts w:asciiTheme="minorHAnsi" w:hAnsiTheme="minorHAnsi"/>
              <w:kern w:val="2"/>
              <w:sz w:val="21"/>
              <w:szCs w:val="22"/>
            </w:rPr>
          </w:pPr>
          <w:hyperlink w:anchor="_Toc226652283" w:history="1">
            <w:r w:rsidR="00B727FF" w:rsidRPr="008C2E37">
              <w:rPr>
                <w:rStyle w:val="a4"/>
              </w:rPr>
              <w:t>2</w:t>
            </w:r>
            <w:r w:rsidR="00B727FF">
              <w:rPr>
                <w:rFonts w:asciiTheme="minorHAnsi" w:hAnsiTheme="minorHAnsi"/>
                <w:kern w:val="2"/>
                <w:sz w:val="21"/>
                <w:szCs w:val="22"/>
              </w:rPr>
              <w:tab/>
            </w:r>
            <w:r w:rsidR="00B727FF" w:rsidRPr="008E501A">
              <w:rPr>
                <w:rStyle w:val="a4"/>
              </w:rPr>
              <w:t>SUBSIDIZATION</w:t>
            </w:r>
            <w:r w:rsidR="00B727FF">
              <w:rPr>
                <w:webHidden/>
              </w:rPr>
              <w:tab/>
            </w:r>
            <w:r w:rsidR="00B727FF">
              <w:rPr>
                <w:webHidden/>
              </w:rPr>
              <w:fldChar w:fldCharType="begin"/>
            </w:r>
            <w:r w:rsidR="00B727FF">
              <w:rPr>
                <w:webHidden/>
              </w:rPr>
              <w:instrText xml:space="preserve"> PAGEREF _Toc226652283 \h </w:instrText>
            </w:r>
            <w:r w:rsidR="00B727FF">
              <w:rPr>
                <w:webHidden/>
              </w:rPr>
            </w:r>
            <w:r w:rsidR="00B727FF">
              <w:rPr>
                <w:webHidden/>
              </w:rPr>
              <w:fldChar w:fldCharType="separate"/>
            </w:r>
            <w:r w:rsidR="00B727FF">
              <w:rPr>
                <w:webHidden/>
              </w:rPr>
              <w:t>3</w:t>
            </w:r>
            <w:r w:rsidR="00B727FF">
              <w:rPr>
                <w:webHidden/>
              </w:rPr>
              <w:fldChar w:fldCharType="end"/>
            </w:r>
          </w:hyperlink>
        </w:p>
        <w:p w14:paraId="347E4AB9" w14:textId="5C40F4F1" w:rsidR="00B727FF" w:rsidRDefault="00A8371D">
          <w:pPr>
            <w:pStyle w:val="TOC2"/>
            <w:rPr>
              <w:rFonts w:asciiTheme="minorHAnsi" w:hAnsiTheme="minorHAnsi" w:cstheme="minorBidi"/>
              <w:b w:val="0"/>
              <w:bCs w:val="0"/>
              <w:kern w:val="2"/>
              <w:sz w:val="21"/>
            </w:rPr>
          </w:pPr>
          <w:hyperlink w:anchor="_Toc226652284" w:history="1">
            <w:r w:rsidR="00B727FF" w:rsidRPr="008C2E37">
              <w:rPr>
                <w:rStyle w:val="a4"/>
                <w:lang w:val="en-GB"/>
              </w:rPr>
              <w:t>2.1</w:t>
            </w:r>
            <w:r w:rsidR="00B727FF">
              <w:rPr>
                <w:rFonts w:asciiTheme="minorHAnsi" w:hAnsiTheme="minorHAnsi" w:cstheme="minorBidi"/>
                <w:b w:val="0"/>
                <w:bCs w:val="0"/>
                <w:kern w:val="2"/>
                <w:sz w:val="21"/>
              </w:rPr>
              <w:tab/>
            </w:r>
            <w:r w:rsidR="00B727FF" w:rsidRPr="008C2E37">
              <w:rPr>
                <w:rStyle w:val="a4"/>
                <w:lang w:val="en-GB"/>
              </w:rPr>
              <w:t>Applicable legal standard</w:t>
            </w:r>
            <w:r w:rsidR="00B727FF">
              <w:rPr>
                <w:webHidden/>
              </w:rPr>
              <w:tab/>
            </w:r>
            <w:r w:rsidR="00B727FF">
              <w:rPr>
                <w:webHidden/>
              </w:rPr>
              <w:fldChar w:fldCharType="begin"/>
            </w:r>
            <w:r w:rsidR="00B727FF">
              <w:rPr>
                <w:webHidden/>
              </w:rPr>
              <w:instrText xml:space="preserve"> PAGEREF _Toc226652284 \h </w:instrText>
            </w:r>
            <w:r w:rsidR="00B727FF">
              <w:rPr>
                <w:webHidden/>
              </w:rPr>
            </w:r>
            <w:r w:rsidR="00B727FF">
              <w:rPr>
                <w:webHidden/>
              </w:rPr>
              <w:fldChar w:fldCharType="separate"/>
            </w:r>
            <w:r w:rsidR="00B727FF">
              <w:rPr>
                <w:webHidden/>
              </w:rPr>
              <w:t>4</w:t>
            </w:r>
            <w:r w:rsidR="00B727FF">
              <w:rPr>
                <w:webHidden/>
              </w:rPr>
              <w:fldChar w:fldCharType="end"/>
            </w:r>
          </w:hyperlink>
        </w:p>
        <w:p w14:paraId="6C055A85" w14:textId="2C10E9B4" w:rsidR="00B727FF" w:rsidRDefault="00A8371D">
          <w:pPr>
            <w:pStyle w:val="TOC2"/>
            <w:rPr>
              <w:rFonts w:asciiTheme="minorHAnsi" w:hAnsiTheme="minorHAnsi" w:cstheme="minorBidi"/>
              <w:b w:val="0"/>
              <w:bCs w:val="0"/>
              <w:kern w:val="2"/>
              <w:sz w:val="21"/>
            </w:rPr>
          </w:pPr>
          <w:hyperlink w:anchor="_Toc226652285" w:history="1">
            <w:r w:rsidR="00B727FF" w:rsidRPr="008C2E37">
              <w:rPr>
                <w:rStyle w:val="a4"/>
                <w:lang w:val="en-GB"/>
              </w:rPr>
              <w:t>2.2</w:t>
            </w:r>
            <w:r w:rsidR="00B727FF">
              <w:rPr>
                <w:rFonts w:asciiTheme="minorHAnsi" w:hAnsiTheme="minorHAnsi" w:cstheme="minorBidi"/>
                <w:b w:val="0"/>
                <w:bCs w:val="0"/>
                <w:kern w:val="2"/>
                <w:sz w:val="21"/>
              </w:rPr>
              <w:tab/>
            </w:r>
            <w:r w:rsidR="00B727FF" w:rsidRPr="008C2E37">
              <w:rPr>
                <w:rStyle w:val="a4"/>
                <w:lang w:val="en-GB"/>
              </w:rPr>
              <w:t>Boom lift industry is not an “encouraged” industry.</w:t>
            </w:r>
            <w:r w:rsidR="00B727FF">
              <w:rPr>
                <w:webHidden/>
              </w:rPr>
              <w:tab/>
            </w:r>
            <w:r w:rsidR="00B727FF">
              <w:rPr>
                <w:webHidden/>
              </w:rPr>
              <w:fldChar w:fldCharType="begin"/>
            </w:r>
            <w:r w:rsidR="00B727FF">
              <w:rPr>
                <w:webHidden/>
              </w:rPr>
              <w:instrText xml:space="preserve"> PAGEREF _Toc226652285 \h </w:instrText>
            </w:r>
            <w:r w:rsidR="00B727FF">
              <w:rPr>
                <w:webHidden/>
              </w:rPr>
            </w:r>
            <w:r w:rsidR="00B727FF">
              <w:rPr>
                <w:webHidden/>
              </w:rPr>
              <w:fldChar w:fldCharType="separate"/>
            </w:r>
            <w:r w:rsidR="00B727FF">
              <w:rPr>
                <w:webHidden/>
              </w:rPr>
              <w:t>6</w:t>
            </w:r>
            <w:r w:rsidR="00B727FF">
              <w:rPr>
                <w:webHidden/>
              </w:rPr>
              <w:fldChar w:fldCharType="end"/>
            </w:r>
          </w:hyperlink>
        </w:p>
        <w:p w14:paraId="246E8CD1" w14:textId="3E7178EA" w:rsidR="00B727FF" w:rsidRDefault="00A8371D">
          <w:pPr>
            <w:pStyle w:val="TOC2"/>
            <w:rPr>
              <w:rFonts w:asciiTheme="minorHAnsi" w:hAnsiTheme="minorHAnsi" w:cstheme="minorBidi"/>
              <w:b w:val="0"/>
              <w:bCs w:val="0"/>
              <w:kern w:val="2"/>
              <w:sz w:val="21"/>
            </w:rPr>
          </w:pPr>
          <w:hyperlink w:anchor="_Toc226652286" w:history="1">
            <w:r w:rsidR="00B727FF" w:rsidRPr="008C2E37">
              <w:rPr>
                <w:rStyle w:val="a4"/>
                <w:lang w:val="en-GB"/>
              </w:rPr>
              <w:t>2.3</w:t>
            </w:r>
            <w:r w:rsidR="00B727FF">
              <w:rPr>
                <w:rFonts w:asciiTheme="minorHAnsi" w:hAnsiTheme="minorHAnsi" w:cstheme="minorBidi"/>
                <w:b w:val="0"/>
                <w:bCs w:val="0"/>
                <w:kern w:val="2"/>
                <w:sz w:val="21"/>
              </w:rPr>
              <w:tab/>
            </w:r>
            <w:r w:rsidR="00B727FF" w:rsidRPr="008C2E37">
              <w:rPr>
                <w:rStyle w:val="a4"/>
                <w:lang w:val="en-GB"/>
              </w:rPr>
              <w:t>Alleged government revenue forgone or not collected</w:t>
            </w:r>
            <w:r w:rsidR="00B727FF">
              <w:rPr>
                <w:webHidden/>
              </w:rPr>
              <w:tab/>
            </w:r>
            <w:r w:rsidR="00B727FF">
              <w:rPr>
                <w:webHidden/>
              </w:rPr>
              <w:fldChar w:fldCharType="begin"/>
            </w:r>
            <w:r w:rsidR="00B727FF">
              <w:rPr>
                <w:webHidden/>
              </w:rPr>
              <w:instrText xml:space="preserve"> PAGEREF _Toc226652286 \h </w:instrText>
            </w:r>
            <w:r w:rsidR="00B727FF">
              <w:rPr>
                <w:webHidden/>
              </w:rPr>
            </w:r>
            <w:r w:rsidR="00B727FF">
              <w:rPr>
                <w:webHidden/>
              </w:rPr>
              <w:fldChar w:fldCharType="separate"/>
            </w:r>
            <w:r w:rsidR="00B727FF">
              <w:rPr>
                <w:webHidden/>
              </w:rPr>
              <w:t>9</w:t>
            </w:r>
            <w:r w:rsidR="00B727FF">
              <w:rPr>
                <w:webHidden/>
              </w:rPr>
              <w:fldChar w:fldCharType="end"/>
            </w:r>
          </w:hyperlink>
        </w:p>
        <w:p w14:paraId="401CE200" w14:textId="1200ADAF" w:rsidR="00B727FF" w:rsidRDefault="00A8371D">
          <w:pPr>
            <w:pStyle w:val="TOC3"/>
            <w:tabs>
              <w:tab w:val="left" w:pos="1260"/>
              <w:tab w:val="right" w:leader="dot" w:pos="9016"/>
            </w:tabs>
            <w:rPr>
              <w:rFonts w:cstheme="minorBidi"/>
              <w:noProof/>
              <w:kern w:val="2"/>
              <w:sz w:val="21"/>
              <w:lang w:eastAsia="zh-CN"/>
            </w:rPr>
          </w:pPr>
          <w:hyperlink w:anchor="_Toc226652287" w:history="1">
            <w:r w:rsidR="00B727FF" w:rsidRPr="008C2E37">
              <w:rPr>
                <w:rStyle w:val="a4"/>
                <w:rFonts w:ascii="Arial" w:hAnsi="Arial" w:cs="Arial"/>
                <w:b/>
                <w:bCs/>
                <w:noProof/>
                <w:lang w:val="en-GB"/>
              </w:rPr>
              <w:t>2.3.1</w:t>
            </w:r>
            <w:r w:rsidR="00B727FF">
              <w:rPr>
                <w:rFonts w:cstheme="minorBidi"/>
                <w:noProof/>
                <w:kern w:val="2"/>
                <w:sz w:val="21"/>
                <w:lang w:eastAsia="zh-CN"/>
              </w:rPr>
              <w:tab/>
            </w:r>
            <w:r w:rsidR="00B727FF" w:rsidRPr="008C2E37">
              <w:rPr>
                <w:rStyle w:val="a4"/>
                <w:rFonts w:ascii="Arial" w:eastAsia="Times New Roman" w:hAnsi="Arial" w:cs="Arial"/>
                <w:b/>
                <w:bCs/>
                <w:noProof/>
                <w:lang w:val="en-GB"/>
              </w:rPr>
              <w:t>Reduced corporate tax rates for High and New Technology Enterprises</w:t>
            </w:r>
            <w:r w:rsidR="00B727FF">
              <w:rPr>
                <w:noProof/>
                <w:webHidden/>
              </w:rPr>
              <w:tab/>
            </w:r>
            <w:r w:rsidR="00B727FF">
              <w:rPr>
                <w:noProof/>
                <w:webHidden/>
              </w:rPr>
              <w:fldChar w:fldCharType="begin"/>
            </w:r>
            <w:r w:rsidR="00B727FF">
              <w:rPr>
                <w:noProof/>
                <w:webHidden/>
              </w:rPr>
              <w:instrText xml:space="preserve"> PAGEREF _Toc226652287 \h </w:instrText>
            </w:r>
            <w:r w:rsidR="00B727FF">
              <w:rPr>
                <w:noProof/>
                <w:webHidden/>
              </w:rPr>
            </w:r>
            <w:r w:rsidR="00B727FF">
              <w:rPr>
                <w:noProof/>
                <w:webHidden/>
              </w:rPr>
              <w:fldChar w:fldCharType="separate"/>
            </w:r>
            <w:r w:rsidR="00B727FF">
              <w:rPr>
                <w:noProof/>
                <w:webHidden/>
              </w:rPr>
              <w:t>9</w:t>
            </w:r>
            <w:r w:rsidR="00B727FF">
              <w:rPr>
                <w:noProof/>
                <w:webHidden/>
              </w:rPr>
              <w:fldChar w:fldCharType="end"/>
            </w:r>
          </w:hyperlink>
        </w:p>
        <w:p w14:paraId="2F16FD0E" w14:textId="652794D0" w:rsidR="00B727FF" w:rsidRDefault="00A8371D">
          <w:pPr>
            <w:pStyle w:val="TOC3"/>
            <w:tabs>
              <w:tab w:val="left" w:pos="1260"/>
              <w:tab w:val="right" w:leader="dot" w:pos="9016"/>
            </w:tabs>
            <w:rPr>
              <w:rFonts w:cstheme="minorBidi"/>
              <w:noProof/>
              <w:kern w:val="2"/>
              <w:sz w:val="21"/>
              <w:lang w:eastAsia="zh-CN"/>
            </w:rPr>
          </w:pPr>
          <w:hyperlink w:anchor="_Toc226652288" w:history="1">
            <w:r w:rsidR="00B727FF" w:rsidRPr="008C2E37">
              <w:rPr>
                <w:rStyle w:val="a4"/>
                <w:rFonts w:ascii="Arial" w:hAnsi="Arial" w:cs="Arial"/>
                <w:b/>
                <w:bCs/>
                <w:noProof/>
                <w:lang w:val="en-GB"/>
              </w:rPr>
              <w:t>2.3.2</w:t>
            </w:r>
            <w:r w:rsidR="00B727FF">
              <w:rPr>
                <w:rFonts w:cstheme="minorBidi"/>
                <w:noProof/>
                <w:kern w:val="2"/>
                <w:sz w:val="21"/>
                <w:lang w:eastAsia="zh-CN"/>
              </w:rPr>
              <w:tab/>
            </w:r>
            <w:r w:rsidR="00B727FF" w:rsidRPr="008C2E37">
              <w:rPr>
                <w:rStyle w:val="a4"/>
                <w:rFonts w:ascii="Arial" w:hAnsi="Arial" w:cs="Arial"/>
                <w:b/>
                <w:bCs/>
                <w:noProof/>
                <w:lang w:val="en-GB"/>
              </w:rPr>
              <w:t>Accelerated Depreciation Programme</w:t>
            </w:r>
            <w:r w:rsidR="00B727FF">
              <w:rPr>
                <w:noProof/>
                <w:webHidden/>
              </w:rPr>
              <w:tab/>
            </w:r>
            <w:r w:rsidR="00B727FF">
              <w:rPr>
                <w:noProof/>
                <w:webHidden/>
              </w:rPr>
              <w:fldChar w:fldCharType="begin"/>
            </w:r>
            <w:r w:rsidR="00B727FF">
              <w:rPr>
                <w:noProof/>
                <w:webHidden/>
              </w:rPr>
              <w:instrText xml:space="preserve"> PAGEREF _Toc226652288 \h </w:instrText>
            </w:r>
            <w:r w:rsidR="00B727FF">
              <w:rPr>
                <w:noProof/>
                <w:webHidden/>
              </w:rPr>
            </w:r>
            <w:r w:rsidR="00B727FF">
              <w:rPr>
                <w:noProof/>
                <w:webHidden/>
              </w:rPr>
              <w:fldChar w:fldCharType="separate"/>
            </w:r>
            <w:r w:rsidR="00B727FF">
              <w:rPr>
                <w:noProof/>
                <w:webHidden/>
              </w:rPr>
              <w:t>10</w:t>
            </w:r>
            <w:r w:rsidR="00B727FF">
              <w:rPr>
                <w:noProof/>
                <w:webHidden/>
              </w:rPr>
              <w:fldChar w:fldCharType="end"/>
            </w:r>
          </w:hyperlink>
        </w:p>
        <w:p w14:paraId="1FF6E0DF" w14:textId="3274119B" w:rsidR="00B727FF" w:rsidRDefault="00A8371D">
          <w:pPr>
            <w:pStyle w:val="TOC3"/>
            <w:tabs>
              <w:tab w:val="left" w:pos="1260"/>
              <w:tab w:val="right" w:leader="dot" w:pos="9016"/>
            </w:tabs>
            <w:rPr>
              <w:rFonts w:cstheme="minorBidi"/>
              <w:noProof/>
              <w:kern w:val="2"/>
              <w:sz w:val="21"/>
              <w:lang w:eastAsia="zh-CN"/>
            </w:rPr>
          </w:pPr>
          <w:hyperlink w:anchor="_Toc226652289" w:history="1">
            <w:r w:rsidR="00B727FF" w:rsidRPr="008C2E37">
              <w:rPr>
                <w:rStyle w:val="a4"/>
                <w:rFonts w:ascii="Arial" w:hAnsi="Arial" w:cs="Arial"/>
                <w:b/>
                <w:bCs/>
                <w:noProof/>
                <w:lang w:val="en-GB"/>
              </w:rPr>
              <w:t>2.3.3</w:t>
            </w:r>
            <w:r w:rsidR="00B727FF">
              <w:rPr>
                <w:rFonts w:cstheme="minorBidi"/>
                <w:noProof/>
                <w:kern w:val="2"/>
                <w:sz w:val="21"/>
                <w:lang w:eastAsia="zh-CN"/>
              </w:rPr>
              <w:tab/>
            </w:r>
            <w:r w:rsidR="00B727FF" w:rsidRPr="008C2E37">
              <w:rPr>
                <w:rStyle w:val="a4"/>
                <w:rFonts w:ascii="Arial" w:hAnsi="Arial" w:cs="Arial"/>
                <w:b/>
                <w:bCs/>
                <w:noProof/>
                <w:lang w:val="en-GB"/>
              </w:rPr>
              <w:t>R&amp;D ‘Super-Deductions’</w:t>
            </w:r>
            <w:r w:rsidR="00B727FF">
              <w:rPr>
                <w:noProof/>
                <w:webHidden/>
              </w:rPr>
              <w:tab/>
            </w:r>
            <w:r w:rsidR="00B727FF">
              <w:rPr>
                <w:noProof/>
                <w:webHidden/>
              </w:rPr>
              <w:fldChar w:fldCharType="begin"/>
            </w:r>
            <w:r w:rsidR="00B727FF">
              <w:rPr>
                <w:noProof/>
                <w:webHidden/>
              </w:rPr>
              <w:instrText xml:space="preserve"> PAGEREF _Toc226652289 \h </w:instrText>
            </w:r>
            <w:r w:rsidR="00B727FF">
              <w:rPr>
                <w:noProof/>
                <w:webHidden/>
              </w:rPr>
            </w:r>
            <w:r w:rsidR="00B727FF">
              <w:rPr>
                <w:noProof/>
                <w:webHidden/>
              </w:rPr>
              <w:fldChar w:fldCharType="separate"/>
            </w:r>
            <w:r w:rsidR="00B727FF">
              <w:rPr>
                <w:noProof/>
                <w:webHidden/>
              </w:rPr>
              <w:t>11</w:t>
            </w:r>
            <w:r w:rsidR="00B727FF">
              <w:rPr>
                <w:noProof/>
                <w:webHidden/>
              </w:rPr>
              <w:fldChar w:fldCharType="end"/>
            </w:r>
          </w:hyperlink>
        </w:p>
        <w:p w14:paraId="5D1D9C3C" w14:textId="56AE050D" w:rsidR="00B727FF" w:rsidRDefault="00A8371D">
          <w:pPr>
            <w:pStyle w:val="TOC3"/>
            <w:tabs>
              <w:tab w:val="left" w:pos="1260"/>
              <w:tab w:val="right" w:leader="dot" w:pos="9016"/>
            </w:tabs>
            <w:rPr>
              <w:rFonts w:cstheme="minorBidi"/>
              <w:noProof/>
              <w:kern w:val="2"/>
              <w:sz w:val="21"/>
              <w:lang w:eastAsia="zh-CN"/>
            </w:rPr>
          </w:pPr>
          <w:hyperlink w:anchor="_Toc226652290" w:history="1">
            <w:r w:rsidR="00B727FF" w:rsidRPr="008C2E37">
              <w:rPr>
                <w:rStyle w:val="a4"/>
                <w:rFonts w:ascii="Arial" w:hAnsi="Arial" w:cs="Arial"/>
                <w:b/>
                <w:bCs/>
                <w:noProof/>
                <w:lang w:val="en-GB"/>
              </w:rPr>
              <w:t>2.3.4</w:t>
            </w:r>
            <w:r w:rsidR="00B727FF">
              <w:rPr>
                <w:rFonts w:cstheme="minorBidi"/>
                <w:noProof/>
                <w:kern w:val="2"/>
                <w:sz w:val="21"/>
                <w:lang w:eastAsia="zh-CN"/>
              </w:rPr>
              <w:tab/>
            </w:r>
            <w:r w:rsidR="00B727FF" w:rsidRPr="008C2E37">
              <w:rPr>
                <w:rStyle w:val="a4"/>
                <w:rFonts w:ascii="Arial" w:hAnsi="Arial" w:cs="Arial"/>
                <w:b/>
                <w:bCs/>
                <w:noProof/>
                <w:lang w:val="en-GB"/>
              </w:rPr>
              <w:t>Qualified Dividend exemption between resident enterprises to avoid double taxation</w:t>
            </w:r>
            <w:r w:rsidR="00B727FF">
              <w:rPr>
                <w:noProof/>
                <w:webHidden/>
              </w:rPr>
              <w:tab/>
            </w:r>
            <w:r w:rsidR="00B727FF">
              <w:rPr>
                <w:noProof/>
                <w:webHidden/>
              </w:rPr>
              <w:fldChar w:fldCharType="begin"/>
            </w:r>
            <w:r w:rsidR="00B727FF">
              <w:rPr>
                <w:noProof/>
                <w:webHidden/>
              </w:rPr>
              <w:instrText xml:space="preserve"> PAGEREF _Toc226652290 \h </w:instrText>
            </w:r>
            <w:r w:rsidR="00B727FF">
              <w:rPr>
                <w:noProof/>
                <w:webHidden/>
              </w:rPr>
            </w:r>
            <w:r w:rsidR="00B727FF">
              <w:rPr>
                <w:noProof/>
                <w:webHidden/>
              </w:rPr>
              <w:fldChar w:fldCharType="separate"/>
            </w:r>
            <w:r w:rsidR="00B727FF">
              <w:rPr>
                <w:noProof/>
                <w:webHidden/>
              </w:rPr>
              <w:t>12</w:t>
            </w:r>
            <w:r w:rsidR="00B727FF">
              <w:rPr>
                <w:noProof/>
                <w:webHidden/>
              </w:rPr>
              <w:fldChar w:fldCharType="end"/>
            </w:r>
          </w:hyperlink>
        </w:p>
        <w:p w14:paraId="53FF7FBD" w14:textId="579B886C" w:rsidR="00B727FF" w:rsidRDefault="00A8371D">
          <w:pPr>
            <w:pStyle w:val="TOC2"/>
            <w:rPr>
              <w:rFonts w:asciiTheme="minorHAnsi" w:hAnsiTheme="minorHAnsi" w:cstheme="minorBidi"/>
              <w:b w:val="0"/>
              <w:bCs w:val="0"/>
              <w:kern w:val="2"/>
              <w:sz w:val="21"/>
            </w:rPr>
          </w:pPr>
          <w:hyperlink w:anchor="_Toc226652291" w:history="1">
            <w:r w:rsidR="00B727FF" w:rsidRPr="008C2E37">
              <w:rPr>
                <w:rStyle w:val="a4"/>
                <w:lang w:val="en-GB"/>
              </w:rPr>
              <w:t>2.4</w:t>
            </w:r>
            <w:r w:rsidR="00B727FF">
              <w:rPr>
                <w:rFonts w:asciiTheme="minorHAnsi" w:hAnsiTheme="minorHAnsi" w:cstheme="minorBidi"/>
                <w:b w:val="0"/>
                <w:bCs w:val="0"/>
                <w:kern w:val="2"/>
                <w:sz w:val="21"/>
              </w:rPr>
              <w:tab/>
            </w:r>
            <w:r w:rsidR="00B727FF" w:rsidRPr="008C2E37">
              <w:rPr>
                <w:rStyle w:val="a4"/>
                <w:lang w:val="en-GB"/>
              </w:rPr>
              <w:t>Alleged preferential financing and credit</w:t>
            </w:r>
            <w:r w:rsidR="00B727FF">
              <w:rPr>
                <w:webHidden/>
              </w:rPr>
              <w:tab/>
            </w:r>
            <w:r w:rsidR="00B727FF">
              <w:rPr>
                <w:webHidden/>
              </w:rPr>
              <w:fldChar w:fldCharType="begin"/>
            </w:r>
            <w:r w:rsidR="00B727FF">
              <w:rPr>
                <w:webHidden/>
              </w:rPr>
              <w:instrText xml:space="preserve"> PAGEREF _Toc226652291 \h </w:instrText>
            </w:r>
            <w:r w:rsidR="00B727FF">
              <w:rPr>
                <w:webHidden/>
              </w:rPr>
            </w:r>
            <w:r w:rsidR="00B727FF">
              <w:rPr>
                <w:webHidden/>
              </w:rPr>
              <w:fldChar w:fldCharType="separate"/>
            </w:r>
            <w:r w:rsidR="00B727FF">
              <w:rPr>
                <w:webHidden/>
              </w:rPr>
              <w:t>13</w:t>
            </w:r>
            <w:r w:rsidR="00B727FF">
              <w:rPr>
                <w:webHidden/>
              </w:rPr>
              <w:fldChar w:fldCharType="end"/>
            </w:r>
          </w:hyperlink>
        </w:p>
        <w:p w14:paraId="0BD45C9D" w14:textId="1208EEDD" w:rsidR="00B727FF" w:rsidRDefault="00A8371D">
          <w:pPr>
            <w:pStyle w:val="TOC3"/>
            <w:tabs>
              <w:tab w:val="left" w:pos="1260"/>
              <w:tab w:val="right" w:leader="dot" w:pos="9016"/>
            </w:tabs>
            <w:rPr>
              <w:rFonts w:cstheme="minorBidi"/>
              <w:noProof/>
              <w:kern w:val="2"/>
              <w:sz w:val="21"/>
              <w:lang w:eastAsia="zh-CN"/>
            </w:rPr>
          </w:pPr>
          <w:hyperlink w:anchor="_Toc226652292" w:history="1">
            <w:r w:rsidR="00B727FF" w:rsidRPr="008C2E37">
              <w:rPr>
                <w:rStyle w:val="a4"/>
                <w:rFonts w:ascii="Arial" w:hAnsi="Arial" w:cs="Arial"/>
                <w:b/>
                <w:bCs/>
                <w:noProof/>
                <w:lang w:val="en-GB"/>
              </w:rPr>
              <w:t>2.4.1</w:t>
            </w:r>
            <w:r w:rsidR="00B727FF">
              <w:rPr>
                <w:rFonts w:cstheme="minorBidi"/>
                <w:noProof/>
                <w:kern w:val="2"/>
                <w:sz w:val="21"/>
                <w:lang w:eastAsia="zh-CN"/>
              </w:rPr>
              <w:tab/>
            </w:r>
            <w:r w:rsidR="00B727FF" w:rsidRPr="008C2E37">
              <w:rPr>
                <w:rStyle w:val="a4"/>
                <w:rFonts w:ascii="Arial" w:hAnsi="Arial" w:cs="Arial"/>
                <w:b/>
                <w:bCs/>
                <w:noProof/>
                <w:lang w:val="en-GB"/>
              </w:rPr>
              <w:t>Alleged preferential loans by commercial banks</w:t>
            </w:r>
            <w:r w:rsidR="00B727FF">
              <w:rPr>
                <w:noProof/>
                <w:webHidden/>
              </w:rPr>
              <w:tab/>
            </w:r>
            <w:r w:rsidR="00B727FF">
              <w:rPr>
                <w:noProof/>
                <w:webHidden/>
              </w:rPr>
              <w:fldChar w:fldCharType="begin"/>
            </w:r>
            <w:r w:rsidR="00B727FF">
              <w:rPr>
                <w:noProof/>
                <w:webHidden/>
              </w:rPr>
              <w:instrText xml:space="preserve"> PAGEREF _Toc226652292 \h </w:instrText>
            </w:r>
            <w:r w:rsidR="00B727FF">
              <w:rPr>
                <w:noProof/>
                <w:webHidden/>
              </w:rPr>
            </w:r>
            <w:r w:rsidR="00B727FF">
              <w:rPr>
                <w:noProof/>
                <w:webHidden/>
              </w:rPr>
              <w:fldChar w:fldCharType="separate"/>
            </w:r>
            <w:r w:rsidR="00B727FF">
              <w:rPr>
                <w:noProof/>
                <w:webHidden/>
              </w:rPr>
              <w:t>13</w:t>
            </w:r>
            <w:r w:rsidR="00B727FF">
              <w:rPr>
                <w:noProof/>
                <w:webHidden/>
              </w:rPr>
              <w:fldChar w:fldCharType="end"/>
            </w:r>
          </w:hyperlink>
        </w:p>
        <w:p w14:paraId="6CF1BC8A" w14:textId="788D77F2" w:rsidR="00B727FF" w:rsidRDefault="00A8371D">
          <w:pPr>
            <w:pStyle w:val="TOC3"/>
            <w:tabs>
              <w:tab w:val="left" w:pos="1260"/>
              <w:tab w:val="right" w:leader="dot" w:pos="9016"/>
            </w:tabs>
            <w:rPr>
              <w:rFonts w:cstheme="minorBidi"/>
              <w:noProof/>
              <w:kern w:val="2"/>
              <w:sz w:val="21"/>
              <w:lang w:eastAsia="zh-CN"/>
            </w:rPr>
          </w:pPr>
          <w:hyperlink w:anchor="_Toc226652293" w:history="1">
            <w:r w:rsidR="00B727FF" w:rsidRPr="008C2E37">
              <w:rPr>
                <w:rStyle w:val="a4"/>
                <w:rFonts w:ascii="Arial" w:hAnsi="Arial" w:cs="Arial"/>
                <w:b/>
                <w:bCs/>
                <w:noProof/>
                <w:lang w:val="en-GB"/>
              </w:rPr>
              <w:t>2.4.2</w:t>
            </w:r>
            <w:r w:rsidR="00B727FF">
              <w:rPr>
                <w:rFonts w:cstheme="minorBidi"/>
                <w:noProof/>
                <w:kern w:val="2"/>
                <w:sz w:val="21"/>
                <w:lang w:eastAsia="zh-CN"/>
              </w:rPr>
              <w:tab/>
            </w:r>
            <w:r w:rsidR="00B727FF" w:rsidRPr="008C2E37">
              <w:rPr>
                <w:rStyle w:val="a4"/>
                <w:rFonts w:ascii="Arial" w:hAnsi="Arial" w:cs="Arial"/>
                <w:b/>
                <w:bCs/>
                <w:noProof/>
                <w:lang w:val="en-GB"/>
              </w:rPr>
              <w:t>Alleged preferential access to export credits and financing</w:t>
            </w:r>
            <w:r w:rsidR="00B727FF">
              <w:rPr>
                <w:noProof/>
                <w:webHidden/>
              </w:rPr>
              <w:tab/>
            </w:r>
            <w:r w:rsidR="00B727FF">
              <w:rPr>
                <w:noProof/>
                <w:webHidden/>
              </w:rPr>
              <w:fldChar w:fldCharType="begin"/>
            </w:r>
            <w:r w:rsidR="00B727FF">
              <w:rPr>
                <w:noProof/>
                <w:webHidden/>
              </w:rPr>
              <w:instrText xml:space="preserve"> PAGEREF _Toc226652293 \h </w:instrText>
            </w:r>
            <w:r w:rsidR="00B727FF">
              <w:rPr>
                <w:noProof/>
                <w:webHidden/>
              </w:rPr>
            </w:r>
            <w:r w:rsidR="00B727FF">
              <w:rPr>
                <w:noProof/>
                <w:webHidden/>
              </w:rPr>
              <w:fldChar w:fldCharType="separate"/>
            </w:r>
            <w:r w:rsidR="00B727FF">
              <w:rPr>
                <w:noProof/>
                <w:webHidden/>
              </w:rPr>
              <w:t>29</w:t>
            </w:r>
            <w:r w:rsidR="00B727FF">
              <w:rPr>
                <w:noProof/>
                <w:webHidden/>
              </w:rPr>
              <w:fldChar w:fldCharType="end"/>
            </w:r>
          </w:hyperlink>
        </w:p>
        <w:p w14:paraId="10DADB3E" w14:textId="0F90B13B" w:rsidR="00B727FF" w:rsidRDefault="00A8371D">
          <w:pPr>
            <w:pStyle w:val="TOC3"/>
            <w:tabs>
              <w:tab w:val="left" w:pos="1260"/>
              <w:tab w:val="right" w:leader="dot" w:pos="9016"/>
            </w:tabs>
            <w:rPr>
              <w:rFonts w:cstheme="minorBidi"/>
              <w:noProof/>
              <w:kern w:val="2"/>
              <w:sz w:val="21"/>
              <w:lang w:eastAsia="zh-CN"/>
            </w:rPr>
          </w:pPr>
          <w:hyperlink w:anchor="_Toc226652294" w:history="1">
            <w:r w:rsidR="00B727FF" w:rsidRPr="008C2E37">
              <w:rPr>
                <w:rStyle w:val="a4"/>
                <w:rFonts w:ascii="Arial" w:eastAsia="Times New Roman" w:hAnsi="Arial" w:cs="Arial"/>
                <w:b/>
                <w:bCs/>
                <w:noProof/>
                <w:lang w:val="en-GB"/>
              </w:rPr>
              <w:t>2.4.3</w:t>
            </w:r>
            <w:r w:rsidR="00B727FF">
              <w:rPr>
                <w:rFonts w:cstheme="minorBidi"/>
                <w:noProof/>
                <w:kern w:val="2"/>
                <w:sz w:val="21"/>
                <w:lang w:eastAsia="zh-CN"/>
              </w:rPr>
              <w:tab/>
            </w:r>
            <w:r w:rsidR="00B727FF" w:rsidRPr="008C2E37">
              <w:rPr>
                <w:rStyle w:val="a4"/>
                <w:rFonts w:ascii="Arial" w:eastAsia="Times New Roman" w:hAnsi="Arial" w:cs="Arial"/>
                <w:b/>
                <w:bCs/>
                <w:noProof/>
                <w:lang w:val="en-GB"/>
              </w:rPr>
              <w:t>Allegedly preferential credit lines</w:t>
            </w:r>
            <w:r w:rsidR="00B727FF">
              <w:rPr>
                <w:noProof/>
                <w:webHidden/>
              </w:rPr>
              <w:tab/>
            </w:r>
            <w:r w:rsidR="00B727FF">
              <w:rPr>
                <w:noProof/>
                <w:webHidden/>
              </w:rPr>
              <w:fldChar w:fldCharType="begin"/>
            </w:r>
            <w:r w:rsidR="00B727FF">
              <w:rPr>
                <w:noProof/>
                <w:webHidden/>
              </w:rPr>
              <w:instrText xml:space="preserve"> PAGEREF _Toc226652294 \h </w:instrText>
            </w:r>
            <w:r w:rsidR="00B727FF">
              <w:rPr>
                <w:noProof/>
                <w:webHidden/>
              </w:rPr>
            </w:r>
            <w:r w:rsidR="00B727FF">
              <w:rPr>
                <w:noProof/>
                <w:webHidden/>
              </w:rPr>
              <w:fldChar w:fldCharType="separate"/>
            </w:r>
            <w:r w:rsidR="00B727FF">
              <w:rPr>
                <w:noProof/>
                <w:webHidden/>
              </w:rPr>
              <w:t>33</w:t>
            </w:r>
            <w:r w:rsidR="00B727FF">
              <w:rPr>
                <w:noProof/>
                <w:webHidden/>
              </w:rPr>
              <w:fldChar w:fldCharType="end"/>
            </w:r>
          </w:hyperlink>
        </w:p>
        <w:p w14:paraId="37199C96" w14:textId="6BBAED77" w:rsidR="00B727FF" w:rsidRDefault="00A8371D">
          <w:pPr>
            <w:pStyle w:val="TOC3"/>
            <w:tabs>
              <w:tab w:val="left" w:pos="1260"/>
              <w:tab w:val="right" w:leader="dot" w:pos="9016"/>
            </w:tabs>
            <w:rPr>
              <w:rFonts w:cstheme="minorBidi"/>
              <w:noProof/>
              <w:kern w:val="2"/>
              <w:sz w:val="21"/>
              <w:lang w:eastAsia="zh-CN"/>
            </w:rPr>
          </w:pPr>
          <w:hyperlink w:anchor="_Toc226652295" w:history="1">
            <w:r w:rsidR="00B727FF" w:rsidRPr="008C2E37">
              <w:rPr>
                <w:rStyle w:val="a4"/>
                <w:rFonts w:ascii="Arial" w:eastAsia="Times New Roman" w:hAnsi="Arial" w:cs="Arial"/>
                <w:b/>
                <w:bCs/>
                <w:noProof/>
                <w:lang w:val="en-GB"/>
              </w:rPr>
              <w:t>2.4.4</w:t>
            </w:r>
            <w:r w:rsidR="00B727FF">
              <w:rPr>
                <w:rFonts w:cstheme="minorBidi"/>
                <w:noProof/>
                <w:kern w:val="2"/>
                <w:sz w:val="21"/>
                <w:lang w:eastAsia="zh-CN"/>
              </w:rPr>
              <w:tab/>
            </w:r>
            <w:r w:rsidR="00B727FF" w:rsidRPr="008C2E37">
              <w:rPr>
                <w:rStyle w:val="a4"/>
                <w:rFonts w:ascii="Arial" w:eastAsia="Times New Roman" w:hAnsi="Arial" w:cs="Arial"/>
                <w:b/>
                <w:bCs/>
                <w:noProof/>
                <w:lang w:val="en-GB"/>
              </w:rPr>
              <w:t>Preferential access to bond financing</w:t>
            </w:r>
            <w:r w:rsidR="00B727FF">
              <w:rPr>
                <w:noProof/>
                <w:webHidden/>
              </w:rPr>
              <w:tab/>
            </w:r>
            <w:r w:rsidR="00B727FF">
              <w:rPr>
                <w:noProof/>
                <w:webHidden/>
              </w:rPr>
              <w:fldChar w:fldCharType="begin"/>
            </w:r>
            <w:r w:rsidR="00B727FF">
              <w:rPr>
                <w:noProof/>
                <w:webHidden/>
              </w:rPr>
              <w:instrText xml:space="preserve"> PAGEREF _Toc226652295 \h </w:instrText>
            </w:r>
            <w:r w:rsidR="00B727FF">
              <w:rPr>
                <w:noProof/>
                <w:webHidden/>
              </w:rPr>
            </w:r>
            <w:r w:rsidR="00B727FF">
              <w:rPr>
                <w:noProof/>
                <w:webHidden/>
              </w:rPr>
              <w:fldChar w:fldCharType="separate"/>
            </w:r>
            <w:r w:rsidR="00B727FF">
              <w:rPr>
                <w:noProof/>
                <w:webHidden/>
              </w:rPr>
              <w:t>35</w:t>
            </w:r>
            <w:r w:rsidR="00B727FF">
              <w:rPr>
                <w:noProof/>
                <w:webHidden/>
              </w:rPr>
              <w:fldChar w:fldCharType="end"/>
            </w:r>
          </w:hyperlink>
        </w:p>
        <w:p w14:paraId="6C98EFC5" w14:textId="3DB68B5F" w:rsidR="00B727FF" w:rsidRDefault="00A8371D">
          <w:pPr>
            <w:pStyle w:val="TOC3"/>
            <w:tabs>
              <w:tab w:val="left" w:pos="1260"/>
              <w:tab w:val="right" w:leader="dot" w:pos="9016"/>
            </w:tabs>
            <w:rPr>
              <w:rFonts w:cstheme="minorBidi"/>
              <w:noProof/>
              <w:kern w:val="2"/>
              <w:sz w:val="21"/>
              <w:lang w:eastAsia="zh-CN"/>
            </w:rPr>
          </w:pPr>
          <w:hyperlink w:anchor="_Toc226652296" w:history="1">
            <w:r w:rsidR="00B727FF" w:rsidRPr="008C2E37">
              <w:rPr>
                <w:rStyle w:val="a4"/>
                <w:rFonts w:ascii="Arial" w:hAnsi="Arial" w:cs="Arial"/>
                <w:b/>
                <w:bCs/>
                <w:noProof/>
                <w:lang w:val="en-GB"/>
              </w:rPr>
              <w:t>2.4.5</w:t>
            </w:r>
            <w:r w:rsidR="00B727FF">
              <w:rPr>
                <w:rFonts w:cstheme="minorBidi"/>
                <w:noProof/>
                <w:kern w:val="2"/>
                <w:sz w:val="21"/>
                <w:lang w:eastAsia="zh-CN"/>
              </w:rPr>
              <w:tab/>
            </w:r>
            <w:r w:rsidR="00B727FF" w:rsidRPr="008C2E37">
              <w:rPr>
                <w:rStyle w:val="a4"/>
                <w:rFonts w:ascii="Arial" w:hAnsi="Arial" w:cs="Arial"/>
                <w:b/>
                <w:bCs/>
                <w:noProof/>
                <w:lang w:val="en-GB"/>
              </w:rPr>
              <w:t>Alleged bank acceptance drafts</w:t>
            </w:r>
            <w:r w:rsidR="00B727FF">
              <w:rPr>
                <w:noProof/>
                <w:webHidden/>
              </w:rPr>
              <w:tab/>
            </w:r>
            <w:r w:rsidR="00B727FF">
              <w:rPr>
                <w:noProof/>
                <w:webHidden/>
              </w:rPr>
              <w:fldChar w:fldCharType="begin"/>
            </w:r>
            <w:r w:rsidR="00B727FF">
              <w:rPr>
                <w:noProof/>
                <w:webHidden/>
              </w:rPr>
              <w:instrText xml:space="preserve"> PAGEREF _Toc226652296 \h </w:instrText>
            </w:r>
            <w:r w:rsidR="00B727FF">
              <w:rPr>
                <w:noProof/>
                <w:webHidden/>
              </w:rPr>
            </w:r>
            <w:r w:rsidR="00B727FF">
              <w:rPr>
                <w:noProof/>
                <w:webHidden/>
              </w:rPr>
              <w:fldChar w:fldCharType="separate"/>
            </w:r>
            <w:r w:rsidR="00B727FF">
              <w:rPr>
                <w:noProof/>
                <w:webHidden/>
              </w:rPr>
              <w:t>36</w:t>
            </w:r>
            <w:r w:rsidR="00B727FF">
              <w:rPr>
                <w:noProof/>
                <w:webHidden/>
              </w:rPr>
              <w:fldChar w:fldCharType="end"/>
            </w:r>
          </w:hyperlink>
        </w:p>
        <w:p w14:paraId="42334B22" w14:textId="1ECE4A4D" w:rsidR="00B727FF" w:rsidRDefault="00A8371D">
          <w:pPr>
            <w:pStyle w:val="TOC2"/>
            <w:rPr>
              <w:rFonts w:asciiTheme="minorHAnsi" w:hAnsiTheme="minorHAnsi" w:cstheme="minorBidi"/>
              <w:b w:val="0"/>
              <w:bCs w:val="0"/>
              <w:kern w:val="2"/>
              <w:sz w:val="21"/>
            </w:rPr>
          </w:pPr>
          <w:hyperlink w:anchor="_Toc226652297" w:history="1">
            <w:r w:rsidR="00B727FF" w:rsidRPr="008C2E37">
              <w:rPr>
                <w:rStyle w:val="a4"/>
                <w:lang w:val="en-GB"/>
              </w:rPr>
              <w:t>2.5</w:t>
            </w:r>
            <w:r w:rsidR="00B727FF">
              <w:rPr>
                <w:rFonts w:asciiTheme="minorHAnsi" w:hAnsiTheme="minorHAnsi" w:cstheme="minorBidi"/>
                <w:b w:val="0"/>
                <w:bCs w:val="0"/>
                <w:kern w:val="2"/>
                <w:sz w:val="21"/>
              </w:rPr>
              <w:tab/>
            </w:r>
            <w:r w:rsidR="00B727FF" w:rsidRPr="008C2E37">
              <w:rPr>
                <w:rStyle w:val="a4"/>
                <w:lang w:val="en-GB"/>
              </w:rPr>
              <w:t>Alleged provision of goods and services at less than adequate remuneration</w:t>
            </w:r>
            <w:r w:rsidR="00B727FF">
              <w:rPr>
                <w:webHidden/>
              </w:rPr>
              <w:tab/>
            </w:r>
            <w:r w:rsidR="00B727FF">
              <w:rPr>
                <w:webHidden/>
              </w:rPr>
              <w:fldChar w:fldCharType="begin"/>
            </w:r>
            <w:r w:rsidR="00B727FF">
              <w:rPr>
                <w:webHidden/>
              </w:rPr>
              <w:instrText xml:space="preserve"> PAGEREF _Toc226652297 \h </w:instrText>
            </w:r>
            <w:r w:rsidR="00B727FF">
              <w:rPr>
                <w:webHidden/>
              </w:rPr>
            </w:r>
            <w:r w:rsidR="00B727FF">
              <w:rPr>
                <w:webHidden/>
              </w:rPr>
              <w:fldChar w:fldCharType="separate"/>
            </w:r>
            <w:r w:rsidR="00B727FF">
              <w:rPr>
                <w:webHidden/>
              </w:rPr>
              <w:t>37</w:t>
            </w:r>
            <w:r w:rsidR="00B727FF">
              <w:rPr>
                <w:webHidden/>
              </w:rPr>
              <w:fldChar w:fldCharType="end"/>
            </w:r>
          </w:hyperlink>
        </w:p>
        <w:p w14:paraId="44D626DA" w14:textId="1FD6960A" w:rsidR="00B727FF" w:rsidRDefault="00A8371D">
          <w:pPr>
            <w:pStyle w:val="TOC3"/>
            <w:tabs>
              <w:tab w:val="left" w:pos="1260"/>
              <w:tab w:val="right" w:leader="dot" w:pos="9016"/>
            </w:tabs>
            <w:rPr>
              <w:rFonts w:cstheme="minorBidi"/>
              <w:noProof/>
              <w:kern w:val="2"/>
              <w:sz w:val="21"/>
              <w:lang w:eastAsia="zh-CN"/>
            </w:rPr>
          </w:pPr>
          <w:hyperlink w:anchor="_Toc226652298" w:history="1">
            <w:r w:rsidR="00B727FF" w:rsidRPr="008C2E37">
              <w:rPr>
                <w:rStyle w:val="a4"/>
                <w:rFonts w:ascii="Arial" w:hAnsi="Arial" w:cs="Arial"/>
                <w:b/>
                <w:bCs/>
                <w:noProof/>
                <w:lang w:val="en-GB"/>
              </w:rPr>
              <w:t>2.5.1</w:t>
            </w:r>
            <w:r w:rsidR="00B727FF">
              <w:rPr>
                <w:rFonts w:cstheme="minorBidi"/>
                <w:noProof/>
                <w:kern w:val="2"/>
                <w:sz w:val="21"/>
                <w:lang w:eastAsia="zh-CN"/>
              </w:rPr>
              <w:tab/>
            </w:r>
            <w:r w:rsidR="00B727FF" w:rsidRPr="008C2E37">
              <w:rPr>
                <w:rStyle w:val="a4"/>
                <w:rFonts w:ascii="Arial" w:eastAsia="Times New Roman" w:hAnsi="Arial" w:cs="Arial"/>
                <w:b/>
                <w:bCs/>
                <w:noProof/>
                <w:lang w:val="en-GB"/>
              </w:rPr>
              <w:t>Alleged provision of land-use rights at LTAR</w:t>
            </w:r>
            <w:r w:rsidR="00B727FF">
              <w:rPr>
                <w:noProof/>
                <w:webHidden/>
              </w:rPr>
              <w:tab/>
            </w:r>
            <w:r w:rsidR="00B727FF">
              <w:rPr>
                <w:noProof/>
                <w:webHidden/>
              </w:rPr>
              <w:fldChar w:fldCharType="begin"/>
            </w:r>
            <w:r w:rsidR="00B727FF">
              <w:rPr>
                <w:noProof/>
                <w:webHidden/>
              </w:rPr>
              <w:instrText xml:space="preserve"> PAGEREF _Toc226652298 \h </w:instrText>
            </w:r>
            <w:r w:rsidR="00B727FF">
              <w:rPr>
                <w:noProof/>
                <w:webHidden/>
              </w:rPr>
            </w:r>
            <w:r w:rsidR="00B727FF">
              <w:rPr>
                <w:noProof/>
                <w:webHidden/>
              </w:rPr>
              <w:fldChar w:fldCharType="separate"/>
            </w:r>
            <w:r w:rsidR="00B727FF">
              <w:rPr>
                <w:noProof/>
                <w:webHidden/>
              </w:rPr>
              <w:t>37</w:t>
            </w:r>
            <w:r w:rsidR="00B727FF">
              <w:rPr>
                <w:noProof/>
                <w:webHidden/>
              </w:rPr>
              <w:fldChar w:fldCharType="end"/>
            </w:r>
          </w:hyperlink>
        </w:p>
        <w:p w14:paraId="669D4851" w14:textId="718F68DC" w:rsidR="00B727FF" w:rsidRDefault="00A8371D">
          <w:pPr>
            <w:pStyle w:val="TOC3"/>
            <w:tabs>
              <w:tab w:val="left" w:pos="1260"/>
              <w:tab w:val="right" w:leader="dot" w:pos="9016"/>
            </w:tabs>
            <w:rPr>
              <w:rFonts w:cstheme="minorBidi"/>
              <w:noProof/>
              <w:kern w:val="2"/>
              <w:sz w:val="21"/>
              <w:lang w:eastAsia="zh-CN"/>
            </w:rPr>
          </w:pPr>
          <w:hyperlink w:anchor="_Toc226652299" w:history="1">
            <w:r w:rsidR="00B727FF" w:rsidRPr="008C2E37">
              <w:rPr>
                <w:rStyle w:val="a4"/>
                <w:rFonts w:ascii="Arial" w:hAnsi="Arial" w:cs="Arial"/>
                <w:b/>
                <w:bCs/>
                <w:noProof/>
                <w:lang w:val="en-GB"/>
              </w:rPr>
              <w:t>2.5.2</w:t>
            </w:r>
            <w:r w:rsidR="00B727FF">
              <w:rPr>
                <w:rFonts w:cstheme="minorBidi"/>
                <w:noProof/>
                <w:kern w:val="2"/>
                <w:sz w:val="21"/>
                <w:lang w:eastAsia="zh-CN"/>
              </w:rPr>
              <w:tab/>
            </w:r>
            <w:r w:rsidR="00B727FF" w:rsidRPr="008C2E37">
              <w:rPr>
                <w:rStyle w:val="a4"/>
                <w:rFonts w:ascii="Arial" w:eastAsia="Times New Roman" w:hAnsi="Arial" w:cs="Arial"/>
                <w:b/>
                <w:bCs/>
                <w:noProof/>
                <w:lang w:val="en-GB"/>
              </w:rPr>
              <w:t xml:space="preserve">Alleged provision of </w:t>
            </w:r>
            <w:r w:rsidR="00B727FF" w:rsidRPr="008C2E37">
              <w:rPr>
                <w:rStyle w:val="a4"/>
                <w:rFonts w:ascii="Arial" w:hAnsi="Arial" w:cs="Arial"/>
                <w:b/>
                <w:bCs/>
                <w:noProof/>
                <w:lang w:val="en-GB"/>
              </w:rPr>
              <w:t>electricity</w:t>
            </w:r>
            <w:r w:rsidR="00B727FF" w:rsidRPr="008C2E37">
              <w:rPr>
                <w:rStyle w:val="a4"/>
                <w:rFonts w:ascii="Arial" w:eastAsia="Times New Roman" w:hAnsi="Arial" w:cs="Arial"/>
                <w:b/>
                <w:bCs/>
                <w:noProof/>
                <w:lang w:val="en-GB"/>
              </w:rPr>
              <w:t xml:space="preserve"> at LTAR</w:t>
            </w:r>
            <w:r w:rsidR="00B727FF">
              <w:rPr>
                <w:noProof/>
                <w:webHidden/>
              </w:rPr>
              <w:tab/>
            </w:r>
            <w:r w:rsidR="00B727FF">
              <w:rPr>
                <w:noProof/>
                <w:webHidden/>
              </w:rPr>
              <w:fldChar w:fldCharType="begin"/>
            </w:r>
            <w:r w:rsidR="00B727FF">
              <w:rPr>
                <w:noProof/>
                <w:webHidden/>
              </w:rPr>
              <w:instrText xml:space="preserve"> PAGEREF _Toc226652299 \h </w:instrText>
            </w:r>
            <w:r w:rsidR="00B727FF">
              <w:rPr>
                <w:noProof/>
                <w:webHidden/>
              </w:rPr>
            </w:r>
            <w:r w:rsidR="00B727FF">
              <w:rPr>
                <w:noProof/>
                <w:webHidden/>
              </w:rPr>
              <w:fldChar w:fldCharType="separate"/>
            </w:r>
            <w:r w:rsidR="00B727FF">
              <w:rPr>
                <w:noProof/>
                <w:webHidden/>
              </w:rPr>
              <w:t>41</w:t>
            </w:r>
            <w:r w:rsidR="00B727FF">
              <w:rPr>
                <w:noProof/>
                <w:webHidden/>
              </w:rPr>
              <w:fldChar w:fldCharType="end"/>
            </w:r>
          </w:hyperlink>
        </w:p>
        <w:p w14:paraId="3AEC4470" w14:textId="3B880F4F" w:rsidR="00B727FF" w:rsidRDefault="00A8371D">
          <w:pPr>
            <w:pStyle w:val="TOC3"/>
            <w:tabs>
              <w:tab w:val="left" w:pos="1260"/>
              <w:tab w:val="right" w:leader="dot" w:pos="9016"/>
            </w:tabs>
            <w:rPr>
              <w:rFonts w:cstheme="minorBidi"/>
              <w:noProof/>
              <w:kern w:val="2"/>
              <w:sz w:val="21"/>
              <w:lang w:eastAsia="zh-CN"/>
            </w:rPr>
          </w:pPr>
          <w:hyperlink w:anchor="_Toc226652300" w:history="1">
            <w:r w:rsidR="00B727FF" w:rsidRPr="008C2E37">
              <w:rPr>
                <w:rStyle w:val="a4"/>
                <w:rFonts w:ascii="Arial" w:hAnsi="Arial" w:cs="Arial"/>
                <w:b/>
                <w:bCs/>
                <w:noProof/>
                <w:lang w:val="en-GB"/>
              </w:rPr>
              <w:t>2.5.3</w:t>
            </w:r>
            <w:r w:rsidR="00B727FF">
              <w:rPr>
                <w:rFonts w:cstheme="minorBidi"/>
                <w:noProof/>
                <w:kern w:val="2"/>
                <w:sz w:val="21"/>
                <w:lang w:eastAsia="zh-CN"/>
              </w:rPr>
              <w:tab/>
            </w:r>
            <w:r w:rsidR="00B727FF" w:rsidRPr="008C2E37">
              <w:rPr>
                <w:rStyle w:val="a4"/>
                <w:rFonts w:ascii="Arial" w:eastAsia="Times New Roman" w:hAnsi="Arial" w:cs="Arial"/>
                <w:b/>
                <w:bCs/>
                <w:noProof/>
                <w:lang w:val="en-GB"/>
              </w:rPr>
              <w:t xml:space="preserve">Alleged provision of </w:t>
            </w:r>
            <w:r w:rsidR="00B727FF" w:rsidRPr="008C2E37">
              <w:rPr>
                <w:rStyle w:val="a4"/>
                <w:rFonts w:ascii="Arial" w:hAnsi="Arial" w:cs="Arial"/>
                <w:b/>
                <w:bCs/>
                <w:noProof/>
                <w:lang w:val="en-GB"/>
              </w:rPr>
              <w:t xml:space="preserve">upstream inputs </w:t>
            </w:r>
            <w:r w:rsidR="00B727FF" w:rsidRPr="008C2E37">
              <w:rPr>
                <w:rStyle w:val="a4"/>
                <w:rFonts w:ascii="Arial" w:eastAsia="Times New Roman" w:hAnsi="Arial" w:cs="Arial"/>
                <w:b/>
                <w:bCs/>
                <w:noProof/>
                <w:lang w:val="en-GB"/>
              </w:rPr>
              <w:t>at LTAR</w:t>
            </w:r>
            <w:r w:rsidR="00B727FF">
              <w:rPr>
                <w:noProof/>
                <w:webHidden/>
              </w:rPr>
              <w:tab/>
            </w:r>
            <w:r w:rsidR="00B727FF">
              <w:rPr>
                <w:noProof/>
                <w:webHidden/>
              </w:rPr>
              <w:fldChar w:fldCharType="begin"/>
            </w:r>
            <w:r w:rsidR="00B727FF">
              <w:rPr>
                <w:noProof/>
                <w:webHidden/>
              </w:rPr>
              <w:instrText xml:space="preserve"> PAGEREF _Toc226652300 \h </w:instrText>
            </w:r>
            <w:r w:rsidR="00B727FF">
              <w:rPr>
                <w:noProof/>
                <w:webHidden/>
              </w:rPr>
            </w:r>
            <w:r w:rsidR="00B727FF">
              <w:rPr>
                <w:noProof/>
                <w:webHidden/>
              </w:rPr>
              <w:fldChar w:fldCharType="separate"/>
            </w:r>
            <w:r w:rsidR="00B727FF">
              <w:rPr>
                <w:noProof/>
                <w:webHidden/>
              </w:rPr>
              <w:t>43</w:t>
            </w:r>
            <w:r w:rsidR="00B727FF">
              <w:rPr>
                <w:noProof/>
                <w:webHidden/>
              </w:rPr>
              <w:fldChar w:fldCharType="end"/>
            </w:r>
          </w:hyperlink>
        </w:p>
        <w:p w14:paraId="150A3D94" w14:textId="026AD8A5" w:rsidR="00B727FF" w:rsidRDefault="00A8371D">
          <w:pPr>
            <w:pStyle w:val="TOC3"/>
            <w:tabs>
              <w:tab w:val="left" w:pos="1260"/>
              <w:tab w:val="right" w:leader="dot" w:pos="9016"/>
            </w:tabs>
            <w:rPr>
              <w:rFonts w:cstheme="minorBidi"/>
              <w:noProof/>
              <w:kern w:val="2"/>
              <w:sz w:val="21"/>
              <w:lang w:eastAsia="zh-CN"/>
            </w:rPr>
          </w:pPr>
          <w:hyperlink w:anchor="_Toc226652301" w:history="1">
            <w:r w:rsidR="00B727FF" w:rsidRPr="008C2E37">
              <w:rPr>
                <w:rStyle w:val="a4"/>
                <w:rFonts w:ascii="Arial" w:hAnsi="Arial" w:cs="Arial"/>
                <w:b/>
                <w:bCs/>
                <w:noProof/>
                <w:lang w:val="en-GB"/>
              </w:rPr>
              <w:t>2.5.4</w:t>
            </w:r>
            <w:r w:rsidR="00B727FF">
              <w:rPr>
                <w:rFonts w:cstheme="minorBidi"/>
                <w:noProof/>
                <w:kern w:val="2"/>
                <w:sz w:val="21"/>
                <w:lang w:eastAsia="zh-CN"/>
              </w:rPr>
              <w:tab/>
            </w:r>
            <w:r w:rsidR="00B727FF" w:rsidRPr="008C2E37">
              <w:rPr>
                <w:rStyle w:val="a4"/>
                <w:rFonts w:ascii="Arial" w:eastAsia="Times New Roman" w:hAnsi="Arial" w:cs="Arial"/>
                <w:b/>
                <w:bCs/>
                <w:noProof/>
                <w:lang w:val="en-GB"/>
              </w:rPr>
              <w:t>Alleged provision of</w:t>
            </w:r>
            <w:r w:rsidR="00B727FF" w:rsidRPr="008C2E37">
              <w:rPr>
                <w:rStyle w:val="a4"/>
                <w:rFonts w:ascii="Arial" w:hAnsi="Arial" w:cs="Arial"/>
                <w:b/>
                <w:bCs/>
                <w:noProof/>
                <w:lang w:val="en-GB"/>
              </w:rPr>
              <w:t xml:space="preserve"> logistics services at LTAR</w:t>
            </w:r>
            <w:r w:rsidR="00B727FF">
              <w:rPr>
                <w:noProof/>
                <w:webHidden/>
              </w:rPr>
              <w:tab/>
            </w:r>
            <w:r w:rsidR="00B727FF">
              <w:rPr>
                <w:noProof/>
                <w:webHidden/>
              </w:rPr>
              <w:fldChar w:fldCharType="begin"/>
            </w:r>
            <w:r w:rsidR="00B727FF">
              <w:rPr>
                <w:noProof/>
                <w:webHidden/>
              </w:rPr>
              <w:instrText xml:space="preserve"> PAGEREF _Toc226652301 \h </w:instrText>
            </w:r>
            <w:r w:rsidR="00B727FF">
              <w:rPr>
                <w:noProof/>
                <w:webHidden/>
              </w:rPr>
            </w:r>
            <w:r w:rsidR="00B727FF">
              <w:rPr>
                <w:noProof/>
                <w:webHidden/>
              </w:rPr>
              <w:fldChar w:fldCharType="separate"/>
            </w:r>
            <w:r w:rsidR="00B727FF">
              <w:rPr>
                <w:noProof/>
                <w:webHidden/>
              </w:rPr>
              <w:t>45</w:t>
            </w:r>
            <w:r w:rsidR="00B727FF">
              <w:rPr>
                <w:noProof/>
                <w:webHidden/>
              </w:rPr>
              <w:fldChar w:fldCharType="end"/>
            </w:r>
          </w:hyperlink>
        </w:p>
        <w:p w14:paraId="44E915C8" w14:textId="57B0571A" w:rsidR="00B727FF" w:rsidRPr="008E501A" w:rsidRDefault="00A8371D" w:rsidP="008E501A">
          <w:pPr>
            <w:pStyle w:val="TOC1"/>
            <w:rPr>
              <w:kern w:val="2"/>
              <w:sz w:val="21"/>
              <w:szCs w:val="22"/>
            </w:rPr>
          </w:pPr>
          <w:hyperlink w:anchor="_Toc226652302" w:history="1">
            <w:r w:rsidR="00B727FF" w:rsidRPr="008E501A">
              <w:rPr>
                <w:rStyle w:val="a4"/>
              </w:rPr>
              <w:t>3</w:t>
            </w:r>
            <w:r w:rsidR="00B727FF" w:rsidRPr="008E501A">
              <w:rPr>
                <w:kern w:val="2"/>
                <w:sz w:val="21"/>
                <w:szCs w:val="22"/>
              </w:rPr>
              <w:tab/>
            </w:r>
            <w:r w:rsidR="00B727FF" w:rsidRPr="008E501A">
              <w:rPr>
                <w:rStyle w:val="a4"/>
              </w:rPr>
              <w:t>CONCLUSION</w:t>
            </w:r>
            <w:r w:rsidR="00B727FF" w:rsidRPr="008E501A">
              <w:rPr>
                <w:webHidden/>
              </w:rPr>
              <w:tab/>
            </w:r>
            <w:r w:rsidR="00B727FF" w:rsidRPr="008E501A">
              <w:rPr>
                <w:webHidden/>
              </w:rPr>
              <w:fldChar w:fldCharType="begin"/>
            </w:r>
            <w:r w:rsidR="00B727FF" w:rsidRPr="008E501A">
              <w:rPr>
                <w:webHidden/>
              </w:rPr>
              <w:instrText xml:space="preserve"> PAGEREF _Toc226652302 \h </w:instrText>
            </w:r>
            <w:r w:rsidR="00B727FF" w:rsidRPr="008E501A">
              <w:rPr>
                <w:webHidden/>
              </w:rPr>
            </w:r>
            <w:r w:rsidR="00B727FF" w:rsidRPr="008E501A">
              <w:rPr>
                <w:webHidden/>
              </w:rPr>
              <w:fldChar w:fldCharType="separate"/>
            </w:r>
            <w:r w:rsidR="00B727FF" w:rsidRPr="008E501A">
              <w:rPr>
                <w:webHidden/>
              </w:rPr>
              <w:t>49</w:t>
            </w:r>
            <w:r w:rsidR="00B727FF" w:rsidRPr="008E501A">
              <w:rPr>
                <w:webHidden/>
              </w:rPr>
              <w:fldChar w:fldCharType="end"/>
            </w:r>
          </w:hyperlink>
        </w:p>
        <w:p w14:paraId="61C3A987" w14:textId="3CF56A48" w:rsidR="00D40EF5" w:rsidRPr="0044150C" w:rsidRDefault="00D40EF5" w:rsidP="000760FD">
          <w:pPr>
            <w:tabs>
              <w:tab w:val="left" w:pos="630"/>
            </w:tabs>
            <w:spacing w:line="276" w:lineRule="auto"/>
            <w:rPr>
              <w:rFonts w:ascii="Arial" w:hAnsi="Arial" w:cs="Arial"/>
              <w:lang w:val="en-GB"/>
            </w:rPr>
          </w:pPr>
          <w:r w:rsidRPr="0044150C">
            <w:rPr>
              <w:rFonts w:ascii="Arial" w:hAnsi="Arial" w:cs="Arial"/>
              <w:lang w:val="en-GB"/>
            </w:rPr>
            <w:fldChar w:fldCharType="end"/>
          </w:r>
        </w:p>
      </w:sdtContent>
    </w:sdt>
    <w:p w14:paraId="67E8C574" w14:textId="5394C216" w:rsidR="00D40EF5" w:rsidRPr="0044150C" w:rsidRDefault="00D40EF5" w:rsidP="000760FD">
      <w:pPr>
        <w:spacing w:line="276" w:lineRule="auto"/>
        <w:rPr>
          <w:rFonts w:ascii="Arial" w:hAnsi="Arial" w:cs="Arial"/>
          <w:lang w:val="en-GB" w:eastAsia="en-US"/>
        </w:rPr>
      </w:pPr>
    </w:p>
    <w:p w14:paraId="5B37DCD2" w14:textId="77777777" w:rsidR="00805DCD" w:rsidRPr="0044150C" w:rsidRDefault="00805DCD" w:rsidP="000760FD">
      <w:pPr>
        <w:spacing w:line="276" w:lineRule="auto"/>
        <w:rPr>
          <w:rFonts w:ascii="Arial" w:hAnsi="Arial" w:cs="Arial"/>
          <w:lang w:val="en-GB" w:eastAsia="en-US"/>
        </w:rPr>
      </w:pPr>
    </w:p>
    <w:p w14:paraId="10C030A8" w14:textId="77777777" w:rsidR="000760FD" w:rsidRPr="0044150C" w:rsidRDefault="000760FD" w:rsidP="000760FD">
      <w:pPr>
        <w:spacing w:line="276" w:lineRule="auto"/>
        <w:rPr>
          <w:rFonts w:ascii="Arial" w:hAnsi="Arial" w:cs="Arial"/>
          <w:lang w:val="en-GB" w:eastAsia="en-US"/>
        </w:rPr>
      </w:pPr>
    </w:p>
    <w:p w14:paraId="5F65ED6A" w14:textId="77777777" w:rsidR="000760FD" w:rsidRPr="0044150C" w:rsidRDefault="000760FD" w:rsidP="000760FD">
      <w:pPr>
        <w:spacing w:line="276" w:lineRule="auto"/>
        <w:rPr>
          <w:rFonts w:ascii="Arial" w:hAnsi="Arial" w:cs="Arial"/>
          <w:lang w:val="en-GB" w:eastAsia="en-US"/>
        </w:rPr>
      </w:pPr>
    </w:p>
    <w:p w14:paraId="376ECF96" w14:textId="77777777" w:rsidR="000760FD" w:rsidRPr="0044150C" w:rsidRDefault="000760FD" w:rsidP="000760FD">
      <w:pPr>
        <w:spacing w:line="276" w:lineRule="auto"/>
        <w:rPr>
          <w:rFonts w:ascii="Arial" w:hAnsi="Arial" w:cs="Arial"/>
          <w:lang w:val="en-GB" w:eastAsia="en-US"/>
        </w:rPr>
      </w:pPr>
    </w:p>
    <w:p w14:paraId="772A085D" w14:textId="77777777" w:rsidR="000760FD" w:rsidRPr="0044150C" w:rsidRDefault="000760FD" w:rsidP="000760FD">
      <w:pPr>
        <w:spacing w:line="276" w:lineRule="auto"/>
        <w:rPr>
          <w:rFonts w:ascii="Arial" w:hAnsi="Arial" w:cs="Arial"/>
          <w:lang w:val="en-GB" w:eastAsia="en-US"/>
        </w:rPr>
      </w:pPr>
    </w:p>
    <w:p w14:paraId="02A5DEF0" w14:textId="77777777" w:rsidR="000760FD" w:rsidRPr="0044150C" w:rsidRDefault="000760FD" w:rsidP="000760FD">
      <w:pPr>
        <w:spacing w:line="276" w:lineRule="auto"/>
        <w:rPr>
          <w:rFonts w:ascii="Arial" w:hAnsi="Arial" w:cs="Arial"/>
          <w:lang w:val="en-GB" w:eastAsia="en-US"/>
        </w:rPr>
      </w:pPr>
    </w:p>
    <w:p w14:paraId="60737875" w14:textId="77777777" w:rsidR="000760FD" w:rsidRPr="0044150C" w:rsidRDefault="000760FD" w:rsidP="000760FD">
      <w:pPr>
        <w:spacing w:line="276" w:lineRule="auto"/>
        <w:rPr>
          <w:rFonts w:ascii="Arial" w:hAnsi="Arial" w:cs="Arial"/>
          <w:lang w:val="en-GB" w:eastAsia="en-US"/>
        </w:rPr>
      </w:pPr>
    </w:p>
    <w:p w14:paraId="7A9D4BE1" w14:textId="77777777" w:rsidR="000760FD" w:rsidRPr="0044150C" w:rsidRDefault="000760FD" w:rsidP="000760FD">
      <w:pPr>
        <w:spacing w:line="276" w:lineRule="auto"/>
        <w:rPr>
          <w:rFonts w:ascii="Arial" w:hAnsi="Arial" w:cs="Arial"/>
          <w:lang w:val="en-GB" w:eastAsia="en-US"/>
        </w:rPr>
      </w:pPr>
    </w:p>
    <w:p w14:paraId="4291AB8F" w14:textId="77777777" w:rsidR="000760FD" w:rsidRPr="0044150C" w:rsidRDefault="000760FD" w:rsidP="000760FD">
      <w:pPr>
        <w:spacing w:line="276" w:lineRule="auto"/>
        <w:rPr>
          <w:rFonts w:ascii="Arial" w:hAnsi="Arial" w:cs="Arial"/>
          <w:lang w:val="en-GB" w:eastAsia="en-US"/>
        </w:rPr>
      </w:pPr>
    </w:p>
    <w:p w14:paraId="738D509E" w14:textId="77777777" w:rsidR="000760FD" w:rsidRPr="0044150C" w:rsidRDefault="000760FD" w:rsidP="000760FD">
      <w:pPr>
        <w:spacing w:line="276" w:lineRule="auto"/>
        <w:rPr>
          <w:rFonts w:ascii="Arial" w:hAnsi="Arial" w:cs="Arial"/>
          <w:lang w:val="en-GB" w:eastAsia="en-US"/>
        </w:rPr>
      </w:pPr>
    </w:p>
    <w:p w14:paraId="7D716DD9" w14:textId="77777777" w:rsidR="00D40EF5" w:rsidRPr="0044150C" w:rsidRDefault="00D40EF5" w:rsidP="00673F74">
      <w:pPr>
        <w:pStyle w:val="1"/>
        <w:spacing w:before="0"/>
        <w:ind w:left="709" w:hanging="709"/>
        <w:rPr>
          <w:caps/>
        </w:rPr>
      </w:pPr>
      <w:bookmarkStart w:id="0" w:name="_Toc226652282"/>
      <w:r w:rsidRPr="0044150C">
        <w:rPr>
          <w:caps/>
        </w:rPr>
        <w:lastRenderedPageBreak/>
        <w:t>Introduction</w:t>
      </w:r>
      <w:bookmarkEnd w:id="0"/>
      <w:r w:rsidRPr="0044150C">
        <w:rPr>
          <w:caps/>
        </w:rPr>
        <w:t xml:space="preserve"> </w:t>
      </w:r>
    </w:p>
    <w:p w14:paraId="039028C1" w14:textId="77777777" w:rsidR="00D40EF5" w:rsidRPr="0044150C" w:rsidRDefault="00D40EF5" w:rsidP="00673F74">
      <w:pPr>
        <w:rPr>
          <w:rFonts w:ascii="Arial" w:hAnsi="Arial" w:cs="Arial"/>
          <w:sz w:val="24"/>
          <w:szCs w:val="24"/>
          <w:lang w:val="en-GB" w:eastAsia="en-US"/>
        </w:rPr>
      </w:pPr>
    </w:p>
    <w:p w14:paraId="236C5695" w14:textId="08DA1F6C" w:rsidR="008D3C67" w:rsidRPr="0044150C" w:rsidRDefault="008D3C67" w:rsidP="008D3C67">
      <w:pPr>
        <w:pStyle w:val="Body2"/>
        <w:numPr>
          <w:ilvl w:val="0"/>
          <w:numId w:val="1"/>
        </w:numPr>
        <w:spacing w:after="0" w:line="360" w:lineRule="auto"/>
        <w:ind w:hanging="720"/>
        <w:rPr>
          <w:sz w:val="24"/>
          <w:szCs w:val="24"/>
        </w:rPr>
      </w:pPr>
      <w:r w:rsidRPr="0044150C">
        <w:rPr>
          <w:sz w:val="24"/>
          <w:szCs w:val="24"/>
        </w:rPr>
        <w:t>The present submission provides the comments of the Government of the People’s Republic of China (“GOC”) regarding the initiation</w:t>
      </w:r>
      <w:r w:rsidR="00956957" w:rsidRPr="0044150C">
        <w:rPr>
          <w:sz w:val="24"/>
          <w:szCs w:val="24"/>
        </w:rPr>
        <w:t xml:space="preserve"> and investigation</w:t>
      </w:r>
      <w:r w:rsidRPr="0044150C">
        <w:rPr>
          <w:sz w:val="24"/>
          <w:szCs w:val="24"/>
        </w:rPr>
        <w:t xml:space="preserve"> of the anti-subsidy (“AS”) investigation concerning imports of </w:t>
      </w:r>
      <w:r w:rsidR="009C3948" w:rsidRPr="0044150C">
        <w:rPr>
          <w:sz w:val="24"/>
          <w:szCs w:val="24"/>
        </w:rPr>
        <w:t>boom lift</w:t>
      </w:r>
      <w:r w:rsidR="00816DDA" w:rsidRPr="0044150C">
        <w:rPr>
          <w:sz w:val="24"/>
          <w:szCs w:val="24"/>
        </w:rPr>
        <w:t>s</w:t>
      </w:r>
      <w:r w:rsidRPr="0044150C">
        <w:rPr>
          <w:sz w:val="24"/>
          <w:szCs w:val="24"/>
        </w:rPr>
        <w:t xml:space="preserve"> (“product concerned”) originating in the People’s Republic of China (Investigation No. AS00</w:t>
      </w:r>
      <w:r w:rsidR="00816DDA" w:rsidRPr="0044150C">
        <w:rPr>
          <w:sz w:val="24"/>
          <w:szCs w:val="24"/>
        </w:rPr>
        <w:t>7</w:t>
      </w:r>
      <w:r w:rsidRPr="0044150C">
        <w:rPr>
          <w:sz w:val="24"/>
          <w:szCs w:val="24"/>
        </w:rPr>
        <w:t>6) of 1</w:t>
      </w:r>
      <w:r w:rsidR="00816DDA" w:rsidRPr="0044150C">
        <w:rPr>
          <w:sz w:val="24"/>
          <w:szCs w:val="24"/>
        </w:rPr>
        <w:t>9</w:t>
      </w:r>
      <w:r w:rsidRPr="0044150C">
        <w:rPr>
          <w:sz w:val="24"/>
          <w:szCs w:val="24"/>
        </w:rPr>
        <w:t xml:space="preserve"> </w:t>
      </w:r>
      <w:r w:rsidR="00816DDA" w:rsidRPr="0044150C">
        <w:rPr>
          <w:sz w:val="24"/>
          <w:szCs w:val="24"/>
        </w:rPr>
        <w:t>December</w:t>
      </w:r>
      <w:r w:rsidRPr="0044150C">
        <w:rPr>
          <w:sz w:val="24"/>
          <w:szCs w:val="24"/>
        </w:rPr>
        <w:t xml:space="preserve"> 202</w:t>
      </w:r>
      <w:r w:rsidR="00816DDA" w:rsidRPr="0044150C">
        <w:rPr>
          <w:sz w:val="24"/>
          <w:szCs w:val="24"/>
        </w:rPr>
        <w:t>5</w:t>
      </w:r>
      <w:r w:rsidRPr="0044150C">
        <w:rPr>
          <w:sz w:val="24"/>
          <w:szCs w:val="24"/>
        </w:rPr>
        <w:t xml:space="preserve"> and the application (“the Application”) filed by </w:t>
      </w:r>
      <w:r w:rsidR="00816DDA" w:rsidRPr="0044150C">
        <w:rPr>
          <w:sz w:val="24"/>
          <w:szCs w:val="24"/>
        </w:rPr>
        <w:t>Niftylift Limited</w:t>
      </w:r>
      <w:r w:rsidRPr="0044150C">
        <w:rPr>
          <w:sz w:val="24"/>
          <w:szCs w:val="24"/>
        </w:rPr>
        <w:t xml:space="preserve"> (“the Applicant”).</w:t>
      </w:r>
    </w:p>
    <w:p w14:paraId="0E425BA3" w14:textId="77777777" w:rsidR="008D3C67" w:rsidRPr="0044150C" w:rsidRDefault="008D3C67" w:rsidP="008D3C67">
      <w:pPr>
        <w:pStyle w:val="a9"/>
        <w:rPr>
          <w:rFonts w:ascii="Arial" w:hAnsi="Arial" w:cs="Arial"/>
          <w:sz w:val="24"/>
          <w:szCs w:val="24"/>
          <w:lang w:val="en-GB"/>
        </w:rPr>
      </w:pPr>
    </w:p>
    <w:p w14:paraId="22C236F6" w14:textId="77777777" w:rsidR="008D3C67" w:rsidRPr="0044150C" w:rsidRDefault="008D3C67" w:rsidP="008D3C67">
      <w:pPr>
        <w:pStyle w:val="Body2"/>
        <w:numPr>
          <w:ilvl w:val="0"/>
          <w:numId w:val="1"/>
        </w:numPr>
        <w:spacing w:after="0" w:line="360" w:lineRule="auto"/>
        <w:ind w:hanging="720"/>
        <w:rPr>
          <w:sz w:val="24"/>
          <w:szCs w:val="24"/>
        </w:rPr>
      </w:pPr>
      <w:r w:rsidRPr="0044150C">
        <w:rPr>
          <w:sz w:val="24"/>
          <w:szCs w:val="24"/>
        </w:rPr>
        <w:t>The GOC intends to fully cooperate in this AS investigation, and these comments constitute part of the GOC’s response to the UK Trade Remedies Authority’s (“TRA’s”) questionnaire and should be read along with that response.</w:t>
      </w:r>
    </w:p>
    <w:p w14:paraId="0FC33E6E" w14:textId="77777777" w:rsidR="008D3C67" w:rsidRPr="0044150C" w:rsidRDefault="008D3C67" w:rsidP="008D3C67">
      <w:pPr>
        <w:pStyle w:val="a9"/>
        <w:rPr>
          <w:rFonts w:ascii="Arial" w:hAnsi="Arial" w:cs="Arial"/>
          <w:sz w:val="24"/>
          <w:szCs w:val="24"/>
          <w:lang w:val="en-GB"/>
        </w:rPr>
      </w:pPr>
    </w:p>
    <w:p w14:paraId="3634D216" w14:textId="503ECB3D" w:rsidR="008D3C67" w:rsidRPr="0044150C" w:rsidRDefault="008D3C67" w:rsidP="008D3C67">
      <w:pPr>
        <w:pStyle w:val="Body2"/>
        <w:numPr>
          <w:ilvl w:val="0"/>
          <w:numId w:val="1"/>
        </w:numPr>
        <w:spacing w:after="0" w:line="360" w:lineRule="auto"/>
        <w:ind w:hanging="720"/>
        <w:rPr>
          <w:sz w:val="24"/>
          <w:szCs w:val="24"/>
        </w:rPr>
      </w:pPr>
      <w:r w:rsidRPr="0044150C">
        <w:rPr>
          <w:sz w:val="24"/>
          <w:szCs w:val="24"/>
        </w:rPr>
        <w:t>In a nutshell, the GOC respectfully submits that, in the present case, the requirements for the initiation of an AS investigation as set out in the WTO Agreement on Subsidies and Countervailing Measures (“SCM Agreement”), the UK Trade Remedies (Dumping and Subsidisation) (EU Exit) Regulations 2019 (“UK Regulations”) and Schedule 4 to the UK Taxation (Cross-border Trade) Act 2018 (“TCBA”) are not met. For this reason, the present investigation should be terminated forthwith.</w:t>
      </w:r>
    </w:p>
    <w:p w14:paraId="19E4ED03" w14:textId="77777777" w:rsidR="008D3C67" w:rsidRPr="0044150C" w:rsidRDefault="008D3C67" w:rsidP="008D3C67">
      <w:pPr>
        <w:pStyle w:val="a9"/>
        <w:rPr>
          <w:rFonts w:ascii="Arial" w:hAnsi="Arial" w:cs="Arial"/>
          <w:sz w:val="24"/>
          <w:szCs w:val="24"/>
          <w:lang w:val="en-GB"/>
        </w:rPr>
      </w:pPr>
    </w:p>
    <w:p w14:paraId="7663B9DA" w14:textId="4A4DBE11" w:rsidR="008D3C67" w:rsidRPr="0044150C" w:rsidRDefault="008D3C67" w:rsidP="008D3C67">
      <w:pPr>
        <w:pStyle w:val="Body2"/>
        <w:numPr>
          <w:ilvl w:val="0"/>
          <w:numId w:val="1"/>
        </w:numPr>
        <w:spacing w:after="0" w:line="360" w:lineRule="auto"/>
        <w:ind w:hanging="720"/>
        <w:rPr>
          <w:sz w:val="24"/>
          <w:szCs w:val="24"/>
        </w:rPr>
      </w:pPr>
      <w:r w:rsidRPr="0044150C">
        <w:rPr>
          <w:sz w:val="24"/>
          <w:szCs w:val="24"/>
        </w:rPr>
        <w:t>The</w:t>
      </w:r>
      <w:r w:rsidRPr="0044150C">
        <w:rPr>
          <w:spacing w:val="-8"/>
          <w:sz w:val="24"/>
          <w:szCs w:val="24"/>
        </w:rPr>
        <w:t xml:space="preserve"> </w:t>
      </w:r>
      <w:r w:rsidRPr="0044150C">
        <w:rPr>
          <w:sz w:val="24"/>
          <w:szCs w:val="24"/>
        </w:rPr>
        <w:t>GOC</w:t>
      </w:r>
      <w:r w:rsidRPr="0044150C">
        <w:rPr>
          <w:spacing w:val="-8"/>
          <w:sz w:val="24"/>
          <w:szCs w:val="24"/>
        </w:rPr>
        <w:t xml:space="preserve"> </w:t>
      </w:r>
      <w:r w:rsidRPr="0044150C">
        <w:rPr>
          <w:sz w:val="24"/>
          <w:szCs w:val="24"/>
        </w:rPr>
        <w:t>will address the Applicant’s allegations concerning injurious subsidization showing that the</w:t>
      </w:r>
      <w:r w:rsidRPr="0044150C">
        <w:rPr>
          <w:spacing w:val="-17"/>
          <w:sz w:val="24"/>
          <w:szCs w:val="24"/>
        </w:rPr>
        <w:t xml:space="preserve"> </w:t>
      </w:r>
      <w:r w:rsidRPr="0044150C">
        <w:rPr>
          <w:sz w:val="24"/>
          <w:szCs w:val="24"/>
        </w:rPr>
        <w:t>arguments</w:t>
      </w:r>
      <w:r w:rsidRPr="0044150C">
        <w:rPr>
          <w:spacing w:val="-15"/>
          <w:sz w:val="24"/>
          <w:szCs w:val="24"/>
        </w:rPr>
        <w:t xml:space="preserve"> </w:t>
      </w:r>
      <w:r w:rsidRPr="0044150C">
        <w:rPr>
          <w:sz w:val="24"/>
          <w:szCs w:val="24"/>
        </w:rPr>
        <w:t>and</w:t>
      </w:r>
      <w:r w:rsidRPr="0044150C">
        <w:rPr>
          <w:spacing w:val="-16"/>
          <w:sz w:val="24"/>
          <w:szCs w:val="24"/>
        </w:rPr>
        <w:t xml:space="preserve"> </w:t>
      </w:r>
      <w:r w:rsidRPr="0044150C">
        <w:rPr>
          <w:sz w:val="24"/>
          <w:szCs w:val="24"/>
        </w:rPr>
        <w:t>data</w:t>
      </w:r>
      <w:r w:rsidRPr="0044150C">
        <w:rPr>
          <w:spacing w:val="-16"/>
          <w:sz w:val="24"/>
          <w:szCs w:val="24"/>
        </w:rPr>
        <w:t xml:space="preserve"> </w:t>
      </w:r>
      <w:r w:rsidRPr="0044150C">
        <w:rPr>
          <w:sz w:val="24"/>
          <w:szCs w:val="24"/>
        </w:rPr>
        <w:t>presented</w:t>
      </w:r>
      <w:r w:rsidRPr="0044150C">
        <w:rPr>
          <w:spacing w:val="-16"/>
          <w:sz w:val="24"/>
          <w:szCs w:val="24"/>
        </w:rPr>
        <w:t xml:space="preserve"> </w:t>
      </w:r>
      <w:r w:rsidRPr="0044150C">
        <w:rPr>
          <w:sz w:val="24"/>
          <w:szCs w:val="24"/>
        </w:rPr>
        <w:t>in</w:t>
      </w:r>
      <w:r w:rsidRPr="0044150C">
        <w:rPr>
          <w:spacing w:val="-15"/>
          <w:sz w:val="24"/>
          <w:szCs w:val="24"/>
        </w:rPr>
        <w:t xml:space="preserve"> </w:t>
      </w:r>
      <w:r w:rsidRPr="0044150C">
        <w:rPr>
          <w:sz w:val="24"/>
          <w:szCs w:val="24"/>
        </w:rPr>
        <w:t>the</w:t>
      </w:r>
      <w:r w:rsidRPr="0044150C">
        <w:rPr>
          <w:spacing w:val="-24"/>
          <w:sz w:val="24"/>
          <w:szCs w:val="24"/>
        </w:rPr>
        <w:t xml:space="preserve"> </w:t>
      </w:r>
      <w:r w:rsidRPr="0044150C">
        <w:rPr>
          <w:sz w:val="24"/>
          <w:szCs w:val="24"/>
        </w:rPr>
        <w:t>Application</w:t>
      </w:r>
      <w:r w:rsidRPr="0044150C">
        <w:rPr>
          <w:spacing w:val="-17"/>
          <w:sz w:val="24"/>
          <w:szCs w:val="24"/>
        </w:rPr>
        <w:t xml:space="preserve"> </w:t>
      </w:r>
      <w:r w:rsidRPr="0044150C">
        <w:rPr>
          <w:sz w:val="24"/>
          <w:szCs w:val="24"/>
        </w:rPr>
        <w:t>do</w:t>
      </w:r>
      <w:r w:rsidRPr="0044150C">
        <w:rPr>
          <w:spacing w:val="-16"/>
          <w:sz w:val="24"/>
          <w:szCs w:val="24"/>
        </w:rPr>
        <w:t xml:space="preserve"> </w:t>
      </w:r>
      <w:r w:rsidRPr="0044150C">
        <w:rPr>
          <w:sz w:val="24"/>
          <w:szCs w:val="24"/>
        </w:rPr>
        <w:t>not</w:t>
      </w:r>
      <w:r w:rsidRPr="0044150C">
        <w:rPr>
          <w:spacing w:val="-15"/>
          <w:sz w:val="24"/>
          <w:szCs w:val="24"/>
        </w:rPr>
        <w:t xml:space="preserve"> </w:t>
      </w:r>
      <w:r w:rsidRPr="0044150C">
        <w:rPr>
          <w:sz w:val="24"/>
          <w:szCs w:val="24"/>
        </w:rPr>
        <w:t>justify</w:t>
      </w:r>
      <w:r w:rsidRPr="0044150C">
        <w:rPr>
          <w:spacing w:val="-16"/>
          <w:sz w:val="24"/>
          <w:szCs w:val="24"/>
        </w:rPr>
        <w:t xml:space="preserve"> </w:t>
      </w:r>
      <w:r w:rsidRPr="0044150C">
        <w:rPr>
          <w:sz w:val="24"/>
          <w:szCs w:val="24"/>
        </w:rPr>
        <w:t>the</w:t>
      </w:r>
      <w:r w:rsidRPr="0044150C">
        <w:rPr>
          <w:spacing w:val="-16"/>
          <w:sz w:val="24"/>
          <w:szCs w:val="24"/>
        </w:rPr>
        <w:t xml:space="preserve"> </w:t>
      </w:r>
      <w:r w:rsidRPr="0044150C">
        <w:rPr>
          <w:sz w:val="24"/>
          <w:szCs w:val="24"/>
        </w:rPr>
        <w:t>initiation</w:t>
      </w:r>
      <w:r w:rsidRPr="0044150C">
        <w:rPr>
          <w:spacing w:val="-16"/>
          <w:sz w:val="24"/>
          <w:szCs w:val="24"/>
        </w:rPr>
        <w:t xml:space="preserve"> </w:t>
      </w:r>
      <w:r w:rsidRPr="0044150C">
        <w:rPr>
          <w:sz w:val="24"/>
          <w:szCs w:val="24"/>
        </w:rPr>
        <w:t>and</w:t>
      </w:r>
      <w:r w:rsidRPr="0044150C">
        <w:rPr>
          <w:spacing w:val="-17"/>
          <w:sz w:val="24"/>
          <w:szCs w:val="24"/>
        </w:rPr>
        <w:t xml:space="preserve"> </w:t>
      </w:r>
      <w:r w:rsidRPr="0044150C">
        <w:rPr>
          <w:sz w:val="24"/>
          <w:szCs w:val="24"/>
        </w:rPr>
        <w:t xml:space="preserve">continuation of the investigation, let alone the imposition of AS measures, on </w:t>
      </w:r>
      <w:r w:rsidR="009C3948" w:rsidRPr="0044150C">
        <w:rPr>
          <w:rFonts w:eastAsiaTheme="minorEastAsia"/>
          <w:sz w:val="24"/>
          <w:szCs w:val="24"/>
          <w:lang w:eastAsia="zh-CN"/>
        </w:rPr>
        <w:t>boom lift</w:t>
      </w:r>
      <w:r w:rsidR="00816DDA" w:rsidRPr="0044150C">
        <w:rPr>
          <w:rFonts w:eastAsiaTheme="minorEastAsia"/>
          <w:sz w:val="24"/>
          <w:szCs w:val="24"/>
          <w:lang w:eastAsia="zh-CN"/>
        </w:rPr>
        <w:t>s</w:t>
      </w:r>
      <w:r w:rsidRPr="0044150C">
        <w:rPr>
          <w:sz w:val="24"/>
          <w:szCs w:val="24"/>
        </w:rPr>
        <w:t xml:space="preserve"> imports from</w:t>
      </w:r>
      <w:r w:rsidRPr="0044150C">
        <w:rPr>
          <w:spacing w:val="-27"/>
          <w:sz w:val="24"/>
          <w:szCs w:val="24"/>
        </w:rPr>
        <w:t xml:space="preserve"> </w:t>
      </w:r>
      <w:r w:rsidRPr="0044150C">
        <w:rPr>
          <w:sz w:val="24"/>
          <w:szCs w:val="24"/>
        </w:rPr>
        <w:t>China.</w:t>
      </w:r>
    </w:p>
    <w:p w14:paraId="6ADDE378" w14:textId="77777777" w:rsidR="008D3C67" w:rsidRPr="0044150C" w:rsidRDefault="008D3C67" w:rsidP="008D3C67">
      <w:pPr>
        <w:pStyle w:val="a9"/>
        <w:rPr>
          <w:rFonts w:ascii="Arial" w:hAnsi="Arial" w:cs="Arial"/>
          <w:sz w:val="24"/>
          <w:szCs w:val="24"/>
          <w:lang w:val="en-GB"/>
        </w:rPr>
      </w:pPr>
    </w:p>
    <w:p w14:paraId="5D6C556C" w14:textId="77777777" w:rsidR="008D3C67" w:rsidRPr="0044150C" w:rsidRDefault="008D3C67" w:rsidP="008D3C67">
      <w:pPr>
        <w:pStyle w:val="Body2"/>
        <w:numPr>
          <w:ilvl w:val="0"/>
          <w:numId w:val="1"/>
        </w:numPr>
        <w:spacing w:after="0" w:line="360" w:lineRule="auto"/>
        <w:ind w:hanging="720"/>
        <w:rPr>
          <w:sz w:val="24"/>
          <w:szCs w:val="24"/>
        </w:rPr>
      </w:pPr>
      <w:r w:rsidRPr="0044150C">
        <w:rPr>
          <w:sz w:val="24"/>
          <w:szCs w:val="24"/>
        </w:rPr>
        <w:t>The GOC reserves its right to comment further on procedural and substantive issues in the course of the present</w:t>
      </w:r>
      <w:r w:rsidRPr="0044150C">
        <w:rPr>
          <w:spacing w:val="-2"/>
          <w:sz w:val="24"/>
          <w:szCs w:val="24"/>
        </w:rPr>
        <w:t xml:space="preserve"> </w:t>
      </w:r>
      <w:r w:rsidRPr="0044150C">
        <w:rPr>
          <w:sz w:val="24"/>
          <w:szCs w:val="24"/>
        </w:rPr>
        <w:t>investigation.</w:t>
      </w:r>
    </w:p>
    <w:p w14:paraId="780C3424" w14:textId="77777777" w:rsidR="00B21A9E" w:rsidRPr="0044150C" w:rsidRDefault="00B21A9E" w:rsidP="00673F74">
      <w:pPr>
        <w:pStyle w:val="a9"/>
        <w:rPr>
          <w:rFonts w:ascii="Arial" w:hAnsi="Arial" w:cs="Arial"/>
          <w:sz w:val="24"/>
          <w:szCs w:val="24"/>
          <w:lang w:val="en-GB"/>
        </w:rPr>
      </w:pPr>
    </w:p>
    <w:p w14:paraId="439606B0" w14:textId="2B9FDF3F" w:rsidR="00296316" w:rsidRPr="0044150C" w:rsidRDefault="00C51ACE" w:rsidP="00673F74">
      <w:pPr>
        <w:pStyle w:val="1"/>
        <w:spacing w:before="0"/>
        <w:ind w:left="709" w:hanging="709"/>
        <w:rPr>
          <w:caps/>
        </w:rPr>
      </w:pPr>
      <w:bookmarkStart w:id="1" w:name="_Toc226652283"/>
      <w:r w:rsidRPr="0044150C">
        <w:rPr>
          <w:caps/>
        </w:rPr>
        <w:t>SUBSIDIZATION</w:t>
      </w:r>
      <w:bookmarkEnd w:id="1"/>
    </w:p>
    <w:p w14:paraId="6D8B7051" w14:textId="77777777" w:rsidR="00296316" w:rsidRPr="0044150C" w:rsidRDefault="00296316" w:rsidP="00673F74">
      <w:pPr>
        <w:pStyle w:val="a9"/>
        <w:rPr>
          <w:rFonts w:ascii="Arial" w:hAnsi="Arial" w:cs="Arial"/>
          <w:sz w:val="24"/>
          <w:szCs w:val="24"/>
          <w:lang w:val="en-GB"/>
        </w:rPr>
      </w:pPr>
    </w:p>
    <w:p w14:paraId="5DD26811" w14:textId="50E6817E" w:rsidR="0045188A" w:rsidRPr="0044150C" w:rsidRDefault="0045188A" w:rsidP="00673F74">
      <w:pPr>
        <w:pStyle w:val="2"/>
        <w:ind w:left="720" w:hanging="720"/>
        <w:rPr>
          <w:lang w:val="en-GB"/>
        </w:rPr>
      </w:pPr>
      <w:bookmarkStart w:id="2" w:name="_Toc226652284"/>
      <w:r w:rsidRPr="0044150C">
        <w:rPr>
          <w:lang w:val="en-GB"/>
        </w:rPr>
        <w:lastRenderedPageBreak/>
        <w:t>Applicable legal standard</w:t>
      </w:r>
      <w:bookmarkEnd w:id="2"/>
    </w:p>
    <w:p w14:paraId="0B31BAC9" w14:textId="09FD6ADC" w:rsidR="0044496C" w:rsidRPr="0044150C" w:rsidRDefault="0044496C" w:rsidP="0044496C">
      <w:pPr>
        <w:pStyle w:val="a9"/>
        <w:widowControl w:val="0"/>
        <w:numPr>
          <w:ilvl w:val="0"/>
          <w:numId w:val="1"/>
        </w:numPr>
        <w:autoSpaceDE w:val="0"/>
        <w:autoSpaceDN w:val="0"/>
        <w:spacing w:before="110"/>
        <w:ind w:right="-46" w:hanging="720"/>
        <w:rPr>
          <w:rFonts w:ascii="Arial" w:hAnsi="Arial" w:cs="Arial"/>
          <w:sz w:val="24"/>
          <w:szCs w:val="24"/>
          <w:lang w:val="en-GB"/>
        </w:rPr>
      </w:pPr>
      <w:r w:rsidRPr="0044150C">
        <w:rPr>
          <w:rFonts w:ascii="Arial" w:hAnsi="Arial" w:cs="Arial"/>
          <w:sz w:val="24"/>
          <w:szCs w:val="24"/>
          <w:lang w:val="en-GB"/>
        </w:rPr>
        <w:t xml:space="preserve">The GOC recalls that Article </w:t>
      </w:r>
      <w:r w:rsidRPr="0044150C">
        <w:rPr>
          <w:rFonts w:ascii="Arial" w:hAnsi="Arial" w:cs="Arial"/>
          <w:spacing w:val="-3"/>
          <w:sz w:val="24"/>
          <w:szCs w:val="24"/>
          <w:lang w:val="en-GB"/>
        </w:rPr>
        <w:t xml:space="preserve">11.2 </w:t>
      </w:r>
      <w:r w:rsidRPr="0044150C">
        <w:rPr>
          <w:rFonts w:ascii="Arial" w:hAnsi="Arial" w:cs="Arial"/>
          <w:sz w:val="24"/>
          <w:szCs w:val="24"/>
          <w:lang w:val="en-GB"/>
        </w:rPr>
        <w:t>of the SCM Agreement</w:t>
      </w:r>
      <w:r w:rsidRPr="0044150C">
        <w:rPr>
          <w:rStyle w:val="ab"/>
          <w:rFonts w:ascii="Arial" w:hAnsi="Arial" w:cs="Arial"/>
          <w:sz w:val="24"/>
          <w:szCs w:val="24"/>
          <w:lang w:val="en-GB"/>
        </w:rPr>
        <w:footnoteReference w:id="1"/>
      </w:r>
      <w:r w:rsidRPr="0044150C">
        <w:rPr>
          <w:rFonts w:ascii="Arial" w:hAnsi="Arial" w:cs="Arial"/>
          <w:sz w:val="24"/>
          <w:szCs w:val="24"/>
          <w:lang w:val="en-GB"/>
        </w:rPr>
        <w:t xml:space="preserve"> sets out the evidentiary standard that must be satisfied in an application submitted to an investigating authority by or on behalf of a domestic </w:t>
      </w:r>
      <w:r w:rsidRPr="0044150C">
        <w:rPr>
          <w:rFonts w:ascii="Arial" w:hAnsi="Arial" w:cs="Arial"/>
          <w:spacing w:val="-3"/>
          <w:sz w:val="24"/>
          <w:szCs w:val="24"/>
          <w:lang w:val="en-GB"/>
        </w:rPr>
        <w:t xml:space="preserve">injury. </w:t>
      </w:r>
      <w:r w:rsidRPr="0044150C">
        <w:rPr>
          <w:rFonts w:ascii="Arial" w:hAnsi="Arial" w:cs="Arial"/>
          <w:sz w:val="24"/>
          <w:szCs w:val="24"/>
          <w:lang w:val="en-GB"/>
        </w:rPr>
        <w:t xml:space="preserve">Article </w:t>
      </w:r>
      <w:r w:rsidRPr="0044150C">
        <w:rPr>
          <w:rFonts w:ascii="Arial" w:hAnsi="Arial" w:cs="Arial"/>
          <w:spacing w:val="-3"/>
          <w:sz w:val="24"/>
          <w:szCs w:val="24"/>
          <w:lang w:val="en-GB"/>
        </w:rPr>
        <w:t xml:space="preserve">11.2 </w:t>
      </w:r>
      <w:r w:rsidRPr="0044150C">
        <w:rPr>
          <w:rFonts w:ascii="Arial" w:hAnsi="Arial" w:cs="Arial"/>
          <w:sz w:val="24"/>
          <w:szCs w:val="24"/>
          <w:lang w:val="en-GB"/>
        </w:rPr>
        <w:t>of the SCM Agreement provides as</w:t>
      </w:r>
      <w:r w:rsidRPr="0044150C">
        <w:rPr>
          <w:rFonts w:ascii="Arial" w:hAnsi="Arial" w:cs="Arial"/>
          <w:spacing w:val="-25"/>
          <w:sz w:val="24"/>
          <w:szCs w:val="24"/>
          <w:lang w:val="en-GB"/>
        </w:rPr>
        <w:t xml:space="preserve"> </w:t>
      </w:r>
      <w:r w:rsidRPr="0044150C">
        <w:rPr>
          <w:rFonts w:ascii="Arial" w:hAnsi="Arial" w:cs="Arial"/>
          <w:sz w:val="24"/>
          <w:szCs w:val="24"/>
          <w:lang w:val="en-GB"/>
        </w:rPr>
        <w:t>follows:</w:t>
      </w:r>
    </w:p>
    <w:p w14:paraId="288A9EB6" w14:textId="77777777" w:rsidR="0044496C" w:rsidRPr="0044150C" w:rsidRDefault="0044496C" w:rsidP="009A453E">
      <w:pPr>
        <w:spacing w:line="275" w:lineRule="exact"/>
        <w:ind w:left="1440" w:right="-46"/>
        <w:rPr>
          <w:rFonts w:ascii="Arial" w:hAnsi="Arial" w:cs="Arial"/>
          <w:i/>
          <w:sz w:val="24"/>
          <w:szCs w:val="24"/>
          <w:lang w:val="en-GB"/>
        </w:rPr>
      </w:pPr>
      <w:r w:rsidRPr="0044150C">
        <w:rPr>
          <w:rFonts w:ascii="Arial" w:hAnsi="Arial" w:cs="Arial"/>
          <w:sz w:val="24"/>
          <w:szCs w:val="24"/>
          <w:lang w:val="en-GB"/>
        </w:rPr>
        <w:t>“</w:t>
      </w:r>
      <w:r w:rsidRPr="0044150C">
        <w:rPr>
          <w:rFonts w:ascii="Arial" w:hAnsi="Arial" w:cs="Arial"/>
          <w:i/>
          <w:sz w:val="24"/>
          <w:szCs w:val="24"/>
          <w:u w:val="single"/>
          <w:lang w:val="en-GB"/>
        </w:rPr>
        <w:t>An</w:t>
      </w:r>
      <w:r w:rsidRPr="0044150C">
        <w:rPr>
          <w:rFonts w:ascii="Arial" w:hAnsi="Arial" w:cs="Arial"/>
          <w:i/>
          <w:spacing w:val="13"/>
          <w:sz w:val="24"/>
          <w:szCs w:val="24"/>
          <w:u w:val="single"/>
          <w:lang w:val="en-GB"/>
        </w:rPr>
        <w:t xml:space="preserve"> </w:t>
      </w:r>
      <w:r w:rsidRPr="0044150C">
        <w:rPr>
          <w:rFonts w:ascii="Arial" w:hAnsi="Arial" w:cs="Arial"/>
          <w:i/>
          <w:sz w:val="24"/>
          <w:szCs w:val="24"/>
          <w:u w:val="single"/>
          <w:lang w:val="en-GB"/>
        </w:rPr>
        <w:t>application</w:t>
      </w:r>
      <w:r w:rsidRPr="0044150C">
        <w:rPr>
          <w:rFonts w:ascii="Arial" w:hAnsi="Arial" w:cs="Arial"/>
          <w:i/>
          <w:spacing w:val="13"/>
          <w:sz w:val="24"/>
          <w:szCs w:val="24"/>
          <w:lang w:val="en-GB"/>
        </w:rPr>
        <w:t xml:space="preserve"> </w:t>
      </w:r>
      <w:r w:rsidRPr="0044150C">
        <w:rPr>
          <w:rFonts w:ascii="Arial" w:hAnsi="Arial" w:cs="Arial"/>
          <w:i/>
          <w:sz w:val="24"/>
          <w:szCs w:val="24"/>
          <w:lang w:val="en-GB"/>
        </w:rPr>
        <w:t>under</w:t>
      </w:r>
      <w:r w:rsidRPr="0044150C">
        <w:rPr>
          <w:rFonts w:ascii="Arial" w:hAnsi="Arial" w:cs="Arial"/>
          <w:i/>
          <w:spacing w:val="13"/>
          <w:sz w:val="24"/>
          <w:szCs w:val="24"/>
          <w:lang w:val="en-GB"/>
        </w:rPr>
        <w:t xml:space="preserve"> </w:t>
      </w:r>
      <w:r w:rsidRPr="0044150C">
        <w:rPr>
          <w:rFonts w:ascii="Arial" w:hAnsi="Arial" w:cs="Arial"/>
          <w:i/>
          <w:sz w:val="24"/>
          <w:szCs w:val="24"/>
          <w:lang w:val="en-GB"/>
        </w:rPr>
        <w:t>paragraph</w:t>
      </w:r>
      <w:r w:rsidRPr="0044150C">
        <w:rPr>
          <w:rFonts w:ascii="Arial" w:hAnsi="Arial" w:cs="Arial"/>
          <w:i/>
          <w:spacing w:val="13"/>
          <w:sz w:val="24"/>
          <w:szCs w:val="24"/>
          <w:lang w:val="en-GB"/>
        </w:rPr>
        <w:t xml:space="preserve"> </w:t>
      </w:r>
      <w:r w:rsidRPr="0044150C">
        <w:rPr>
          <w:rFonts w:ascii="Arial" w:hAnsi="Arial" w:cs="Arial"/>
          <w:i/>
          <w:sz w:val="24"/>
          <w:szCs w:val="24"/>
          <w:lang w:val="en-GB"/>
        </w:rPr>
        <w:t>1</w:t>
      </w:r>
      <w:r w:rsidRPr="0044150C">
        <w:rPr>
          <w:rFonts w:ascii="Arial" w:hAnsi="Arial" w:cs="Arial"/>
          <w:i/>
          <w:spacing w:val="14"/>
          <w:sz w:val="24"/>
          <w:szCs w:val="24"/>
          <w:lang w:val="en-GB"/>
        </w:rPr>
        <w:t xml:space="preserve"> </w:t>
      </w:r>
      <w:r w:rsidRPr="0044150C">
        <w:rPr>
          <w:rFonts w:ascii="Arial" w:hAnsi="Arial" w:cs="Arial"/>
          <w:i/>
          <w:sz w:val="24"/>
          <w:szCs w:val="24"/>
          <w:u w:val="single"/>
          <w:lang w:val="en-GB"/>
        </w:rPr>
        <w:t>shall</w:t>
      </w:r>
      <w:r w:rsidRPr="0044150C">
        <w:rPr>
          <w:rFonts w:ascii="Arial" w:hAnsi="Arial" w:cs="Arial"/>
          <w:i/>
          <w:spacing w:val="13"/>
          <w:sz w:val="24"/>
          <w:szCs w:val="24"/>
          <w:u w:val="single"/>
          <w:lang w:val="en-GB"/>
        </w:rPr>
        <w:t xml:space="preserve"> </w:t>
      </w:r>
      <w:r w:rsidRPr="0044150C">
        <w:rPr>
          <w:rFonts w:ascii="Arial" w:hAnsi="Arial" w:cs="Arial"/>
          <w:i/>
          <w:sz w:val="24"/>
          <w:szCs w:val="24"/>
          <w:u w:val="single"/>
          <w:lang w:val="en-GB"/>
        </w:rPr>
        <w:t>include</w:t>
      </w:r>
      <w:r w:rsidRPr="0044150C">
        <w:rPr>
          <w:rFonts w:ascii="Arial" w:hAnsi="Arial" w:cs="Arial"/>
          <w:i/>
          <w:spacing w:val="12"/>
          <w:sz w:val="24"/>
          <w:szCs w:val="24"/>
          <w:u w:val="single"/>
          <w:lang w:val="en-GB"/>
        </w:rPr>
        <w:t xml:space="preserve"> </w:t>
      </w:r>
      <w:r w:rsidRPr="0044150C">
        <w:rPr>
          <w:rFonts w:ascii="Arial" w:hAnsi="Arial" w:cs="Arial"/>
          <w:i/>
          <w:sz w:val="24"/>
          <w:szCs w:val="24"/>
          <w:u w:val="single"/>
          <w:lang w:val="en-GB"/>
        </w:rPr>
        <w:t>sufficient</w:t>
      </w:r>
      <w:r w:rsidRPr="0044150C">
        <w:rPr>
          <w:rFonts w:ascii="Arial" w:hAnsi="Arial" w:cs="Arial"/>
          <w:i/>
          <w:spacing w:val="13"/>
          <w:sz w:val="24"/>
          <w:szCs w:val="24"/>
          <w:u w:val="single"/>
          <w:lang w:val="en-GB"/>
        </w:rPr>
        <w:t xml:space="preserve"> </w:t>
      </w:r>
      <w:r w:rsidRPr="0044150C">
        <w:rPr>
          <w:rFonts w:ascii="Arial" w:hAnsi="Arial" w:cs="Arial"/>
          <w:i/>
          <w:sz w:val="24"/>
          <w:szCs w:val="24"/>
          <w:u w:val="single"/>
          <w:lang w:val="en-GB"/>
        </w:rPr>
        <w:t>evidence</w:t>
      </w:r>
      <w:r w:rsidRPr="0044150C">
        <w:rPr>
          <w:rFonts w:ascii="Arial" w:hAnsi="Arial" w:cs="Arial"/>
          <w:i/>
          <w:spacing w:val="12"/>
          <w:sz w:val="24"/>
          <w:szCs w:val="24"/>
          <w:u w:val="single"/>
          <w:lang w:val="en-GB"/>
        </w:rPr>
        <w:t xml:space="preserve"> </w:t>
      </w:r>
      <w:r w:rsidRPr="0044150C">
        <w:rPr>
          <w:rFonts w:ascii="Arial" w:hAnsi="Arial" w:cs="Arial"/>
          <w:i/>
          <w:sz w:val="24"/>
          <w:szCs w:val="24"/>
          <w:u w:val="single"/>
          <w:lang w:val="en-GB"/>
        </w:rPr>
        <w:t>of</w:t>
      </w:r>
      <w:r w:rsidRPr="0044150C">
        <w:rPr>
          <w:rFonts w:ascii="Arial" w:hAnsi="Arial" w:cs="Arial"/>
          <w:i/>
          <w:spacing w:val="13"/>
          <w:sz w:val="24"/>
          <w:szCs w:val="24"/>
          <w:u w:val="single"/>
          <w:lang w:val="en-GB"/>
        </w:rPr>
        <w:t xml:space="preserve"> </w:t>
      </w:r>
      <w:r w:rsidRPr="0044150C">
        <w:rPr>
          <w:rFonts w:ascii="Arial" w:hAnsi="Arial" w:cs="Arial"/>
          <w:i/>
          <w:sz w:val="24"/>
          <w:szCs w:val="24"/>
          <w:u w:val="single"/>
          <w:lang w:val="en-GB"/>
        </w:rPr>
        <w:t>the</w:t>
      </w:r>
      <w:r w:rsidRPr="0044150C">
        <w:rPr>
          <w:rFonts w:ascii="Arial" w:hAnsi="Arial" w:cs="Arial"/>
          <w:i/>
          <w:spacing w:val="12"/>
          <w:sz w:val="24"/>
          <w:szCs w:val="24"/>
          <w:u w:val="single"/>
          <w:lang w:val="en-GB"/>
        </w:rPr>
        <w:t xml:space="preserve"> </w:t>
      </w:r>
      <w:r w:rsidRPr="0044150C">
        <w:rPr>
          <w:rFonts w:ascii="Arial" w:hAnsi="Arial" w:cs="Arial"/>
          <w:i/>
          <w:sz w:val="24"/>
          <w:szCs w:val="24"/>
          <w:u w:val="single"/>
          <w:lang w:val="en-GB"/>
        </w:rPr>
        <w:t>existence</w:t>
      </w:r>
      <w:r w:rsidRPr="0044150C">
        <w:rPr>
          <w:rFonts w:ascii="Arial" w:hAnsi="Arial" w:cs="Arial"/>
          <w:i/>
          <w:spacing w:val="13"/>
          <w:sz w:val="24"/>
          <w:szCs w:val="24"/>
          <w:u w:val="single"/>
          <w:lang w:val="en-GB"/>
        </w:rPr>
        <w:t xml:space="preserve"> </w:t>
      </w:r>
      <w:r w:rsidRPr="0044150C">
        <w:rPr>
          <w:rFonts w:ascii="Arial" w:hAnsi="Arial" w:cs="Arial"/>
          <w:i/>
          <w:sz w:val="24"/>
          <w:szCs w:val="24"/>
          <w:u w:val="single"/>
          <w:lang w:val="en-GB"/>
        </w:rPr>
        <w:t xml:space="preserve">of </w:t>
      </w:r>
      <w:r w:rsidRPr="0044150C">
        <w:rPr>
          <w:rFonts w:ascii="Arial" w:hAnsi="Arial" w:cs="Arial"/>
          <w:i/>
          <w:sz w:val="24"/>
          <w:szCs w:val="24"/>
          <w:lang w:val="en-GB"/>
        </w:rPr>
        <w:t xml:space="preserve">(a) </w:t>
      </w:r>
      <w:r w:rsidRPr="0044150C">
        <w:rPr>
          <w:rFonts w:ascii="Arial" w:hAnsi="Arial" w:cs="Arial"/>
          <w:i/>
          <w:sz w:val="24"/>
          <w:szCs w:val="24"/>
          <w:u w:val="single"/>
          <w:lang w:val="en-GB"/>
        </w:rPr>
        <w:t>a subsidy and, if possible, its amount</w:t>
      </w:r>
      <w:r w:rsidRPr="0044150C">
        <w:rPr>
          <w:rFonts w:ascii="Arial" w:hAnsi="Arial" w:cs="Arial"/>
          <w:i/>
          <w:sz w:val="24"/>
          <w:szCs w:val="24"/>
          <w:lang w:val="en-GB"/>
        </w:rPr>
        <w:t xml:space="preserve">, (b) injury within the meaning of Article VI of </w:t>
      </w:r>
      <w:r w:rsidRPr="0044150C">
        <w:rPr>
          <w:rFonts w:ascii="Arial" w:hAnsi="Arial" w:cs="Arial"/>
          <w:i/>
          <w:spacing w:val="-3"/>
          <w:sz w:val="24"/>
          <w:szCs w:val="24"/>
          <w:lang w:val="en-GB"/>
        </w:rPr>
        <w:t>GATT</w:t>
      </w:r>
      <w:r w:rsidRPr="0044150C">
        <w:rPr>
          <w:rFonts w:ascii="Arial" w:hAnsi="Arial" w:cs="Arial"/>
          <w:i/>
          <w:spacing w:val="-17"/>
          <w:sz w:val="24"/>
          <w:szCs w:val="24"/>
          <w:lang w:val="en-GB"/>
        </w:rPr>
        <w:t xml:space="preserve"> </w:t>
      </w:r>
      <w:r w:rsidRPr="0044150C">
        <w:rPr>
          <w:rFonts w:ascii="Arial" w:hAnsi="Arial" w:cs="Arial"/>
          <w:i/>
          <w:sz w:val="24"/>
          <w:szCs w:val="24"/>
          <w:lang w:val="en-GB"/>
        </w:rPr>
        <w:t>1994</w:t>
      </w:r>
      <w:r w:rsidRPr="0044150C">
        <w:rPr>
          <w:rFonts w:ascii="Arial" w:hAnsi="Arial" w:cs="Arial"/>
          <w:i/>
          <w:spacing w:val="-12"/>
          <w:sz w:val="24"/>
          <w:szCs w:val="24"/>
          <w:lang w:val="en-GB"/>
        </w:rPr>
        <w:t xml:space="preserve"> </w:t>
      </w:r>
      <w:r w:rsidRPr="0044150C">
        <w:rPr>
          <w:rFonts w:ascii="Arial" w:hAnsi="Arial" w:cs="Arial"/>
          <w:i/>
          <w:sz w:val="24"/>
          <w:szCs w:val="24"/>
          <w:lang w:val="en-GB"/>
        </w:rPr>
        <w:t>as</w:t>
      </w:r>
      <w:r w:rsidRPr="0044150C">
        <w:rPr>
          <w:rFonts w:ascii="Arial" w:hAnsi="Arial" w:cs="Arial"/>
          <w:i/>
          <w:spacing w:val="-12"/>
          <w:sz w:val="24"/>
          <w:szCs w:val="24"/>
          <w:lang w:val="en-GB"/>
        </w:rPr>
        <w:t xml:space="preserve"> </w:t>
      </w:r>
      <w:r w:rsidRPr="0044150C">
        <w:rPr>
          <w:rFonts w:ascii="Arial" w:hAnsi="Arial" w:cs="Arial"/>
          <w:i/>
          <w:sz w:val="24"/>
          <w:szCs w:val="24"/>
          <w:lang w:val="en-GB"/>
        </w:rPr>
        <w:t>interpreted</w:t>
      </w:r>
      <w:r w:rsidRPr="0044150C">
        <w:rPr>
          <w:rFonts w:ascii="Arial" w:hAnsi="Arial" w:cs="Arial"/>
          <w:i/>
          <w:spacing w:val="-13"/>
          <w:sz w:val="24"/>
          <w:szCs w:val="24"/>
          <w:lang w:val="en-GB"/>
        </w:rPr>
        <w:t xml:space="preserve"> </w:t>
      </w:r>
      <w:r w:rsidRPr="0044150C">
        <w:rPr>
          <w:rFonts w:ascii="Arial" w:hAnsi="Arial" w:cs="Arial"/>
          <w:i/>
          <w:sz w:val="24"/>
          <w:szCs w:val="24"/>
          <w:lang w:val="en-GB"/>
        </w:rPr>
        <w:t>by</w:t>
      </w:r>
      <w:r w:rsidRPr="0044150C">
        <w:rPr>
          <w:rFonts w:ascii="Arial" w:hAnsi="Arial" w:cs="Arial"/>
          <w:i/>
          <w:spacing w:val="-13"/>
          <w:sz w:val="24"/>
          <w:szCs w:val="24"/>
          <w:lang w:val="en-GB"/>
        </w:rPr>
        <w:t xml:space="preserve"> </w:t>
      </w:r>
      <w:r w:rsidRPr="0044150C">
        <w:rPr>
          <w:rFonts w:ascii="Arial" w:hAnsi="Arial" w:cs="Arial"/>
          <w:i/>
          <w:sz w:val="24"/>
          <w:szCs w:val="24"/>
          <w:lang w:val="en-GB"/>
        </w:rPr>
        <w:t>this</w:t>
      </w:r>
      <w:r w:rsidRPr="0044150C">
        <w:rPr>
          <w:rFonts w:ascii="Arial" w:hAnsi="Arial" w:cs="Arial"/>
          <w:i/>
          <w:spacing w:val="-17"/>
          <w:sz w:val="24"/>
          <w:szCs w:val="24"/>
          <w:lang w:val="en-GB"/>
        </w:rPr>
        <w:t xml:space="preserve"> </w:t>
      </w:r>
      <w:r w:rsidRPr="0044150C">
        <w:rPr>
          <w:rFonts w:ascii="Arial" w:hAnsi="Arial" w:cs="Arial"/>
          <w:i/>
          <w:sz w:val="24"/>
          <w:szCs w:val="24"/>
          <w:lang w:val="en-GB"/>
        </w:rPr>
        <w:t>Agreement,</w:t>
      </w:r>
      <w:r w:rsidRPr="0044150C">
        <w:rPr>
          <w:rFonts w:ascii="Arial" w:hAnsi="Arial" w:cs="Arial"/>
          <w:i/>
          <w:spacing w:val="-13"/>
          <w:sz w:val="24"/>
          <w:szCs w:val="24"/>
          <w:lang w:val="en-GB"/>
        </w:rPr>
        <w:t xml:space="preserve"> </w:t>
      </w:r>
      <w:r w:rsidRPr="0044150C">
        <w:rPr>
          <w:rFonts w:ascii="Arial" w:hAnsi="Arial" w:cs="Arial"/>
          <w:i/>
          <w:sz w:val="24"/>
          <w:szCs w:val="24"/>
          <w:lang w:val="en-GB"/>
        </w:rPr>
        <w:t>and</w:t>
      </w:r>
      <w:r w:rsidRPr="0044150C">
        <w:rPr>
          <w:rFonts w:ascii="Arial" w:hAnsi="Arial" w:cs="Arial"/>
          <w:i/>
          <w:spacing w:val="-10"/>
          <w:sz w:val="24"/>
          <w:szCs w:val="24"/>
          <w:lang w:val="en-GB"/>
        </w:rPr>
        <w:t xml:space="preserve"> </w:t>
      </w:r>
      <w:r w:rsidRPr="0044150C">
        <w:rPr>
          <w:rFonts w:ascii="Arial" w:hAnsi="Arial" w:cs="Arial"/>
          <w:i/>
          <w:sz w:val="24"/>
          <w:szCs w:val="24"/>
          <w:lang w:val="en-GB"/>
        </w:rPr>
        <w:t>(c)</w:t>
      </w:r>
      <w:r w:rsidRPr="0044150C">
        <w:rPr>
          <w:rFonts w:ascii="Arial" w:hAnsi="Arial" w:cs="Arial"/>
          <w:i/>
          <w:spacing w:val="-14"/>
          <w:sz w:val="24"/>
          <w:szCs w:val="24"/>
          <w:lang w:val="en-GB"/>
        </w:rPr>
        <w:t xml:space="preserve"> </w:t>
      </w:r>
      <w:r w:rsidRPr="0044150C">
        <w:rPr>
          <w:rFonts w:ascii="Arial" w:hAnsi="Arial" w:cs="Arial"/>
          <w:i/>
          <w:sz w:val="24"/>
          <w:szCs w:val="24"/>
          <w:lang w:val="en-GB"/>
        </w:rPr>
        <w:t>a</w:t>
      </w:r>
      <w:r w:rsidRPr="0044150C">
        <w:rPr>
          <w:rFonts w:ascii="Arial" w:hAnsi="Arial" w:cs="Arial"/>
          <w:i/>
          <w:spacing w:val="-10"/>
          <w:sz w:val="24"/>
          <w:szCs w:val="24"/>
          <w:lang w:val="en-GB"/>
        </w:rPr>
        <w:t xml:space="preserve"> </w:t>
      </w:r>
      <w:r w:rsidRPr="0044150C">
        <w:rPr>
          <w:rFonts w:ascii="Arial" w:hAnsi="Arial" w:cs="Arial"/>
          <w:i/>
          <w:sz w:val="24"/>
          <w:szCs w:val="24"/>
          <w:lang w:val="en-GB"/>
        </w:rPr>
        <w:t>causal</w:t>
      </w:r>
      <w:r w:rsidRPr="0044150C">
        <w:rPr>
          <w:rFonts w:ascii="Arial" w:hAnsi="Arial" w:cs="Arial"/>
          <w:i/>
          <w:spacing w:val="-13"/>
          <w:sz w:val="24"/>
          <w:szCs w:val="24"/>
          <w:lang w:val="en-GB"/>
        </w:rPr>
        <w:t xml:space="preserve"> </w:t>
      </w:r>
      <w:r w:rsidRPr="0044150C">
        <w:rPr>
          <w:rFonts w:ascii="Arial" w:hAnsi="Arial" w:cs="Arial"/>
          <w:i/>
          <w:sz w:val="24"/>
          <w:szCs w:val="24"/>
          <w:lang w:val="en-GB"/>
        </w:rPr>
        <w:t>link</w:t>
      </w:r>
      <w:r w:rsidRPr="0044150C">
        <w:rPr>
          <w:rFonts w:ascii="Arial" w:hAnsi="Arial" w:cs="Arial"/>
          <w:i/>
          <w:spacing w:val="-13"/>
          <w:sz w:val="24"/>
          <w:szCs w:val="24"/>
          <w:lang w:val="en-GB"/>
        </w:rPr>
        <w:t xml:space="preserve"> </w:t>
      </w:r>
      <w:r w:rsidRPr="0044150C">
        <w:rPr>
          <w:rFonts w:ascii="Arial" w:hAnsi="Arial" w:cs="Arial"/>
          <w:i/>
          <w:sz w:val="24"/>
          <w:szCs w:val="24"/>
          <w:lang w:val="en-GB"/>
        </w:rPr>
        <w:t>between</w:t>
      </w:r>
      <w:r w:rsidRPr="0044150C">
        <w:rPr>
          <w:rFonts w:ascii="Arial" w:hAnsi="Arial" w:cs="Arial"/>
          <w:i/>
          <w:spacing w:val="-10"/>
          <w:sz w:val="24"/>
          <w:szCs w:val="24"/>
          <w:lang w:val="en-GB"/>
        </w:rPr>
        <w:t xml:space="preserve"> </w:t>
      </w:r>
      <w:r w:rsidRPr="0044150C">
        <w:rPr>
          <w:rFonts w:ascii="Arial" w:hAnsi="Arial" w:cs="Arial"/>
          <w:i/>
          <w:sz w:val="24"/>
          <w:szCs w:val="24"/>
          <w:lang w:val="en-GB"/>
        </w:rPr>
        <w:t>the</w:t>
      </w:r>
      <w:r w:rsidRPr="0044150C">
        <w:rPr>
          <w:rFonts w:ascii="Arial" w:hAnsi="Arial" w:cs="Arial"/>
          <w:i/>
          <w:spacing w:val="-13"/>
          <w:sz w:val="24"/>
          <w:szCs w:val="24"/>
          <w:lang w:val="en-GB"/>
        </w:rPr>
        <w:t xml:space="preserve"> </w:t>
      </w:r>
      <w:r w:rsidRPr="0044150C">
        <w:rPr>
          <w:rFonts w:ascii="Arial" w:hAnsi="Arial" w:cs="Arial"/>
          <w:i/>
          <w:sz w:val="24"/>
          <w:szCs w:val="24"/>
          <w:lang w:val="en-GB"/>
        </w:rPr>
        <w:t xml:space="preserve">subsidized imports and the alleged injury. </w:t>
      </w:r>
      <w:r w:rsidRPr="0044150C">
        <w:rPr>
          <w:rFonts w:ascii="Arial" w:hAnsi="Arial" w:cs="Arial"/>
          <w:i/>
          <w:sz w:val="24"/>
          <w:szCs w:val="24"/>
          <w:u w:val="single"/>
          <w:lang w:val="en-GB"/>
        </w:rPr>
        <w:t>Simple assertion, unsubstantiated by relevant evidence,</w:t>
      </w:r>
      <w:r w:rsidRPr="0044150C">
        <w:rPr>
          <w:rFonts w:ascii="Arial" w:hAnsi="Arial" w:cs="Arial"/>
          <w:i/>
          <w:sz w:val="24"/>
          <w:szCs w:val="24"/>
          <w:lang w:val="en-GB"/>
        </w:rPr>
        <w:t xml:space="preserve"> </w:t>
      </w:r>
      <w:r w:rsidRPr="0044150C">
        <w:rPr>
          <w:rFonts w:ascii="Arial" w:hAnsi="Arial" w:cs="Arial"/>
          <w:i/>
          <w:sz w:val="24"/>
          <w:szCs w:val="24"/>
          <w:u w:val="single"/>
          <w:lang w:val="en-GB"/>
        </w:rPr>
        <w:t xml:space="preserve">cannot be considered </w:t>
      </w:r>
      <w:r w:rsidRPr="0044150C">
        <w:rPr>
          <w:rFonts w:ascii="Arial" w:hAnsi="Arial" w:cs="Arial"/>
          <w:i/>
          <w:spacing w:val="18"/>
          <w:sz w:val="24"/>
          <w:szCs w:val="24"/>
          <w:u w:val="single"/>
          <w:lang w:val="en-GB"/>
        </w:rPr>
        <w:t xml:space="preserve"> </w:t>
      </w:r>
      <w:r w:rsidRPr="0044150C">
        <w:rPr>
          <w:rFonts w:ascii="Arial" w:hAnsi="Arial" w:cs="Arial"/>
          <w:i/>
          <w:sz w:val="24"/>
          <w:szCs w:val="24"/>
          <w:u w:val="single"/>
          <w:lang w:val="en-GB"/>
        </w:rPr>
        <w:t xml:space="preserve">sufficient </w:t>
      </w:r>
      <w:r w:rsidRPr="0044150C">
        <w:rPr>
          <w:rFonts w:ascii="Arial" w:hAnsi="Arial" w:cs="Arial"/>
          <w:i/>
          <w:spacing w:val="16"/>
          <w:sz w:val="24"/>
          <w:szCs w:val="24"/>
          <w:u w:val="single"/>
          <w:lang w:val="en-GB"/>
        </w:rPr>
        <w:t xml:space="preserve"> </w:t>
      </w:r>
      <w:r w:rsidRPr="0044150C">
        <w:rPr>
          <w:rFonts w:ascii="Arial" w:hAnsi="Arial" w:cs="Arial"/>
          <w:i/>
          <w:sz w:val="24"/>
          <w:szCs w:val="24"/>
          <w:u w:val="single"/>
          <w:lang w:val="en-GB"/>
        </w:rPr>
        <w:t xml:space="preserve">to </w:t>
      </w:r>
      <w:r w:rsidRPr="0044150C">
        <w:rPr>
          <w:rFonts w:ascii="Arial" w:hAnsi="Arial" w:cs="Arial"/>
          <w:i/>
          <w:spacing w:val="16"/>
          <w:sz w:val="24"/>
          <w:szCs w:val="24"/>
          <w:u w:val="single"/>
          <w:lang w:val="en-GB"/>
        </w:rPr>
        <w:t xml:space="preserve"> </w:t>
      </w:r>
      <w:r w:rsidRPr="0044150C">
        <w:rPr>
          <w:rFonts w:ascii="Arial" w:hAnsi="Arial" w:cs="Arial"/>
          <w:i/>
          <w:sz w:val="24"/>
          <w:szCs w:val="24"/>
          <w:u w:val="single"/>
          <w:lang w:val="en-GB"/>
        </w:rPr>
        <w:t xml:space="preserve">meet </w:t>
      </w:r>
      <w:r w:rsidRPr="0044150C">
        <w:rPr>
          <w:rFonts w:ascii="Arial" w:hAnsi="Arial" w:cs="Arial"/>
          <w:i/>
          <w:spacing w:val="16"/>
          <w:sz w:val="24"/>
          <w:szCs w:val="24"/>
          <w:u w:val="single"/>
          <w:lang w:val="en-GB"/>
        </w:rPr>
        <w:t xml:space="preserve"> </w:t>
      </w:r>
      <w:r w:rsidRPr="0044150C">
        <w:rPr>
          <w:rFonts w:ascii="Arial" w:hAnsi="Arial" w:cs="Arial"/>
          <w:i/>
          <w:sz w:val="24"/>
          <w:szCs w:val="24"/>
          <w:u w:val="single"/>
          <w:lang w:val="en-GB"/>
        </w:rPr>
        <w:t xml:space="preserve">the </w:t>
      </w:r>
      <w:r w:rsidRPr="0044150C">
        <w:rPr>
          <w:rFonts w:ascii="Arial" w:hAnsi="Arial" w:cs="Arial"/>
          <w:i/>
          <w:spacing w:val="17"/>
          <w:sz w:val="24"/>
          <w:szCs w:val="24"/>
          <w:u w:val="single"/>
          <w:lang w:val="en-GB"/>
        </w:rPr>
        <w:t xml:space="preserve"> </w:t>
      </w:r>
      <w:r w:rsidRPr="0044150C">
        <w:rPr>
          <w:rFonts w:ascii="Arial" w:hAnsi="Arial" w:cs="Arial"/>
          <w:i/>
          <w:sz w:val="24"/>
          <w:szCs w:val="24"/>
          <w:u w:val="single"/>
          <w:lang w:val="en-GB"/>
        </w:rPr>
        <w:t xml:space="preserve">requirements </w:t>
      </w:r>
      <w:r w:rsidRPr="0044150C">
        <w:rPr>
          <w:rFonts w:ascii="Arial" w:hAnsi="Arial" w:cs="Arial"/>
          <w:i/>
          <w:spacing w:val="16"/>
          <w:sz w:val="24"/>
          <w:szCs w:val="24"/>
          <w:u w:val="single"/>
          <w:lang w:val="en-GB"/>
        </w:rPr>
        <w:t xml:space="preserve"> </w:t>
      </w:r>
      <w:r w:rsidRPr="0044150C">
        <w:rPr>
          <w:rFonts w:ascii="Arial" w:hAnsi="Arial" w:cs="Arial"/>
          <w:i/>
          <w:sz w:val="24"/>
          <w:szCs w:val="24"/>
          <w:u w:val="single"/>
          <w:lang w:val="en-GB"/>
        </w:rPr>
        <w:t xml:space="preserve">of </w:t>
      </w:r>
      <w:r w:rsidRPr="0044150C">
        <w:rPr>
          <w:rFonts w:ascii="Arial" w:hAnsi="Arial" w:cs="Arial"/>
          <w:i/>
          <w:spacing w:val="18"/>
          <w:sz w:val="24"/>
          <w:szCs w:val="24"/>
          <w:u w:val="single"/>
          <w:lang w:val="en-GB"/>
        </w:rPr>
        <w:t xml:space="preserve"> </w:t>
      </w:r>
      <w:r w:rsidRPr="0044150C">
        <w:rPr>
          <w:rFonts w:ascii="Arial" w:hAnsi="Arial" w:cs="Arial"/>
          <w:i/>
          <w:sz w:val="24"/>
          <w:szCs w:val="24"/>
          <w:u w:val="single"/>
          <w:lang w:val="en-GB"/>
        </w:rPr>
        <w:t xml:space="preserve">this </w:t>
      </w:r>
      <w:r w:rsidRPr="0044150C">
        <w:rPr>
          <w:rFonts w:ascii="Arial" w:hAnsi="Arial" w:cs="Arial"/>
          <w:i/>
          <w:spacing w:val="16"/>
          <w:sz w:val="24"/>
          <w:szCs w:val="24"/>
          <w:u w:val="single"/>
          <w:lang w:val="en-GB"/>
        </w:rPr>
        <w:t xml:space="preserve"> </w:t>
      </w:r>
      <w:r w:rsidRPr="0044150C">
        <w:rPr>
          <w:rFonts w:ascii="Arial" w:hAnsi="Arial" w:cs="Arial"/>
          <w:i/>
          <w:sz w:val="24"/>
          <w:szCs w:val="24"/>
          <w:u w:val="single"/>
          <w:lang w:val="en-GB"/>
        </w:rPr>
        <w:t>paragraph</w:t>
      </w:r>
      <w:r w:rsidRPr="0044150C">
        <w:rPr>
          <w:rFonts w:ascii="Arial" w:hAnsi="Arial" w:cs="Arial"/>
          <w:i/>
          <w:sz w:val="24"/>
          <w:szCs w:val="24"/>
          <w:lang w:val="en-GB"/>
        </w:rPr>
        <w:t xml:space="preserve">. </w:t>
      </w:r>
      <w:r w:rsidRPr="0044150C">
        <w:rPr>
          <w:rFonts w:ascii="Arial" w:hAnsi="Arial" w:cs="Arial"/>
          <w:i/>
          <w:spacing w:val="17"/>
          <w:sz w:val="24"/>
          <w:szCs w:val="24"/>
          <w:lang w:val="en-GB"/>
        </w:rPr>
        <w:t xml:space="preserve"> </w:t>
      </w:r>
      <w:r w:rsidRPr="0044150C">
        <w:rPr>
          <w:rFonts w:ascii="Arial" w:hAnsi="Arial" w:cs="Arial"/>
          <w:i/>
          <w:sz w:val="24"/>
          <w:szCs w:val="24"/>
          <w:lang w:val="en-GB"/>
        </w:rPr>
        <w:t>The application shall contain such information as is reasonably available to the applicant on the following:</w:t>
      </w:r>
    </w:p>
    <w:p w14:paraId="1C1D2377" w14:textId="68F77B17" w:rsidR="0044496C" w:rsidRPr="0044150C" w:rsidRDefault="0044496C" w:rsidP="009A453E">
      <w:pPr>
        <w:spacing w:line="275" w:lineRule="exact"/>
        <w:ind w:left="1440" w:right="-46"/>
        <w:rPr>
          <w:rFonts w:ascii="Arial" w:hAnsi="Arial" w:cs="Arial"/>
          <w:i/>
          <w:sz w:val="24"/>
          <w:szCs w:val="24"/>
          <w:lang w:val="en-GB"/>
        </w:rPr>
      </w:pPr>
      <w:r w:rsidRPr="0044150C">
        <w:rPr>
          <w:rFonts w:ascii="Arial" w:hAnsi="Arial" w:cs="Arial"/>
          <w:i/>
          <w:sz w:val="24"/>
          <w:szCs w:val="24"/>
          <w:lang w:val="en-GB"/>
        </w:rPr>
        <w:t>[…] (iii) evidence with regard to the existence, amount and nature of the subsidy in question; […].” (Underlining added).</w:t>
      </w:r>
    </w:p>
    <w:p w14:paraId="42FBA117" w14:textId="77777777" w:rsidR="0044496C" w:rsidRPr="0044150C" w:rsidRDefault="0044496C" w:rsidP="0044496C">
      <w:pPr>
        <w:rPr>
          <w:rFonts w:ascii="Arial" w:hAnsi="Arial" w:cs="Arial"/>
          <w:sz w:val="24"/>
          <w:szCs w:val="24"/>
          <w:lang w:val="en-GB"/>
        </w:rPr>
      </w:pPr>
    </w:p>
    <w:p w14:paraId="6021BE9F" w14:textId="77777777" w:rsidR="0044496C" w:rsidRPr="0044150C" w:rsidRDefault="0044496C" w:rsidP="0044496C">
      <w:pPr>
        <w:pStyle w:val="a9"/>
        <w:widowControl w:val="0"/>
        <w:numPr>
          <w:ilvl w:val="0"/>
          <w:numId w:val="1"/>
        </w:numPr>
        <w:autoSpaceDE w:val="0"/>
        <w:autoSpaceDN w:val="0"/>
        <w:spacing w:before="110"/>
        <w:ind w:right="-46" w:hanging="720"/>
        <w:rPr>
          <w:rFonts w:ascii="Arial" w:hAnsi="Arial" w:cs="Arial"/>
          <w:sz w:val="24"/>
          <w:szCs w:val="24"/>
          <w:lang w:val="en-GB"/>
        </w:rPr>
      </w:pPr>
      <w:r w:rsidRPr="0044150C">
        <w:rPr>
          <w:rFonts w:ascii="Arial" w:hAnsi="Arial" w:cs="Arial"/>
          <w:sz w:val="24"/>
          <w:szCs w:val="24"/>
          <w:lang w:val="en-GB"/>
        </w:rPr>
        <w:t>In addition, Article 11.3 of the SCM Agreement requires investigating authorities to “</w:t>
      </w:r>
      <w:r w:rsidRPr="0044150C">
        <w:rPr>
          <w:rFonts w:ascii="Arial" w:hAnsi="Arial" w:cs="Arial"/>
          <w:i/>
          <w:iCs/>
          <w:sz w:val="24"/>
          <w:szCs w:val="24"/>
          <w:lang w:val="en-GB"/>
        </w:rPr>
        <w:t>review the accuracy and adequacy of the evidence provided in the application to determine whether the evidence is sufficient to justify the initiation of an investigation.</w:t>
      </w:r>
      <w:r w:rsidRPr="0044150C">
        <w:rPr>
          <w:rFonts w:ascii="Arial" w:hAnsi="Arial" w:cs="Arial"/>
          <w:sz w:val="24"/>
          <w:szCs w:val="24"/>
          <w:lang w:val="en-GB"/>
        </w:rPr>
        <w:t>”</w:t>
      </w:r>
    </w:p>
    <w:p w14:paraId="099ABD45" w14:textId="77777777" w:rsidR="0044496C" w:rsidRPr="0044150C" w:rsidRDefault="0044496C" w:rsidP="0044496C">
      <w:pPr>
        <w:pStyle w:val="a7"/>
        <w:rPr>
          <w:rFonts w:ascii="Arial" w:hAnsi="Arial" w:cs="Arial"/>
          <w:sz w:val="24"/>
          <w:szCs w:val="24"/>
        </w:rPr>
      </w:pPr>
    </w:p>
    <w:p w14:paraId="105BBBF0" w14:textId="6385E207" w:rsidR="0044496C" w:rsidRPr="0044150C" w:rsidRDefault="0044496C" w:rsidP="0044496C">
      <w:pPr>
        <w:pStyle w:val="a9"/>
        <w:widowControl w:val="0"/>
        <w:numPr>
          <w:ilvl w:val="0"/>
          <w:numId w:val="1"/>
        </w:numPr>
        <w:autoSpaceDE w:val="0"/>
        <w:autoSpaceDN w:val="0"/>
        <w:spacing w:before="110"/>
        <w:ind w:right="-46" w:hanging="720"/>
        <w:rPr>
          <w:rFonts w:ascii="Arial" w:hAnsi="Arial" w:cs="Arial"/>
          <w:sz w:val="24"/>
          <w:szCs w:val="24"/>
          <w:lang w:val="en-GB"/>
        </w:rPr>
      </w:pPr>
      <w:r w:rsidRPr="0044150C">
        <w:rPr>
          <w:rFonts w:ascii="Arial" w:hAnsi="Arial" w:cs="Arial"/>
          <w:sz w:val="24"/>
          <w:szCs w:val="24"/>
          <w:lang w:val="en-GB"/>
        </w:rPr>
        <w:t xml:space="preserve">As noted by the Panel in </w:t>
      </w:r>
      <w:r w:rsidRPr="0044150C">
        <w:rPr>
          <w:rFonts w:ascii="Arial" w:hAnsi="Arial" w:cs="Arial"/>
          <w:i/>
          <w:iCs/>
          <w:sz w:val="24"/>
          <w:szCs w:val="24"/>
          <w:lang w:val="en-GB"/>
        </w:rPr>
        <w:t>US – Supercalendered Paper</w:t>
      </w:r>
      <w:r w:rsidRPr="0044150C">
        <w:rPr>
          <w:rFonts w:ascii="Arial" w:hAnsi="Arial" w:cs="Arial"/>
          <w:sz w:val="24"/>
          <w:szCs w:val="24"/>
          <w:lang w:val="en-GB"/>
        </w:rPr>
        <w:t>, the obligation of WTO Members in relation to the assessment of the sufficiency of evidence in an application finds expression in Article 11.3 of the SCM Agreement and must be read together with Article 11.2, meaning that “</w:t>
      </w:r>
      <w:r w:rsidRPr="0044150C">
        <w:rPr>
          <w:rFonts w:ascii="Arial" w:hAnsi="Arial" w:cs="Arial"/>
          <w:i/>
          <w:iCs/>
          <w:sz w:val="24"/>
          <w:szCs w:val="24"/>
          <w:lang w:val="en-GB"/>
        </w:rPr>
        <w:t>if an investigating authority initiates an investigation without sufficient evidence, it acts inconsistently with Article 11.3 of the SCM Agreement.</w:t>
      </w:r>
      <w:r w:rsidRPr="0044150C">
        <w:rPr>
          <w:rFonts w:ascii="Arial" w:hAnsi="Arial" w:cs="Arial"/>
          <w:sz w:val="24"/>
          <w:szCs w:val="24"/>
          <w:lang w:val="en-GB"/>
        </w:rPr>
        <w:t>”</w:t>
      </w:r>
      <w:r w:rsidRPr="0044150C">
        <w:rPr>
          <w:rStyle w:val="ab"/>
          <w:rFonts w:ascii="Arial" w:hAnsi="Arial" w:cs="Arial"/>
          <w:sz w:val="24"/>
          <w:szCs w:val="24"/>
          <w:lang w:val="en-GB"/>
        </w:rPr>
        <w:footnoteReference w:id="2"/>
      </w:r>
    </w:p>
    <w:p w14:paraId="4E87E952" w14:textId="77777777" w:rsidR="0044496C" w:rsidRPr="0044150C" w:rsidRDefault="0044496C" w:rsidP="0044496C">
      <w:pPr>
        <w:pStyle w:val="a9"/>
        <w:rPr>
          <w:rFonts w:ascii="Arial" w:hAnsi="Arial" w:cs="Arial"/>
          <w:sz w:val="24"/>
          <w:szCs w:val="24"/>
          <w:lang w:val="en-GB"/>
        </w:rPr>
      </w:pPr>
    </w:p>
    <w:p w14:paraId="13E1C07F" w14:textId="2472A023" w:rsidR="0045188A" w:rsidRPr="0044150C" w:rsidRDefault="0044496C" w:rsidP="0044496C">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 xml:space="preserve">In </w:t>
      </w:r>
      <w:r w:rsidRPr="0044150C">
        <w:rPr>
          <w:rFonts w:ascii="Arial" w:hAnsi="Arial" w:cs="Arial"/>
          <w:i/>
          <w:sz w:val="24"/>
          <w:szCs w:val="24"/>
          <w:lang w:val="en-GB"/>
        </w:rPr>
        <w:t>China – GOES</w:t>
      </w:r>
      <w:r w:rsidRPr="0044150C">
        <w:rPr>
          <w:rFonts w:ascii="Arial" w:hAnsi="Arial" w:cs="Arial"/>
          <w:sz w:val="24"/>
          <w:szCs w:val="24"/>
          <w:lang w:val="en-GB"/>
        </w:rPr>
        <w:t xml:space="preserve">, the Panel clarified that, as implied by the language of Article </w:t>
      </w:r>
      <w:r w:rsidRPr="0044150C">
        <w:rPr>
          <w:rFonts w:ascii="Arial" w:hAnsi="Arial" w:cs="Arial"/>
          <w:spacing w:val="-3"/>
          <w:sz w:val="24"/>
          <w:szCs w:val="24"/>
          <w:lang w:val="en-GB"/>
        </w:rPr>
        <w:t xml:space="preserve">11.3 </w:t>
      </w:r>
      <w:r w:rsidRPr="0044150C">
        <w:rPr>
          <w:rFonts w:ascii="Arial" w:hAnsi="Arial" w:cs="Arial"/>
          <w:sz w:val="24"/>
          <w:szCs w:val="24"/>
          <w:lang w:val="en-GB"/>
        </w:rPr>
        <w:t>of the SCM Agreement, a part of the investigating authority's determination of whether there is “</w:t>
      </w:r>
      <w:r w:rsidRPr="0044150C">
        <w:rPr>
          <w:rFonts w:ascii="Arial" w:hAnsi="Arial" w:cs="Arial"/>
          <w:i/>
          <w:sz w:val="24"/>
          <w:szCs w:val="24"/>
          <w:lang w:val="en-GB"/>
        </w:rPr>
        <w:t>sufficient evidence</w:t>
      </w:r>
      <w:r w:rsidRPr="0044150C">
        <w:rPr>
          <w:rFonts w:ascii="Arial" w:hAnsi="Arial" w:cs="Arial"/>
          <w:sz w:val="24"/>
          <w:szCs w:val="24"/>
          <w:lang w:val="en-GB"/>
        </w:rPr>
        <w:t>” to justify the initiation of an investigation must entail an “</w:t>
      </w:r>
      <w:r w:rsidRPr="0044150C">
        <w:rPr>
          <w:rFonts w:ascii="Arial" w:hAnsi="Arial" w:cs="Arial"/>
          <w:i/>
          <w:sz w:val="24"/>
          <w:szCs w:val="24"/>
          <w:lang w:val="en-GB"/>
        </w:rPr>
        <w:t xml:space="preserve">assessment of the accuracy and adequacy </w:t>
      </w:r>
      <w:r w:rsidRPr="0044150C">
        <w:rPr>
          <w:rFonts w:ascii="Arial" w:hAnsi="Arial" w:cs="Arial"/>
          <w:i/>
          <w:sz w:val="24"/>
          <w:szCs w:val="24"/>
          <w:u w:val="single"/>
          <w:lang w:val="en-GB"/>
        </w:rPr>
        <w:t xml:space="preserve">of the evidence </w:t>
      </w:r>
      <w:r w:rsidRPr="0044150C">
        <w:rPr>
          <w:rFonts w:ascii="Arial" w:hAnsi="Arial" w:cs="Arial"/>
          <w:i/>
          <w:sz w:val="24"/>
          <w:szCs w:val="24"/>
          <w:u w:val="single"/>
          <w:lang w:val="en-GB"/>
        </w:rPr>
        <w:lastRenderedPageBreak/>
        <w:t>furnished</w:t>
      </w:r>
      <w:r w:rsidRPr="0044150C">
        <w:rPr>
          <w:rFonts w:ascii="Arial" w:hAnsi="Arial" w:cs="Arial"/>
          <w:sz w:val="24"/>
          <w:szCs w:val="24"/>
          <w:lang w:val="en-GB"/>
        </w:rPr>
        <w:t>.”</w:t>
      </w:r>
      <w:r w:rsidRPr="0044150C">
        <w:rPr>
          <w:rStyle w:val="ab"/>
          <w:rFonts w:ascii="Arial" w:hAnsi="Arial" w:cs="Arial"/>
          <w:sz w:val="24"/>
          <w:szCs w:val="24"/>
          <w:lang w:val="en-GB"/>
        </w:rPr>
        <w:footnoteReference w:id="3"/>
      </w:r>
      <w:r w:rsidRPr="0044150C">
        <w:rPr>
          <w:rFonts w:ascii="Arial" w:hAnsi="Arial" w:cs="Arial"/>
          <w:sz w:val="24"/>
          <w:szCs w:val="24"/>
          <w:lang w:val="en-GB"/>
        </w:rPr>
        <w:t xml:space="preserve"> In that case, the Panel laid out</w:t>
      </w:r>
      <w:r w:rsidRPr="0044150C">
        <w:rPr>
          <w:rFonts w:ascii="Arial" w:hAnsi="Arial" w:cs="Arial"/>
          <w:spacing w:val="-22"/>
          <w:sz w:val="24"/>
          <w:szCs w:val="24"/>
          <w:lang w:val="en-GB"/>
        </w:rPr>
        <w:t xml:space="preserve"> </w:t>
      </w:r>
      <w:r w:rsidRPr="0044150C">
        <w:rPr>
          <w:rFonts w:ascii="Arial" w:hAnsi="Arial" w:cs="Arial"/>
          <w:sz w:val="24"/>
          <w:szCs w:val="24"/>
          <w:lang w:val="en-GB"/>
        </w:rPr>
        <w:t xml:space="preserve">certain criteria to be applied by investigating authorities to determine whether the initiation of a countervailing duty investigation is justified on the basis of the evidence submitted in an application, and it clarified that an applicant is required to provide sufficient evidence of the </w:t>
      </w:r>
      <w:r w:rsidRPr="0044150C">
        <w:rPr>
          <w:rFonts w:ascii="Arial" w:hAnsi="Arial" w:cs="Arial"/>
          <w:sz w:val="24"/>
          <w:szCs w:val="24"/>
          <w:u w:val="single"/>
          <w:lang w:val="en-GB"/>
        </w:rPr>
        <w:t>existence and the nature of a subsidy</w:t>
      </w:r>
      <w:r w:rsidRPr="0044150C">
        <w:rPr>
          <w:rFonts w:ascii="Arial" w:hAnsi="Arial" w:cs="Arial"/>
          <w:sz w:val="24"/>
          <w:szCs w:val="24"/>
          <w:lang w:val="en-GB"/>
        </w:rPr>
        <w:t>.</w:t>
      </w:r>
      <w:r w:rsidRPr="0044150C">
        <w:rPr>
          <w:rStyle w:val="ab"/>
          <w:rFonts w:ascii="Arial" w:hAnsi="Arial" w:cs="Arial"/>
          <w:sz w:val="24"/>
          <w:szCs w:val="24"/>
          <w:lang w:val="en-GB"/>
        </w:rPr>
        <w:footnoteReference w:id="4"/>
      </w:r>
      <w:r w:rsidRPr="0044150C">
        <w:rPr>
          <w:rFonts w:ascii="Arial" w:hAnsi="Arial" w:cs="Arial"/>
          <w:sz w:val="24"/>
          <w:szCs w:val="24"/>
          <w:lang w:val="en-GB"/>
        </w:rPr>
        <w:t xml:space="preserve"> </w:t>
      </w:r>
      <w:r w:rsidRPr="0044150C">
        <w:rPr>
          <w:rFonts w:ascii="Arial" w:hAnsi="Arial" w:cs="Arial"/>
          <w:sz w:val="24"/>
          <w:szCs w:val="24"/>
          <w:u w:val="single"/>
          <w:lang w:val="en-GB"/>
        </w:rPr>
        <w:t>Evidence of the “</w:t>
      </w:r>
      <w:r w:rsidRPr="0044150C">
        <w:rPr>
          <w:rFonts w:ascii="Arial" w:hAnsi="Arial" w:cs="Arial"/>
          <w:i/>
          <w:sz w:val="24"/>
          <w:szCs w:val="24"/>
          <w:u w:val="single"/>
          <w:lang w:val="en-GB"/>
        </w:rPr>
        <w:t>existence of a subsidy</w:t>
      </w:r>
      <w:r w:rsidRPr="0044150C">
        <w:rPr>
          <w:rFonts w:ascii="Arial" w:hAnsi="Arial" w:cs="Arial"/>
          <w:sz w:val="24"/>
          <w:szCs w:val="24"/>
          <w:u w:val="single"/>
          <w:lang w:val="en-GB"/>
        </w:rPr>
        <w:t>” requires</w:t>
      </w:r>
      <w:r w:rsidRPr="0044150C">
        <w:rPr>
          <w:rFonts w:ascii="Arial" w:hAnsi="Arial" w:cs="Arial"/>
          <w:sz w:val="24"/>
          <w:szCs w:val="24"/>
          <w:lang w:val="en-GB"/>
        </w:rPr>
        <w:t xml:space="preserve"> </w:t>
      </w:r>
      <w:r w:rsidRPr="0044150C">
        <w:rPr>
          <w:rFonts w:ascii="Arial" w:hAnsi="Arial" w:cs="Arial"/>
          <w:sz w:val="24"/>
          <w:szCs w:val="24"/>
          <w:u w:val="single"/>
          <w:lang w:val="en-GB"/>
        </w:rPr>
        <w:t>evidence of a financial contribution by a government or public body and a benefit to the</w:t>
      </w:r>
      <w:r w:rsidRPr="0044150C">
        <w:rPr>
          <w:rFonts w:ascii="Arial" w:hAnsi="Arial" w:cs="Arial"/>
          <w:sz w:val="24"/>
          <w:szCs w:val="24"/>
          <w:lang w:val="en-GB"/>
        </w:rPr>
        <w:t xml:space="preserve"> </w:t>
      </w:r>
      <w:r w:rsidRPr="0044150C">
        <w:rPr>
          <w:rFonts w:ascii="Arial" w:hAnsi="Arial" w:cs="Arial"/>
          <w:sz w:val="24"/>
          <w:szCs w:val="24"/>
          <w:u w:val="single"/>
          <w:lang w:val="en-GB"/>
        </w:rPr>
        <w:t>recipient</w:t>
      </w:r>
      <w:r w:rsidRPr="0044150C">
        <w:rPr>
          <w:rFonts w:ascii="Arial" w:hAnsi="Arial" w:cs="Arial"/>
          <w:sz w:val="24"/>
          <w:szCs w:val="24"/>
          <w:lang w:val="en-GB"/>
        </w:rPr>
        <w:t>.</w:t>
      </w:r>
      <w:r w:rsidRPr="0044150C">
        <w:rPr>
          <w:rStyle w:val="ab"/>
          <w:rFonts w:ascii="Arial" w:hAnsi="Arial" w:cs="Arial"/>
          <w:sz w:val="24"/>
          <w:szCs w:val="24"/>
          <w:lang w:val="en-GB"/>
        </w:rPr>
        <w:footnoteReference w:id="5"/>
      </w:r>
      <w:r w:rsidRPr="0044150C">
        <w:rPr>
          <w:rFonts w:ascii="Arial" w:hAnsi="Arial" w:cs="Arial"/>
          <w:sz w:val="24"/>
          <w:szCs w:val="24"/>
          <w:lang w:val="en-GB"/>
        </w:rPr>
        <w:t xml:space="preserve"> The Panel further clarified that there must be evidence of the existence of a</w:t>
      </w:r>
      <w:r w:rsidRPr="0044150C">
        <w:rPr>
          <w:rFonts w:ascii="Arial" w:hAnsi="Arial" w:cs="Arial"/>
          <w:spacing w:val="-27"/>
          <w:sz w:val="24"/>
          <w:szCs w:val="24"/>
          <w:lang w:val="en-GB"/>
        </w:rPr>
        <w:t xml:space="preserve"> </w:t>
      </w:r>
      <w:r w:rsidRPr="0044150C">
        <w:rPr>
          <w:rFonts w:ascii="Arial" w:hAnsi="Arial" w:cs="Arial"/>
          <w:sz w:val="24"/>
          <w:szCs w:val="24"/>
          <w:u w:val="single"/>
          <w:lang w:val="en-GB"/>
        </w:rPr>
        <w:t>present</w:t>
      </w:r>
      <w:r w:rsidRPr="0044150C">
        <w:rPr>
          <w:rFonts w:ascii="Arial" w:hAnsi="Arial" w:cs="Arial"/>
          <w:sz w:val="24"/>
          <w:szCs w:val="24"/>
          <w:lang w:val="en-GB"/>
        </w:rPr>
        <w:t xml:space="preserve"> </w:t>
      </w:r>
      <w:r w:rsidRPr="0044150C">
        <w:rPr>
          <w:rFonts w:ascii="Arial" w:hAnsi="Arial" w:cs="Arial"/>
          <w:spacing w:val="-3"/>
          <w:sz w:val="24"/>
          <w:szCs w:val="24"/>
          <w:lang w:val="en-GB"/>
        </w:rPr>
        <w:t xml:space="preserve">subsidy, </w:t>
      </w:r>
      <w:r w:rsidRPr="0044150C">
        <w:rPr>
          <w:rFonts w:ascii="Arial" w:hAnsi="Arial" w:cs="Arial"/>
          <w:sz w:val="24"/>
          <w:szCs w:val="24"/>
          <w:lang w:val="en-GB"/>
        </w:rPr>
        <w:t>including the existence of a benefit during the investigation period.</w:t>
      </w:r>
      <w:r w:rsidRPr="0044150C">
        <w:rPr>
          <w:rStyle w:val="ab"/>
          <w:rFonts w:ascii="Arial" w:hAnsi="Arial" w:cs="Arial"/>
          <w:sz w:val="24"/>
          <w:szCs w:val="24"/>
          <w:lang w:val="en-GB"/>
        </w:rPr>
        <w:footnoteReference w:id="6"/>
      </w:r>
      <w:r w:rsidRPr="0044150C">
        <w:rPr>
          <w:rFonts w:ascii="Arial" w:hAnsi="Arial" w:cs="Arial"/>
          <w:sz w:val="24"/>
          <w:szCs w:val="24"/>
          <w:lang w:val="en-GB"/>
        </w:rPr>
        <w:t xml:space="preserve"> The </w:t>
      </w:r>
      <w:r w:rsidRPr="0044150C">
        <w:rPr>
          <w:rFonts w:ascii="Arial" w:hAnsi="Arial" w:cs="Arial"/>
          <w:sz w:val="24"/>
          <w:szCs w:val="24"/>
          <w:u w:val="single"/>
          <w:lang w:val="en-GB"/>
        </w:rPr>
        <w:t>evidence of</w:t>
      </w:r>
      <w:r w:rsidRPr="0044150C">
        <w:rPr>
          <w:rFonts w:ascii="Arial" w:hAnsi="Arial" w:cs="Arial"/>
          <w:sz w:val="24"/>
          <w:szCs w:val="24"/>
          <w:lang w:val="en-GB"/>
        </w:rPr>
        <w:t xml:space="preserve"> </w:t>
      </w:r>
      <w:r w:rsidRPr="0044150C">
        <w:rPr>
          <w:rFonts w:ascii="Arial" w:hAnsi="Arial" w:cs="Arial"/>
          <w:sz w:val="24"/>
          <w:szCs w:val="24"/>
          <w:u w:val="single"/>
          <w:lang w:val="en-GB"/>
        </w:rPr>
        <w:t>the “</w:t>
      </w:r>
      <w:r w:rsidRPr="0044150C">
        <w:rPr>
          <w:rFonts w:ascii="Arial" w:hAnsi="Arial" w:cs="Arial"/>
          <w:i/>
          <w:sz w:val="24"/>
          <w:szCs w:val="24"/>
          <w:u w:val="single"/>
          <w:lang w:val="en-GB"/>
        </w:rPr>
        <w:t>nature of the subsidy</w:t>
      </w:r>
      <w:r w:rsidRPr="0044150C">
        <w:rPr>
          <w:rFonts w:ascii="Arial" w:hAnsi="Arial" w:cs="Arial"/>
          <w:sz w:val="24"/>
          <w:szCs w:val="24"/>
          <w:u w:val="single"/>
          <w:lang w:val="en-GB"/>
        </w:rPr>
        <w:t>” includes evidence regarding whether the subsidy is specific</w:t>
      </w:r>
      <w:r w:rsidRPr="0044150C">
        <w:rPr>
          <w:rFonts w:ascii="Arial" w:hAnsi="Arial" w:cs="Arial"/>
          <w:sz w:val="24"/>
          <w:szCs w:val="24"/>
          <w:lang w:val="en-GB"/>
        </w:rPr>
        <w:t>.</w:t>
      </w:r>
      <w:r w:rsidRPr="0044150C">
        <w:rPr>
          <w:rStyle w:val="ab"/>
          <w:rFonts w:ascii="Arial" w:hAnsi="Arial" w:cs="Arial"/>
          <w:sz w:val="24"/>
          <w:szCs w:val="24"/>
          <w:lang w:val="en-GB"/>
        </w:rPr>
        <w:footnoteReference w:id="7"/>
      </w:r>
      <w:r w:rsidRPr="0044150C">
        <w:rPr>
          <w:rFonts w:ascii="Arial" w:hAnsi="Arial" w:cs="Arial"/>
          <w:sz w:val="24"/>
          <w:szCs w:val="24"/>
          <w:lang w:val="en-GB"/>
        </w:rPr>
        <w:t xml:space="preserve"> Accordingly, it is not enough to adduce evidence of only one of the three elements of a countervailable</w:t>
      </w:r>
      <w:r w:rsidRPr="0044150C">
        <w:rPr>
          <w:rFonts w:ascii="Arial" w:hAnsi="Arial" w:cs="Arial"/>
          <w:spacing w:val="-8"/>
          <w:sz w:val="24"/>
          <w:szCs w:val="24"/>
          <w:lang w:val="en-GB"/>
        </w:rPr>
        <w:t xml:space="preserve"> </w:t>
      </w:r>
      <w:r w:rsidRPr="0044150C">
        <w:rPr>
          <w:rFonts w:ascii="Arial" w:hAnsi="Arial" w:cs="Arial"/>
          <w:spacing w:val="-3"/>
          <w:sz w:val="24"/>
          <w:szCs w:val="24"/>
          <w:lang w:val="en-GB"/>
        </w:rPr>
        <w:t>subsidy,</w:t>
      </w:r>
      <w:r w:rsidRPr="0044150C">
        <w:rPr>
          <w:rFonts w:ascii="Arial" w:hAnsi="Arial" w:cs="Arial"/>
          <w:spacing w:val="-8"/>
          <w:sz w:val="24"/>
          <w:szCs w:val="24"/>
          <w:lang w:val="en-GB"/>
        </w:rPr>
        <w:t xml:space="preserve"> </w:t>
      </w:r>
      <w:r w:rsidRPr="0044150C">
        <w:rPr>
          <w:rFonts w:ascii="Arial" w:hAnsi="Arial" w:cs="Arial"/>
          <w:i/>
          <w:sz w:val="24"/>
          <w:szCs w:val="24"/>
          <w:lang w:val="en-GB"/>
        </w:rPr>
        <w:t>i.e.</w:t>
      </w:r>
      <w:r w:rsidRPr="0044150C">
        <w:rPr>
          <w:rFonts w:ascii="Arial" w:hAnsi="Arial" w:cs="Arial"/>
          <w:sz w:val="24"/>
          <w:szCs w:val="24"/>
          <w:lang w:val="en-GB"/>
        </w:rPr>
        <w:t>,</w:t>
      </w:r>
      <w:r w:rsidRPr="0044150C">
        <w:rPr>
          <w:rFonts w:ascii="Arial" w:hAnsi="Arial" w:cs="Arial"/>
          <w:spacing w:val="-10"/>
          <w:sz w:val="24"/>
          <w:szCs w:val="24"/>
          <w:lang w:val="en-GB"/>
        </w:rPr>
        <w:t xml:space="preserve"> </w:t>
      </w:r>
      <w:r w:rsidRPr="0044150C">
        <w:rPr>
          <w:rFonts w:ascii="Arial" w:hAnsi="Arial" w:cs="Arial"/>
          <w:sz w:val="24"/>
          <w:szCs w:val="24"/>
          <w:lang w:val="en-GB"/>
        </w:rPr>
        <w:t>financial</w:t>
      </w:r>
      <w:r w:rsidRPr="0044150C">
        <w:rPr>
          <w:rFonts w:ascii="Arial" w:hAnsi="Arial" w:cs="Arial"/>
          <w:spacing w:val="-9"/>
          <w:sz w:val="24"/>
          <w:szCs w:val="24"/>
          <w:lang w:val="en-GB"/>
        </w:rPr>
        <w:t xml:space="preserve"> </w:t>
      </w:r>
      <w:r w:rsidRPr="0044150C">
        <w:rPr>
          <w:rFonts w:ascii="Arial" w:hAnsi="Arial" w:cs="Arial"/>
          <w:sz w:val="24"/>
          <w:szCs w:val="24"/>
          <w:lang w:val="en-GB"/>
        </w:rPr>
        <w:t>contribution</w:t>
      </w:r>
      <w:r w:rsidRPr="0044150C">
        <w:rPr>
          <w:rFonts w:ascii="Arial" w:hAnsi="Arial" w:cs="Arial"/>
          <w:spacing w:val="-7"/>
          <w:sz w:val="24"/>
          <w:szCs w:val="24"/>
          <w:lang w:val="en-GB"/>
        </w:rPr>
        <w:t xml:space="preserve"> </w:t>
      </w:r>
      <w:r w:rsidRPr="0044150C">
        <w:rPr>
          <w:rFonts w:ascii="Arial" w:hAnsi="Arial" w:cs="Arial"/>
          <w:sz w:val="24"/>
          <w:szCs w:val="24"/>
          <w:lang w:val="en-GB"/>
        </w:rPr>
        <w:t>by</w:t>
      </w:r>
      <w:r w:rsidRPr="0044150C">
        <w:rPr>
          <w:rFonts w:ascii="Arial" w:hAnsi="Arial" w:cs="Arial"/>
          <w:spacing w:val="-10"/>
          <w:sz w:val="24"/>
          <w:szCs w:val="24"/>
          <w:lang w:val="en-GB"/>
        </w:rPr>
        <w:t xml:space="preserve"> </w:t>
      </w:r>
      <w:r w:rsidRPr="0044150C">
        <w:rPr>
          <w:rFonts w:ascii="Arial" w:hAnsi="Arial" w:cs="Arial"/>
          <w:sz w:val="24"/>
          <w:szCs w:val="24"/>
          <w:lang w:val="en-GB"/>
        </w:rPr>
        <w:t>a</w:t>
      </w:r>
      <w:r w:rsidRPr="0044150C">
        <w:rPr>
          <w:rFonts w:ascii="Arial" w:hAnsi="Arial" w:cs="Arial"/>
          <w:spacing w:val="-11"/>
          <w:sz w:val="24"/>
          <w:szCs w:val="24"/>
          <w:lang w:val="en-GB"/>
        </w:rPr>
        <w:t xml:space="preserve"> </w:t>
      </w:r>
      <w:r w:rsidRPr="0044150C">
        <w:rPr>
          <w:rFonts w:ascii="Arial" w:hAnsi="Arial" w:cs="Arial"/>
          <w:sz w:val="24"/>
          <w:szCs w:val="24"/>
          <w:lang w:val="en-GB"/>
        </w:rPr>
        <w:t>public</w:t>
      </w:r>
      <w:r w:rsidRPr="0044150C">
        <w:rPr>
          <w:rFonts w:ascii="Arial" w:hAnsi="Arial" w:cs="Arial"/>
          <w:spacing w:val="-11"/>
          <w:sz w:val="24"/>
          <w:szCs w:val="24"/>
          <w:lang w:val="en-GB"/>
        </w:rPr>
        <w:t xml:space="preserve"> </w:t>
      </w:r>
      <w:r w:rsidRPr="0044150C">
        <w:rPr>
          <w:rFonts w:ascii="Arial" w:hAnsi="Arial" w:cs="Arial"/>
          <w:spacing w:val="-3"/>
          <w:sz w:val="24"/>
          <w:szCs w:val="24"/>
          <w:lang w:val="en-GB"/>
        </w:rPr>
        <w:t>body,</w:t>
      </w:r>
      <w:r w:rsidRPr="0044150C">
        <w:rPr>
          <w:rFonts w:ascii="Arial" w:hAnsi="Arial" w:cs="Arial"/>
          <w:spacing w:val="-9"/>
          <w:sz w:val="24"/>
          <w:szCs w:val="24"/>
          <w:lang w:val="en-GB"/>
        </w:rPr>
        <w:t xml:space="preserve"> </w:t>
      </w:r>
      <w:r w:rsidRPr="0044150C">
        <w:rPr>
          <w:rFonts w:ascii="Arial" w:hAnsi="Arial" w:cs="Arial"/>
          <w:sz w:val="24"/>
          <w:szCs w:val="24"/>
          <w:lang w:val="en-GB"/>
        </w:rPr>
        <w:t>benefit,</w:t>
      </w:r>
      <w:r w:rsidRPr="0044150C">
        <w:rPr>
          <w:rFonts w:ascii="Arial" w:hAnsi="Arial" w:cs="Arial"/>
          <w:spacing w:val="-9"/>
          <w:sz w:val="24"/>
          <w:szCs w:val="24"/>
          <w:lang w:val="en-GB"/>
        </w:rPr>
        <w:t xml:space="preserve"> </w:t>
      </w:r>
      <w:r w:rsidRPr="0044150C">
        <w:rPr>
          <w:rFonts w:ascii="Arial" w:hAnsi="Arial" w:cs="Arial"/>
          <w:sz w:val="24"/>
          <w:szCs w:val="24"/>
          <w:lang w:val="en-GB"/>
        </w:rPr>
        <w:t>or</w:t>
      </w:r>
      <w:r w:rsidRPr="0044150C">
        <w:rPr>
          <w:rFonts w:ascii="Arial" w:hAnsi="Arial" w:cs="Arial"/>
          <w:spacing w:val="-10"/>
          <w:sz w:val="24"/>
          <w:szCs w:val="24"/>
          <w:lang w:val="en-GB"/>
        </w:rPr>
        <w:t xml:space="preserve"> </w:t>
      </w:r>
      <w:r w:rsidRPr="0044150C">
        <w:rPr>
          <w:rFonts w:ascii="Arial" w:hAnsi="Arial" w:cs="Arial"/>
          <w:sz w:val="24"/>
          <w:szCs w:val="24"/>
          <w:lang w:val="en-GB"/>
        </w:rPr>
        <w:t>specificity.</w:t>
      </w:r>
      <w:r w:rsidRPr="0044150C">
        <w:rPr>
          <w:rFonts w:ascii="Arial" w:hAnsi="Arial" w:cs="Arial"/>
          <w:spacing w:val="-12"/>
          <w:sz w:val="24"/>
          <w:szCs w:val="24"/>
          <w:lang w:val="en-GB"/>
        </w:rPr>
        <w:t xml:space="preserve"> </w:t>
      </w:r>
      <w:r w:rsidRPr="0044150C">
        <w:rPr>
          <w:rFonts w:ascii="Arial" w:hAnsi="Arial" w:cs="Arial"/>
          <w:sz w:val="24"/>
          <w:szCs w:val="24"/>
          <w:lang w:val="en-GB"/>
        </w:rPr>
        <w:t xml:space="preserve">The </w:t>
      </w:r>
      <w:r w:rsidRPr="0044150C">
        <w:rPr>
          <w:rFonts w:ascii="Arial" w:hAnsi="Arial" w:cs="Arial"/>
          <w:i/>
          <w:sz w:val="24"/>
          <w:szCs w:val="24"/>
          <w:lang w:val="en-GB"/>
        </w:rPr>
        <w:t>GOES</w:t>
      </w:r>
      <w:r w:rsidRPr="0044150C">
        <w:rPr>
          <w:rFonts w:ascii="Arial" w:hAnsi="Arial" w:cs="Arial"/>
          <w:i/>
          <w:spacing w:val="-12"/>
          <w:sz w:val="24"/>
          <w:szCs w:val="24"/>
          <w:lang w:val="en-GB"/>
        </w:rPr>
        <w:t xml:space="preserve"> </w:t>
      </w:r>
      <w:r w:rsidRPr="0044150C">
        <w:rPr>
          <w:rFonts w:ascii="Arial" w:hAnsi="Arial" w:cs="Arial"/>
          <w:sz w:val="24"/>
          <w:szCs w:val="24"/>
          <w:lang w:val="en-GB"/>
        </w:rPr>
        <w:t>Panel</w:t>
      </w:r>
      <w:r w:rsidRPr="0044150C">
        <w:rPr>
          <w:rFonts w:ascii="Arial" w:hAnsi="Arial" w:cs="Arial"/>
          <w:spacing w:val="-8"/>
          <w:sz w:val="24"/>
          <w:szCs w:val="24"/>
          <w:lang w:val="en-GB"/>
        </w:rPr>
        <w:t xml:space="preserve"> </w:t>
      </w:r>
      <w:r w:rsidRPr="0044150C">
        <w:rPr>
          <w:rFonts w:ascii="Arial" w:hAnsi="Arial" w:cs="Arial"/>
          <w:sz w:val="24"/>
          <w:szCs w:val="24"/>
          <w:lang w:val="en-GB"/>
        </w:rPr>
        <w:t>further</w:t>
      </w:r>
      <w:r w:rsidRPr="0044150C">
        <w:rPr>
          <w:rFonts w:ascii="Arial" w:hAnsi="Arial" w:cs="Arial"/>
          <w:spacing w:val="-12"/>
          <w:sz w:val="24"/>
          <w:szCs w:val="24"/>
          <w:lang w:val="en-GB"/>
        </w:rPr>
        <w:t xml:space="preserve"> </w:t>
      </w:r>
      <w:r w:rsidRPr="0044150C">
        <w:rPr>
          <w:rFonts w:ascii="Arial" w:hAnsi="Arial" w:cs="Arial"/>
          <w:sz w:val="24"/>
          <w:szCs w:val="24"/>
          <w:lang w:val="en-GB"/>
        </w:rPr>
        <w:t>noted</w:t>
      </w:r>
      <w:r w:rsidRPr="0044150C">
        <w:rPr>
          <w:rFonts w:ascii="Arial" w:hAnsi="Arial" w:cs="Arial"/>
          <w:spacing w:val="-11"/>
          <w:sz w:val="24"/>
          <w:szCs w:val="24"/>
          <w:lang w:val="en-GB"/>
        </w:rPr>
        <w:t xml:space="preserve"> </w:t>
      </w:r>
      <w:r w:rsidRPr="0044150C">
        <w:rPr>
          <w:rFonts w:ascii="Arial" w:hAnsi="Arial" w:cs="Arial"/>
          <w:sz w:val="24"/>
          <w:szCs w:val="24"/>
          <w:lang w:val="en-GB"/>
        </w:rPr>
        <w:t>that</w:t>
      </w:r>
      <w:r w:rsidRPr="0044150C">
        <w:rPr>
          <w:rFonts w:ascii="Arial" w:hAnsi="Arial" w:cs="Arial"/>
          <w:spacing w:val="-11"/>
          <w:sz w:val="24"/>
          <w:szCs w:val="24"/>
          <w:lang w:val="en-GB"/>
        </w:rPr>
        <w:t xml:space="preserve"> </w:t>
      </w:r>
      <w:r w:rsidRPr="0044150C">
        <w:rPr>
          <w:rFonts w:ascii="Arial" w:hAnsi="Arial" w:cs="Arial"/>
          <w:sz w:val="24"/>
          <w:szCs w:val="24"/>
          <w:lang w:val="en-GB"/>
        </w:rPr>
        <w:t>“</w:t>
      </w:r>
      <w:r w:rsidRPr="0044150C">
        <w:rPr>
          <w:rFonts w:ascii="Arial" w:hAnsi="Arial" w:cs="Arial"/>
          <w:i/>
          <w:sz w:val="24"/>
          <w:szCs w:val="24"/>
          <w:lang w:val="en-GB"/>
        </w:rPr>
        <w:t>sufficient</w:t>
      </w:r>
      <w:r w:rsidRPr="0044150C">
        <w:rPr>
          <w:rFonts w:ascii="Arial" w:hAnsi="Arial" w:cs="Arial"/>
          <w:i/>
          <w:spacing w:val="-8"/>
          <w:sz w:val="24"/>
          <w:szCs w:val="24"/>
          <w:lang w:val="en-GB"/>
        </w:rPr>
        <w:t xml:space="preserve"> </w:t>
      </w:r>
      <w:r w:rsidRPr="0044150C">
        <w:rPr>
          <w:rFonts w:ascii="Arial" w:hAnsi="Arial" w:cs="Arial"/>
          <w:i/>
          <w:sz w:val="24"/>
          <w:szCs w:val="24"/>
          <w:lang w:val="en-GB"/>
        </w:rPr>
        <w:t>evidence</w:t>
      </w:r>
      <w:r w:rsidRPr="0044150C">
        <w:rPr>
          <w:rFonts w:ascii="Arial" w:hAnsi="Arial" w:cs="Arial"/>
          <w:sz w:val="24"/>
          <w:szCs w:val="24"/>
          <w:lang w:val="en-GB"/>
        </w:rPr>
        <w:t>”</w:t>
      </w:r>
      <w:r w:rsidRPr="0044150C">
        <w:rPr>
          <w:rFonts w:ascii="Arial" w:hAnsi="Arial" w:cs="Arial"/>
          <w:spacing w:val="-12"/>
          <w:sz w:val="24"/>
          <w:szCs w:val="24"/>
          <w:lang w:val="en-GB"/>
        </w:rPr>
        <w:t xml:space="preserve"> </w:t>
      </w:r>
      <w:r w:rsidRPr="0044150C">
        <w:rPr>
          <w:rFonts w:ascii="Arial" w:hAnsi="Arial" w:cs="Arial"/>
          <w:sz w:val="24"/>
          <w:szCs w:val="24"/>
          <w:lang w:val="en-GB"/>
        </w:rPr>
        <w:t>regarding</w:t>
      </w:r>
      <w:r w:rsidRPr="0044150C">
        <w:rPr>
          <w:rFonts w:ascii="Arial" w:hAnsi="Arial" w:cs="Arial"/>
          <w:spacing w:val="-11"/>
          <w:sz w:val="24"/>
          <w:szCs w:val="24"/>
          <w:lang w:val="en-GB"/>
        </w:rPr>
        <w:t xml:space="preserve"> </w:t>
      </w:r>
      <w:r w:rsidRPr="0044150C">
        <w:rPr>
          <w:rFonts w:ascii="Arial" w:hAnsi="Arial" w:cs="Arial"/>
          <w:sz w:val="24"/>
          <w:szCs w:val="24"/>
          <w:lang w:val="en-GB"/>
        </w:rPr>
        <w:t>the</w:t>
      </w:r>
      <w:r w:rsidRPr="0044150C">
        <w:rPr>
          <w:rFonts w:ascii="Arial" w:hAnsi="Arial" w:cs="Arial"/>
          <w:spacing w:val="-9"/>
          <w:sz w:val="24"/>
          <w:szCs w:val="24"/>
          <w:lang w:val="en-GB"/>
        </w:rPr>
        <w:t xml:space="preserve"> </w:t>
      </w:r>
      <w:r w:rsidRPr="0044150C">
        <w:rPr>
          <w:rFonts w:ascii="Arial" w:hAnsi="Arial" w:cs="Arial"/>
          <w:sz w:val="24"/>
          <w:szCs w:val="24"/>
          <w:lang w:val="en-GB"/>
        </w:rPr>
        <w:t>existence,</w:t>
      </w:r>
      <w:r w:rsidRPr="0044150C">
        <w:rPr>
          <w:rFonts w:ascii="Arial" w:hAnsi="Arial" w:cs="Arial"/>
          <w:spacing w:val="-12"/>
          <w:sz w:val="24"/>
          <w:szCs w:val="24"/>
          <w:lang w:val="en-GB"/>
        </w:rPr>
        <w:t xml:space="preserve"> </w:t>
      </w:r>
      <w:r w:rsidRPr="0044150C">
        <w:rPr>
          <w:rFonts w:ascii="Arial" w:hAnsi="Arial" w:cs="Arial"/>
          <w:sz w:val="24"/>
          <w:szCs w:val="24"/>
          <w:lang w:val="en-GB"/>
        </w:rPr>
        <w:t>amount</w:t>
      </w:r>
      <w:r w:rsidRPr="0044150C">
        <w:rPr>
          <w:rFonts w:ascii="Arial" w:hAnsi="Arial" w:cs="Arial"/>
          <w:spacing w:val="-8"/>
          <w:sz w:val="24"/>
          <w:szCs w:val="24"/>
          <w:lang w:val="en-GB"/>
        </w:rPr>
        <w:t xml:space="preserve"> </w:t>
      </w:r>
      <w:r w:rsidRPr="0044150C">
        <w:rPr>
          <w:rFonts w:ascii="Arial" w:hAnsi="Arial" w:cs="Arial"/>
          <w:sz w:val="24"/>
          <w:szCs w:val="24"/>
          <w:lang w:val="en-GB"/>
        </w:rPr>
        <w:t>and</w:t>
      </w:r>
      <w:r w:rsidRPr="0044150C">
        <w:rPr>
          <w:rFonts w:ascii="Arial" w:hAnsi="Arial" w:cs="Arial"/>
          <w:spacing w:val="-11"/>
          <w:sz w:val="24"/>
          <w:szCs w:val="24"/>
          <w:lang w:val="en-GB"/>
        </w:rPr>
        <w:t xml:space="preserve"> </w:t>
      </w:r>
      <w:r w:rsidRPr="0044150C">
        <w:rPr>
          <w:rFonts w:ascii="Arial" w:hAnsi="Arial" w:cs="Arial"/>
          <w:sz w:val="24"/>
          <w:szCs w:val="24"/>
          <w:lang w:val="en-GB"/>
        </w:rPr>
        <w:t>nature</w:t>
      </w:r>
      <w:r w:rsidR="00411A4F" w:rsidRPr="0044150C">
        <w:rPr>
          <w:rFonts w:ascii="Arial" w:hAnsi="Arial" w:cs="Arial"/>
          <w:sz w:val="24"/>
          <w:szCs w:val="24"/>
          <w:lang w:val="en-GB"/>
        </w:rPr>
        <w:t xml:space="preserve"> of the alleged subsidies implies that “</w:t>
      </w:r>
      <w:r w:rsidR="00411A4F" w:rsidRPr="0044150C">
        <w:rPr>
          <w:rFonts w:ascii="Arial" w:hAnsi="Arial" w:cs="Arial"/>
          <w:i/>
          <w:iCs/>
          <w:sz w:val="24"/>
          <w:szCs w:val="24"/>
          <w:lang w:val="en-GB"/>
        </w:rPr>
        <w:t>adequate evidence, tending to prove or indicating the existence of these elements, is required</w:t>
      </w:r>
      <w:r w:rsidR="00411A4F" w:rsidRPr="0044150C">
        <w:rPr>
          <w:rFonts w:ascii="Arial" w:hAnsi="Arial" w:cs="Arial"/>
          <w:sz w:val="24"/>
          <w:szCs w:val="24"/>
          <w:lang w:val="en-GB"/>
        </w:rPr>
        <w:t>”.</w:t>
      </w:r>
      <w:r w:rsidR="00411A4F" w:rsidRPr="0044150C">
        <w:rPr>
          <w:rStyle w:val="ab"/>
          <w:rFonts w:ascii="Arial" w:hAnsi="Arial" w:cs="Arial"/>
          <w:sz w:val="24"/>
          <w:szCs w:val="24"/>
          <w:lang w:val="en-GB"/>
        </w:rPr>
        <w:footnoteReference w:id="8"/>
      </w:r>
    </w:p>
    <w:p w14:paraId="1E9DE031" w14:textId="77777777" w:rsidR="00411A4F" w:rsidRPr="0044150C" w:rsidRDefault="00411A4F" w:rsidP="00411A4F">
      <w:pPr>
        <w:pStyle w:val="a9"/>
        <w:rPr>
          <w:rFonts w:ascii="Arial" w:hAnsi="Arial" w:cs="Arial"/>
          <w:sz w:val="24"/>
          <w:szCs w:val="24"/>
          <w:lang w:val="en-GB"/>
        </w:rPr>
      </w:pPr>
    </w:p>
    <w:p w14:paraId="50F329C5" w14:textId="6BD5A322" w:rsidR="00F86337" w:rsidRPr="0044150C" w:rsidRDefault="00F86337" w:rsidP="00F86337">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 xml:space="preserve">The above-mentioned legal standards concerning the sufficiency of the evidence in an application established by the Panel in China – GOES were reiterated by the Panel in </w:t>
      </w:r>
      <w:r w:rsidRPr="0044150C">
        <w:rPr>
          <w:rFonts w:ascii="Arial" w:hAnsi="Arial" w:cs="Arial"/>
          <w:i/>
          <w:iCs/>
          <w:sz w:val="24"/>
          <w:szCs w:val="24"/>
          <w:lang w:val="en-GB"/>
        </w:rPr>
        <w:t>US – Countervailing Duties (China)</w:t>
      </w:r>
      <w:r w:rsidRPr="0044150C">
        <w:rPr>
          <w:rFonts w:ascii="Arial" w:hAnsi="Arial" w:cs="Arial"/>
          <w:sz w:val="24"/>
          <w:szCs w:val="24"/>
          <w:lang w:val="en-GB"/>
        </w:rPr>
        <w:t>.</w:t>
      </w:r>
      <w:r w:rsidRPr="0044150C">
        <w:rPr>
          <w:rStyle w:val="ab"/>
          <w:rFonts w:ascii="Arial" w:hAnsi="Arial" w:cs="Arial"/>
          <w:sz w:val="24"/>
          <w:szCs w:val="24"/>
          <w:lang w:val="en-GB"/>
        </w:rPr>
        <w:footnoteReference w:id="9"/>
      </w:r>
    </w:p>
    <w:p w14:paraId="0A771CBA" w14:textId="77777777" w:rsidR="00F86337" w:rsidRPr="0044150C" w:rsidRDefault="00F86337" w:rsidP="00F86337">
      <w:pPr>
        <w:pStyle w:val="a9"/>
        <w:rPr>
          <w:rFonts w:ascii="Arial" w:hAnsi="Arial" w:cs="Arial"/>
          <w:sz w:val="24"/>
          <w:szCs w:val="24"/>
          <w:lang w:val="en-GB"/>
        </w:rPr>
      </w:pPr>
    </w:p>
    <w:p w14:paraId="13481F22" w14:textId="77777777" w:rsidR="00F86337" w:rsidRPr="0044150C" w:rsidRDefault="00F86337" w:rsidP="00F86337">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Finally, while WTO panels and the Appellate Body have not provided an exhaustive list of evidence and circumstances that meet the “sufficient evidence” standard regarding the nature, existence and amount of a subsidy, their rulings indicate that certain types of statements and assertions are inadequate to meet this standard including, among others, the following:</w:t>
      </w:r>
    </w:p>
    <w:p w14:paraId="50DF13D9" w14:textId="6DEE9E97" w:rsidR="00F86337" w:rsidRPr="0044150C" w:rsidRDefault="00F86337" w:rsidP="00F86337">
      <w:pPr>
        <w:pStyle w:val="a9"/>
        <w:numPr>
          <w:ilvl w:val="0"/>
          <w:numId w:val="31"/>
        </w:numPr>
        <w:rPr>
          <w:rFonts w:ascii="Arial" w:hAnsi="Arial" w:cs="Arial"/>
          <w:sz w:val="24"/>
          <w:szCs w:val="24"/>
          <w:lang w:val="en-GB"/>
        </w:rPr>
      </w:pPr>
      <w:r w:rsidRPr="0044150C">
        <w:rPr>
          <w:rFonts w:ascii="Arial" w:hAnsi="Arial" w:cs="Arial"/>
          <w:sz w:val="24"/>
          <w:szCs w:val="24"/>
          <w:lang w:val="en-GB"/>
        </w:rPr>
        <w:lastRenderedPageBreak/>
        <w:t>simple assertions unsubstantiated by relevant evidence;</w:t>
      </w:r>
      <w:r w:rsidRPr="0044150C">
        <w:rPr>
          <w:rStyle w:val="ab"/>
          <w:rFonts w:ascii="Arial" w:hAnsi="Arial" w:cs="Arial"/>
          <w:sz w:val="24"/>
          <w:szCs w:val="24"/>
          <w:lang w:val="en-GB"/>
        </w:rPr>
        <w:footnoteReference w:id="10"/>
      </w:r>
    </w:p>
    <w:p w14:paraId="19094406" w14:textId="47663CA9" w:rsidR="00F86337" w:rsidRPr="0044150C" w:rsidRDefault="00F86337" w:rsidP="00F86337">
      <w:pPr>
        <w:pStyle w:val="a9"/>
        <w:ind w:firstLine="720"/>
        <w:rPr>
          <w:rFonts w:ascii="Arial" w:hAnsi="Arial" w:cs="Arial"/>
          <w:sz w:val="24"/>
          <w:szCs w:val="24"/>
          <w:lang w:val="en-GB"/>
        </w:rPr>
      </w:pPr>
      <w:r w:rsidRPr="0044150C">
        <w:rPr>
          <w:rFonts w:ascii="Arial" w:hAnsi="Arial" w:cs="Arial"/>
          <w:sz w:val="24"/>
          <w:szCs w:val="24"/>
          <w:lang w:val="en-GB"/>
        </w:rPr>
        <w:t>(ii)</w:t>
      </w:r>
      <w:r w:rsidRPr="0044150C">
        <w:rPr>
          <w:rFonts w:ascii="Arial" w:hAnsi="Arial" w:cs="Arial"/>
          <w:sz w:val="24"/>
          <w:szCs w:val="24"/>
          <w:lang w:val="en-GB"/>
        </w:rPr>
        <w:tab/>
        <w:t>“[g]eneral information about government policy, with no direct connection to the subsidy programme at issue, is not ‘sufficient evidence’ of specificity.”</w:t>
      </w:r>
      <w:r w:rsidRPr="0044150C">
        <w:rPr>
          <w:rStyle w:val="ab"/>
          <w:rFonts w:ascii="Arial" w:hAnsi="Arial" w:cs="Arial"/>
          <w:sz w:val="24"/>
          <w:szCs w:val="24"/>
          <w:lang w:val="en-GB"/>
        </w:rPr>
        <w:footnoteReference w:id="11"/>
      </w:r>
    </w:p>
    <w:p w14:paraId="13836C01" w14:textId="1B0C694C" w:rsidR="00F86337" w:rsidRPr="0044150C" w:rsidRDefault="00F86337" w:rsidP="00F86337">
      <w:pPr>
        <w:pStyle w:val="a9"/>
        <w:ind w:firstLine="720"/>
        <w:rPr>
          <w:rFonts w:ascii="Arial" w:hAnsi="Arial" w:cs="Arial"/>
          <w:sz w:val="24"/>
          <w:szCs w:val="24"/>
          <w:lang w:val="en-GB"/>
        </w:rPr>
      </w:pPr>
      <w:r w:rsidRPr="0044150C">
        <w:rPr>
          <w:rFonts w:ascii="Arial" w:hAnsi="Arial" w:cs="Arial"/>
          <w:sz w:val="24"/>
          <w:szCs w:val="24"/>
          <w:lang w:val="en-GB"/>
        </w:rPr>
        <w:t>(iii)</w:t>
      </w:r>
      <w:r w:rsidRPr="0044150C">
        <w:rPr>
          <w:rFonts w:ascii="Arial" w:hAnsi="Arial" w:cs="Arial"/>
          <w:sz w:val="24"/>
          <w:szCs w:val="24"/>
          <w:lang w:val="en-GB"/>
        </w:rPr>
        <w:tab/>
        <w:t>the fact that a company is the user of a program is not evidence that it is the sole or one of the limited users of the program thereby demonstrating specificity;</w:t>
      </w:r>
      <w:r w:rsidRPr="0044150C">
        <w:rPr>
          <w:rStyle w:val="ab"/>
          <w:rFonts w:ascii="Arial" w:hAnsi="Arial" w:cs="Arial"/>
          <w:sz w:val="24"/>
          <w:szCs w:val="24"/>
          <w:lang w:val="en-GB"/>
        </w:rPr>
        <w:footnoteReference w:id="12"/>
      </w:r>
      <w:r w:rsidRPr="0044150C">
        <w:rPr>
          <w:rFonts w:ascii="Arial" w:hAnsi="Arial" w:cs="Arial"/>
          <w:sz w:val="24"/>
          <w:szCs w:val="24"/>
          <w:lang w:val="en-GB"/>
        </w:rPr>
        <w:t xml:space="preserve"> and</w:t>
      </w:r>
    </w:p>
    <w:p w14:paraId="492B8778" w14:textId="207CA175" w:rsidR="00F86337" w:rsidRPr="0044150C" w:rsidRDefault="00F86337" w:rsidP="003D13B9">
      <w:pPr>
        <w:pStyle w:val="a9"/>
        <w:ind w:firstLine="720"/>
        <w:rPr>
          <w:rFonts w:ascii="Arial" w:hAnsi="Arial" w:cs="Arial"/>
          <w:sz w:val="24"/>
          <w:szCs w:val="24"/>
          <w:lang w:val="en-GB"/>
        </w:rPr>
      </w:pPr>
      <w:r w:rsidRPr="0044150C">
        <w:rPr>
          <w:rFonts w:ascii="Arial" w:hAnsi="Arial" w:cs="Arial"/>
          <w:sz w:val="24"/>
          <w:szCs w:val="24"/>
          <w:lang w:val="en-GB"/>
        </w:rPr>
        <w:t>(iv)</w:t>
      </w:r>
      <w:r w:rsidRPr="0044150C">
        <w:rPr>
          <w:rFonts w:ascii="Arial" w:hAnsi="Arial" w:cs="Arial"/>
          <w:sz w:val="24"/>
          <w:szCs w:val="24"/>
          <w:lang w:val="en-GB"/>
        </w:rPr>
        <w:tab/>
        <w:t>in the absence of information on the allocation of the benefit of the subsidy to the proposed investigation period, the requirement to demonstrate the existence of a benefit in the expected investigation period is not met.</w:t>
      </w:r>
      <w:r w:rsidRPr="0044150C">
        <w:rPr>
          <w:rStyle w:val="ab"/>
          <w:rFonts w:ascii="Arial" w:hAnsi="Arial" w:cs="Arial"/>
          <w:sz w:val="24"/>
          <w:szCs w:val="24"/>
          <w:lang w:val="en-GB"/>
        </w:rPr>
        <w:footnoteReference w:id="13"/>
      </w:r>
    </w:p>
    <w:p w14:paraId="19AF386E" w14:textId="77777777" w:rsidR="003D13B9" w:rsidRPr="0044150C" w:rsidRDefault="003D13B9" w:rsidP="003D13B9">
      <w:pPr>
        <w:pStyle w:val="a9"/>
        <w:ind w:firstLine="720"/>
        <w:rPr>
          <w:rFonts w:ascii="Arial" w:hAnsi="Arial" w:cs="Arial"/>
          <w:sz w:val="24"/>
          <w:szCs w:val="24"/>
          <w:lang w:val="en-GB"/>
        </w:rPr>
      </w:pPr>
    </w:p>
    <w:p w14:paraId="45FF1380" w14:textId="7370CB13" w:rsidR="00F86337" w:rsidRPr="0044150C" w:rsidRDefault="00F86337" w:rsidP="00F86337">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In addition, pursuant to Article 2.1(b) of the SCM Agreement, specificity does not exist if the granting authority – or the legislation pursuant to which the granting authority operates – establishes objective criteria or conditions governing the eligibility for and the amount of the subsidy, provided that (i) eligibility is automatic, (ii) such criteria or conditions are strictly adhered to, and (iii) such criteria or conditions are clearly spelt out in laws, regulations or other official documents, so as to be capable of verification.</w:t>
      </w:r>
    </w:p>
    <w:p w14:paraId="659BE200" w14:textId="77777777" w:rsidR="00F86337" w:rsidRPr="0044150C" w:rsidRDefault="00F86337" w:rsidP="001568DB">
      <w:pPr>
        <w:pStyle w:val="a9"/>
        <w:rPr>
          <w:rFonts w:ascii="Arial" w:hAnsi="Arial" w:cs="Arial"/>
          <w:sz w:val="24"/>
          <w:szCs w:val="24"/>
          <w:lang w:val="en-GB"/>
        </w:rPr>
      </w:pPr>
    </w:p>
    <w:p w14:paraId="14C0703D" w14:textId="6E4D3A4B" w:rsidR="00411A4F" w:rsidRPr="0044150C" w:rsidRDefault="00F86337" w:rsidP="001568DB">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 xml:space="preserve">Against this legal background, the GOC notes that </w:t>
      </w:r>
      <w:r w:rsidR="00AD40B2" w:rsidRPr="0044150C">
        <w:rPr>
          <w:rFonts w:ascii="Arial" w:hAnsi="Arial" w:cs="Arial"/>
          <w:sz w:val="24"/>
          <w:szCs w:val="24"/>
          <w:lang w:val="en-GB"/>
        </w:rPr>
        <w:t xml:space="preserve">none of </w:t>
      </w:r>
      <w:r w:rsidRPr="0044150C">
        <w:rPr>
          <w:rFonts w:ascii="Arial" w:hAnsi="Arial" w:cs="Arial"/>
          <w:sz w:val="24"/>
          <w:szCs w:val="24"/>
          <w:lang w:val="en-GB"/>
        </w:rPr>
        <w:t>the claims in the Application regarding subsidization meet the required evidentiary standards and are adequate for the initiation of the present investigation.</w:t>
      </w:r>
      <w:r w:rsidR="00E26D8F" w:rsidRPr="0044150C">
        <w:rPr>
          <w:rFonts w:ascii="Arial" w:hAnsi="Arial" w:cs="Arial"/>
          <w:sz w:val="24"/>
          <w:szCs w:val="24"/>
          <w:lang w:val="en-GB"/>
        </w:rPr>
        <w:t xml:space="preserve"> Therefore, the allegations of subsidization made in the Application should be rejected by the TRA.</w:t>
      </w:r>
    </w:p>
    <w:p w14:paraId="34A06E5C" w14:textId="77777777" w:rsidR="0045188A" w:rsidRPr="0044150C" w:rsidRDefault="0045188A" w:rsidP="0045188A">
      <w:pPr>
        <w:rPr>
          <w:rFonts w:ascii="Arial" w:hAnsi="Arial" w:cs="Arial"/>
          <w:sz w:val="24"/>
          <w:szCs w:val="24"/>
          <w:lang w:val="en-GB"/>
        </w:rPr>
      </w:pPr>
    </w:p>
    <w:p w14:paraId="370651A5" w14:textId="67534374" w:rsidR="00956C33" w:rsidRPr="0044150C" w:rsidRDefault="00D6403C" w:rsidP="00673F74">
      <w:pPr>
        <w:pStyle w:val="2"/>
        <w:ind w:left="720" w:hanging="720"/>
        <w:rPr>
          <w:lang w:val="en-GB"/>
        </w:rPr>
      </w:pPr>
      <w:bookmarkStart w:id="3" w:name="_Toc226652285"/>
      <w:r w:rsidRPr="0044150C">
        <w:rPr>
          <w:lang w:val="en-GB"/>
        </w:rPr>
        <w:t>B</w:t>
      </w:r>
      <w:r w:rsidR="009C3948" w:rsidRPr="0044150C">
        <w:rPr>
          <w:lang w:val="en-GB"/>
        </w:rPr>
        <w:t>oom lift</w:t>
      </w:r>
      <w:r w:rsidR="00F14BB5" w:rsidRPr="0044150C">
        <w:rPr>
          <w:lang w:val="en-GB"/>
        </w:rPr>
        <w:t xml:space="preserve"> industry</w:t>
      </w:r>
      <w:r w:rsidR="00956C33" w:rsidRPr="0044150C">
        <w:rPr>
          <w:lang w:val="en-GB"/>
        </w:rPr>
        <w:t xml:space="preserve"> is not an “encouraged” industry</w:t>
      </w:r>
      <w:r w:rsidR="003320AB" w:rsidRPr="0044150C">
        <w:rPr>
          <w:lang w:val="en-GB"/>
        </w:rPr>
        <w:t>.</w:t>
      </w:r>
      <w:bookmarkEnd w:id="3"/>
    </w:p>
    <w:p w14:paraId="3C1F1BA0" w14:textId="52D00375" w:rsidR="00956C33" w:rsidRPr="0044150C" w:rsidRDefault="00956C33" w:rsidP="003320AB">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 xml:space="preserve">Based on Article 11.2 of the SCM Agreement, the GOC respectfully submits that the Applicant’s allegation that the </w:t>
      </w:r>
      <w:r w:rsidR="009C3948" w:rsidRPr="0044150C">
        <w:rPr>
          <w:rFonts w:ascii="Arial" w:hAnsi="Arial" w:cs="Arial"/>
          <w:sz w:val="24"/>
          <w:szCs w:val="24"/>
          <w:lang w:val="en-GB"/>
        </w:rPr>
        <w:t>boom lift</w:t>
      </w:r>
      <w:r w:rsidRPr="0044150C">
        <w:rPr>
          <w:rFonts w:ascii="Arial" w:hAnsi="Arial" w:cs="Arial"/>
          <w:sz w:val="24"/>
          <w:szCs w:val="24"/>
          <w:lang w:val="en-GB"/>
        </w:rPr>
        <w:t xml:space="preserve"> industry is </w:t>
      </w:r>
      <w:r w:rsidR="00C34369" w:rsidRPr="0044150C">
        <w:rPr>
          <w:rFonts w:ascii="Arial" w:hAnsi="Arial" w:cs="Arial"/>
          <w:sz w:val="24"/>
          <w:szCs w:val="24"/>
          <w:lang w:val="en-GB"/>
        </w:rPr>
        <w:t>an “encouraged” industry</w:t>
      </w:r>
      <w:r w:rsidRPr="0044150C">
        <w:rPr>
          <w:rFonts w:ascii="Arial" w:hAnsi="Arial" w:cs="Arial"/>
          <w:sz w:val="24"/>
          <w:szCs w:val="24"/>
          <w:lang w:val="en-GB"/>
        </w:rPr>
        <w:t xml:space="preserve">is </w:t>
      </w:r>
      <w:r w:rsidRPr="0044150C">
        <w:rPr>
          <w:rFonts w:ascii="Arial" w:hAnsi="Arial" w:cs="Arial"/>
          <w:sz w:val="24"/>
          <w:szCs w:val="24"/>
          <w:lang w:val="en-GB"/>
        </w:rPr>
        <w:lastRenderedPageBreak/>
        <w:t xml:space="preserve">incorrect and does not show that the measures at issue are specific within the meaning of Article 2 of the SCM Agreement. The Applicant has extracted certain terms and phrases out of context from various Chinese documents, misrepresented others and tried to tie them together to show that the GOC allegedly promotes the </w:t>
      </w:r>
      <w:r w:rsidR="009C3948" w:rsidRPr="0044150C">
        <w:rPr>
          <w:rFonts w:ascii="Arial" w:hAnsi="Arial" w:cs="Arial"/>
          <w:sz w:val="24"/>
          <w:szCs w:val="24"/>
          <w:lang w:val="en-GB"/>
        </w:rPr>
        <w:t>boom lift</w:t>
      </w:r>
      <w:r w:rsidRPr="0044150C">
        <w:rPr>
          <w:rFonts w:ascii="Arial" w:hAnsi="Arial" w:cs="Arial"/>
          <w:sz w:val="24"/>
          <w:szCs w:val="24"/>
          <w:lang w:val="en-GB"/>
        </w:rPr>
        <w:t xml:space="preserve"> industry. However, a complete reading of these documents would nevertheless demonstrate that the Applicant’s statements are baseless and not supported by any evidence, let alone “positive evidence”, as will be explained in more detail below.</w:t>
      </w:r>
    </w:p>
    <w:p w14:paraId="1073A750" w14:textId="77777777" w:rsidR="00956C33" w:rsidRPr="0044150C" w:rsidRDefault="00956C33" w:rsidP="00956C33">
      <w:pPr>
        <w:pStyle w:val="a7"/>
        <w:spacing w:before="11"/>
        <w:rPr>
          <w:rFonts w:ascii="Arial" w:hAnsi="Arial" w:cs="Arial"/>
          <w:sz w:val="24"/>
          <w:szCs w:val="24"/>
        </w:rPr>
      </w:pPr>
    </w:p>
    <w:p w14:paraId="3FE667E7" w14:textId="77777777" w:rsidR="00956C33" w:rsidRPr="0044150C" w:rsidRDefault="00956C33" w:rsidP="003320AB">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First, the Applicant states that:</w:t>
      </w:r>
    </w:p>
    <w:p w14:paraId="052CD978" w14:textId="7EAD4B1A" w:rsidR="00956C33" w:rsidRPr="0044150C" w:rsidRDefault="00956C33" w:rsidP="00683881">
      <w:pPr>
        <w:spacing w:before="137"/>
        <w:ind w:left="1482" w:right="662"/>
        <w:rPr>
          <w:rFonts w:ascii="Arial" w:hAnsi="Arial" w:cs="Arial"/>
          <w:sz w:val="24"/>
          <w:szCs w:val="24"/>
          <w:lang w:val="en-GB"/>
        </w:rPr>
      </w:pPr>
      <w:r w:rsidRPr="0044150C">
        <w:rPr>
          <w:rFonts w:ascii="Arial" w:hAnsi="Arial" w:cs="Arial"/>
          <w:sz w:val="24"/>
          <w:szCs w:val="24"/>
          <w:lang w:val="en-GB"/>
        </w:rPr>
        <w:t>“</w:t>
      </w:r>
      <w:r w:rsidR="00DE3660" w:rsidRPr="0044150C">
        <w:rPr>
          <w:rFonts w:ascii="Arial" w:hAnsi="Arial" w:cs="Arial"/>
          <w:i/>
          <w:sz w:val="24"/>
          <w:szCs w:val="24"/>
          <w:lang w:val="en-GB"/>
        </w:rPr>
        <w:t>China's economic and administrative structure provides the Chinese Government, through the Chinese Communist Party ("CCP"), with substantial powers to intervene in the economy in such a way that prices and costs are not the result of the free development of market forces. The central and local governments set objectives and priorities of the Chinese economy through, inter alia, the five-year planning. It is therefore clear that the Chinese market is governed by non-market forces.</w:t>
      </w:r>
      <w:r w:rsidR="00683881" w:rsidRPr="0044150C">
        <w:rPr>
          <w:rFonts w:ascii="Arial" w:hAnsi="Arial" w:cs="Arial"/>
          <w:i/>
          <w:sz w:val="24"/>
          <w:szCs w:val="24"/>
          <w:lang w:val="en-GB"/>
        </w:rPr>
        <w:t>”</w:t>
      </w:r>
      <w:r w:rsidRPr="0044150C">
        <w:rPr>
          <w:rFonts w:ascii="Arial" w:hAnsi="Arial" w:cs="Arial"/>
          <w:sz w:val="24"/>
          <w:szCs w:val="24"/>
          <w:lang w:val="en-GB"/>
        </w:rPr>
        <w:t xml:space="preserve"> .</w:t>
      </w:r>
    </w:p>
    <w:p w14:paraId="249F8E30" w14:textId="77777777" w:rsidR="00956C33" w:rsidRPr="0044150C" w:rsidRDefault="00956C33" w:rsidP="00956C33">
      <w:pPr>
        <w:pStyle w:val="a7"/>
        <w:spacing w:before="10"/>
        <w:rPr>
          <w:rFonts w:ascii="Arial" w:hAnsi="Arial" w:cs="Arial"/>
          <w:sz w:val="24"/>
          <w:szCs w:val="24"/>
        </w:rPr>
      </w:pPr>
    </w:p>
    <w:p w14:paraId="181E86C1" w14:textId="77777777" w:rsidR="00956C33" w:rsidRPr="0044150C" w:rsidRDefault="00956C33" w:rsidP="00683881">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It is underlined that Five-Year plans are neither mandatory nor legally binding; they are merely guidance documents. As the TRA would be well aware, several Asian countries, such as India, have had five-year plans since their independence.</w:t>
      </w:r>
    </w:p>
    <w:p w14:paraId="6624603F" w14:textId="77777777" w:rsidR="00956C33" w:rsidRPr="0044150C" w:rsidRDefault="00956C33" w:rsidP="00683881">
      <w:pPr>
        <w:pStyle w:val="a9"/>
        <w:rPr>
          <w:rFonts w:ascii="Arial" w:hAnsi="Arial" w:cs="Arial"/>
          <w:sz w:val="24"/>
          <w:szCs w:val="24"/>
          <w:lang w:val="en-GB"/>
        </w:rPr>
      </w:pPr>
    </w:p>
    <w:p w14:paraId="1C8D2B54" w14:textId="77777777" w:rsidR="00956C33" w:rsidRPr="0044150C" w:rsidRDefault="00956C33" w:rsidP="00683881">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 xml:space="preserve">In any event, the Legislation Law of China provides that only the Constitution, laws, administrative regulations, and local regulations and rules constitute general legislation in China. The difference between these types of binding measures and non-mandatory plans is also clear from the fact that the plans do not contain actual legal provisions, sanctions, or rules on applicability. Therefore, to the extent that the Applicant has relied on these plans in its analysis of the </w:t>
      </w:r>
      <w:r w:rsidRPr="0044150C">
        <w:rPr>
          <w:rFonts w:ascii="Arial" w:hAnsi="Arial" w:cs="Arial"/>
          <w:sz w:val="24"/>
          <w:szCs w:val="24"/>
          <w:lang w:val="en-GB"/>
        </w:rPr>
        <w:lastRenderedPageBreak/>
        <w:t>alleged subsidization, its claims are based on a misperception of the policy and therefore not accurate and adequate evidence.</w:t>
      </w:r>
    </w:p>
    <w:p w14:paraId="6EC3F234" w14:textId="77777777" w:rsidR="00956C33" w:rsidRPr="0044150C" w:rsidRDefault="00956C33" w:rsidP="00956C33">
      <w:pPr>
        <w:pStyle w:val="a7"/>
        <w:spacing w:before="10"/>
        <w:rPr>
          <w:rFonts w:ascii="Arial" w:eastAsiaTheme="minorEastAsia" w:hAnsi="Arial" w:cs="Arial"/>
          <w:sz w:val="24"/>
          <w:szCs w:val="24"/>
          <w:lang w:eastAsia="zh-CN"/>
        </w:rPr>
      </w:pPr>
    </w:p>
    <w:p w14:paraId="57533D8C" w14:textId="4C987A7E" w:rsidR="00683881" w:rsidRPr="0044150C" w:rsidRDefault="00683881" w:rsidP="00683881">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 xml:space="preserve">The Applicant’s reliance on the 14th Five-Year Plan is also misplaced. Moreover, and in any event, this plan does not mention </w:t>
      </w:r>
      <w:r w:rsidR="009C3948" w:rsidRPr="0044150C">
        <w:rPr>
          <w:rFonts w:ascii="Arial" w:hAnsi="Arial" w:cs="Arial"/>
          <w:sz w:val="24"/>
          <w:szCs w:val="24"/>
          <w:lang w:val="en-GB"/>
        </w:rPr>
        <w:t>boom lift</w:t>
      </w:r>
      <w:r w:rsidRPr="0044150C">
        <w:rPr>
          <w:rFonts w:ascii="Arial" w:hAnsi="Arial" w:cs="Arial"/>
          <w:sz w:val="24"/>
          <w:szCs w:val="24"/>
          <w:lang w:val="en-GB"/>
        </w:rPr>
        <w:t>. The Applicant bases itself on the incorrect assumption that if the manufacturing sector is supposedly encouraged, everything that makes up that sector is encouraged. Such an approach cannot be considered legal and is not based on any evidence whatsoever.</w:t>
      </w:r>
    </w:p>
    <w:p w14:paraId="658DA4D8" w14:textId="77777777" w:rsidR="00755E32" w:rsidRPr="0044150C" w:rsidRDefault="00755E32" w:rsidP="003A3C2A">
      <w:pPr>
        <w:pStyle w:val="a9"/>
        <w:rPr>
          <w:rFonts w:ascii="Arial" w:hAnsi="Arial" w:cs="Arial"/>
          <w:sz w:val="24"/>
          <w:szCs w:val="24"/>
          <w:lang w:val="en-GB"/>
        </w:rPr>
      </w:pPr>
    </w:p>
    <w:p w14:paraId="10A00287" w14:textId="511407AE" w:rsidR="00755E32" w:rsidRPr="0044150C" w:rsidRDefault="00755E32" w:rsidP="00683881">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 xml:space="preserve">As a matter of fact, the policy documents cited by the Applicant, including the 14th Five-Year Plan, Construction Industry Development Plan (2022), and Made in China 2025, are all guiding documents and do not </w:t>
      </w:r>
      <w:r w:rsidR="00F2745B" w:rsidRPr="0044150C">
        <w:rPr>
          <w:rFonts w:ascii="Arial" w:hAnsi="Arial" w:cs="Arial"/>
          <w:sz w:val="24"/>
          <w:szCs w:val="24"/>
          <w:lang w:val="en-GB"/>
        </w:rPr>
        <w:t>identify</w:t>
      </w:r>
      <w:r w:rsidRPr="0044150C">
        <w:rPr>
          <w:rFonts w:ascii="Arial" w:hAnsi="Arial" w:cs="Arial"/>
          <w:sz w:val="24"/>
          <w:szCs w:val="24"/>
          <w:lang w:val="en-GB"/>
        </w:rPr>
        <w:t xml:space="preserve"> whether an industry is an encouraged industry. In fact, the Guidance Catalogue for Industrial Structure Adjustment is the</w:t>
      </w:r>
      <w:r w:rsidR="00F2745B" w:rsidRPr="0044150C">
        <w:rPr>
          <w:rFonts w:ascii="Arial" w:hAnsi="Arial" w:cs="Arial"/>
          <w:sz w:val="24"/>
          <w:szCs w:val="24"/>
          <w:lang w:val="en-GB"/>
        </w:rPr>
        <w:t xml:space="preserve"> only and</w:t>
      </w:r>
      <w:r w:rsidRPr="0044150C">
        <w:rPr>
          <w:rFonts w:ascii="Arial" w:hAnsi="Arial" w:cs="Arial"/>
          <w:sz w:val="24"/>
          <w:szCs w:val="24"/>
          <w:lang w:val="en-GB"/>
        </w:rPr>
        <w:t xml:space="preserve"> sole basis to </w:t>
      </w:r>
      <w:r w:rsidR="00F2745B" w:rsidRPr="0044150C">
        <w:rPr>
          <w:rFonts w:ascii="Arial" w:hAnsi="Arial" w:cs="Arial"/>
          <w:sz w:val="24"/>
          <w:szCs w:val="24"/>
          <w:lang w:val="en-GB"/>
        </w:rPr>
        <w:t>specify</w:t>
      </w:r>
      <w:r w:rsidRPr="0044150C">
        <w:rPr>
          <w:rFonts w:ascii="Arial" w:hAnsi="Arial" w:cs="Arial"/>
          <w:sz w:val="24"/>
          <w:szCs w:val="24"/>
          <w:lang w:val="en-GB"/>
        </w:rPr>
        <w:t xml:space="preserve"> whether an industry is "encouraged". Nonetheless, policy documents related to construction machinery, including the Guidance Catalogue for Industrial Structure Adjustment, do not identify boom lifts nor MAE as an "encouraged" industry. Construction machinery involves 22 major categories, covering excavators, cranes, loaders, tunnel boring machines, forklifts, concrete machinery, road rollers, bulldozers, etc. The investigated product is only one sub-sector of construction machinery. Therefore, even if some policy documents mention construction machinery</w:t>
      </w:r>
      <w:r w:rsidR="009C2540" w:rsidRPr="0044150C">
        <w:rPr>
          <w:rFonts w:ascii="Arial" w:hAnsi="Arial" w:cs="Arial"/>
          <w:sz w:val="24"/>
          <w:szCs w:val="24"/>
          <w:lang w:val="en-GB"/>
        </w:rPr>
        <w:t xml:space="preserve"> but </w:t>
      </w:r>
      <w:r w:rsidRPr="0044150C">
        <w:rPr>
          <w:rFonts w:ascii="Arial" w:hAnsi="Arial" w:cs="Arial"/>
          <w:sz w:val="24"/>
          <w:szCs w:val="24"/>
          <w:lang w:val="en-GB"/>
        </w:rPr>
        <w:t xml:space="preserve">not explicitly specify content directly related to </w:t>
      </w:r>
      <w:r w:rsidR="009C2540" w:rsidRPr="0044150C">
        <w:rPr>
          <w:rFonts w:ascii="Arial" w:hAnsi="Arial" w:cs="Arial"/>
          <w:sz w:val="24"/>
          <w:szCs w:val="24"/>
          <w:lang w:val="en-GB"/>
        </w:rPr>
        <w:t>boom lifts, they</w:t>
      </w:r>
      <w:r w:rsidRPr="0044150C">
        <w:rPr>
          <w:rFonts w:ascii="Arial" w:hAnsi="Arial" w:cs="Arial"/>
          <w:sz w:val="24"/>
          <w:szCs w:val="24"/>
          <w:lang w:val="en-GB"/>
        </w:rPr>
        <w:t xml:space="preserve"> cannot be regarded as policy basis for the investigated industry.</w:t>
      </w:r>
    </w:p>
    <w:p w14:paraId="4C34450F" w14:textId="77777777" w:rsidR="00683881" w:rsidRPr="0044150C" w:rsidRDefault="00683881" w:rsidP="00683881">
      <w:pPr>
        <w:pStyle w:val="a9"/>
        <w:rPr>
          <w:rFonts w:ascii="Arial" w:hAnsi="Arial" w:cs="Arial"/>
          <w:sz w:val="24"/>
          <w:szCs w:val="24"/>
          <w:lang w:val="en-GB"/>
        </w:rPr>
      </w:pPr>
    </w:p>
    <w:p w14:paraId="07225C1C" w14:textId="0292BC6C" w:rsidR="00683881" w:rsidRPr="0044150C" w:rsidRDefault="00176988" w:rsidP="00683881">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Without prejudice to the above, if all the documents relied upon by the Applicant are considered holistically (e.g., the Made in China 2025 plan, the 14th Five-Year Plan), all industries and enterprises as well as sectors of the Chinese economy are covered and thus, in the Applicant’s words, “encouraged”. Therefore, following the Applicant’s logic, there can be no specificity.</w:t>
      </w:r>
    </w:p>
    <w:p w14:paraId="779E8986" w14:textId="77777777" w:rsidR="00176988" w:rsidRPr="0044150C" w:rsidRDefault="00176988" w:rsidP="00176988">
      <w:pPr>
        <w:pStyle w:val="a9"/>
        <w:rPr>
          <w:rFonts w:ascii="Arial" w:hAnsi="Arial" w:cs="Arial"/>
          <w:sz w:val="24"/>
          <w:szCs w:val="24"/>
          <w:lang w:val="en-GB"/>
        </w:rPr>
      </w:pPr>
    </w:p>
    <w:p w14:paraId="669B15F4" w14:textId="4A945178" w:rsidR="00C51ACE" w:rsidRPr="0044150C" w:rsidRDefault="000D1828" w:rsidP="00673F74">
      <w:pPr>
        <w:pStyle w:val="2"/>
        <w:ind w:left="720" w:hanging="720"/>
        <w:rPr>
          <w:lang w:val="en-GB"/>
        </w:rPr>
      </w:pPr>
      <w:bookmarkStart w:id="4" w:name="_Toc226652286"/>
      <w:r w:rsidRPr="0044150C">
        <w:rPr>
          <w:lang w:val="en-GB"/>
        </w:rPr>
        <w:lastRenderedPageBreak/>
        <w:t>Alleged government revenue forgone or not collected</w:t>
      </w:r>
      <w:bookmarkEnd w:id="4"/>
    </w:p>
    <w:p w14:paraId="520C5AD3" w14:textId="77777777" w:rsidR="000D1828" w:rsidRPr="0044150C" w:rsidRDefault="000D1828" w:rsidP="000D1828">
      <w:pPr>
        <w:rPr>
          <w:rFonts w:ascii="Arial" w:hAnsi="Arial" w:cs="Arial"/>
          <w:sz w:val="24"/>
          <w:szCs w:val="24"/>
          <w:lang w:val="en-GB"/>
        </w:rPr>
      </w:pPr>
    </w:p>
    <w:p w14:paraId="75C45AC7" w14:textId="53024452" w:rsidR="0045188A" w:rsidRPr="0044150C" w:rsidRDefault="0045188A" w:rsidP="0045188A">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 xml:space="preserve">The GOC strongly objects to the investigation into the alleged tax schemes </w:t>
      </w:r>
      <w:r w:rsidR="00BF1F8E" w:rsidRPr="0044150C">
        <w:rPr>
          <w:rFonts w:ascii="Arial" w:hAnsi="Arial" w:cs="Arial"/>
          <w:sz w:val="24"/>
          <w:szCs w:val="24"/>
          <w:lang w:val="en-GB"/>
        </w:rPr>
        <w:t>as</w:t>
      </w:r>
      <w:r w:rsidRPr="0044150C">
        <w:rPr>
          <w:rFonts w:ascii="Arial" w:hAnsi="Arial" w:cs="Arial"/>
          <w:sz w:val="24"/>
          <w:szCs w:val="24"/>
          <w:lang w:val="en-GB"/>
        </w:rPr>
        <w:t xml:space="preserve"> the below-mentioned alleged subsidies</w:t>
      </w:r>
      <w:r w:rsidR="00BF1F8E" w:rsidRPr="0044150C">
        <w:rPr>
          <w:rFonts w:ascii="Arial" w:hAnsi="Arial" w:cs="Arial"/>
          <w:sz w:val="24"/>
          <w:szCs w:val="24"/>
          <w:lang w:val="en-GB"/>
        </w:rPr>
        <w:t xml:space="preserve"> </w:t>
      </w:r>
      <w:r w:rsidR="00B12F44" w:rsidRPr="0044150C">
        <w:rPr>
          <w:rFonts w:ascii="Arial" w:hAnsi="Arial" w:cs="Arial"/>
          <w:sz w:val="24"/>
          <w:szCs w:val="24"/>
          <w:lang w:val="en-GB"/>
        </w:rPr>
        <w:t xml:space="preserve">do </w:t>
      </w:r>
      <w:r w:rsidR="00BF1F8E" w:rsidRPr="0044150C">
        <w:rPr>
          <w:rFonts w:ascii="Arial" w:hAnsi="Arial" w:cs="Arial"/>
          <w:sz w:val="24"/>
          <w:szCs w:val="24"/>
          <w:lang w:val="en-GB"/>
        </w:rPr>
        <w:t>not</w:t>
      </w:r>
      <w:r w:rsidRPr="0044150C">
        <w:rPr>
          <w:rFonts w:ascii="Arial" w:hAnsi="Arial" w:cs="Arial"/>
          <w:sz w:val="24"/>
          <w:szCs w:val="24"/>
          <w:lang w:val="en-GB"/>
        </w:rPr>
        <w:t xml:space="preserve"> satisf</w:t>
      </w:r>
      <w:r w:rsidR="00B12F44" w:rsidRPr="0044150C">
        <w:rPr>
          <w:rFonts w:ascii="Arial" w:hAnsi="Arial" w:cs="Arial"/>
          <w:sz w:val="24"/>
          <w:szCs w:val="24"/>
          <w:lang w:val="en-GB"/>
        </w:rPr>
        <w:t>y</w:t>
      </w:r>
      <w:r w:rsidRPr="0044150C">
        <w:rPr>
          <w:rFonts w:ascii="Arial" w:hAnsi="Arial" w:cs="Arial"/>
          <w:sz w:val="24"/>
          <w:szCs w:val="24"/>
          <w:lang w:val="en-GB"/>
        </w:rPr>
        <w:t xml:space="preserve"> the specificity threshold.</w:t>
      </w:r>
      <w:r w:rsidR="00346A8B" w:rsidRPr="0044150C">
        <w:rPr>
          <w:rFonts w:ascii="Arial" w:eastAsia="黑体" w:hAnsi="Arial" w:cs="Arial"/>
          <w:sz w:val="24"/>
          <w:szCs w:val="24"/>
          <w:lang w:val="en-GB"/>
        </w:rPr>
        <w:t xml:space="preserve"> While the GOC has provided specific comments on several of the alleged programs listed in Table C-1 </w:t>
      </w:r>
      <w:r w:rsidR="00346A8B" w:rsidRPr="0044150C">
        <w:rPr>
          <w:rFonts w:ascii="Arial" w:eastAsiaTheme="minorHAnsi" w:hAnsi="Arial" w:cs="Arial"/>
          <w:sz w:val="24"/>
          <w:szCs w:val="24"/>
          <w:lang w:val="en-GB" w:bidi="hi-IN"/>
          <w14:ligatures w14:val="standardContextual"/>
        </w:rPr>
        <w:t xml:space="preserve">of the AS </w:t>
      </w:r>
      <w:r w:rsidR="00346A8B" w:rsidRPr="0044150C">
        <w:rPr>
          <w:rFonts w:ascii="Arial" w:eastAsia="黑体" w:hAnsi="Arial" w:cs="Arial"/>
          <w:sz w:val="24"/>
          <w:szCs w:val="24"/>
          <w:lang w:val="en-GB"/>
        </w:rPr>
        <w:t>questionnaire, for the remainder of the programs, the absence of specific comments does not imply that the GOC agrees with the investigation into these programs. For these alleged programs, to the extent that they have been used by the sampled exporting producers, the GOC refers to the narrative provided in its AS questionnaire response.</w:t>
      </w:r>
    </w:p>
    <w:p w14:paraId="749AB0E2" w14:textId="77777777" w:rsidR="0045188A" w:rsidRPr="0044150C" w:rsidRDefault="0045188A" w:rsidP="0045188A">
      <w:pPr>
        <w:pStyle w:val="a9"/>
        <w:rPr>
          <w:rFonts w:ascii="Arial" w:hAnsi="Arial" w:cs="Arial"/>
          <w:sz w:val="24"/>
          <w:szCs w:val="24"/>
          <w:lang w:val="en-GB"/>
        </w:rPr>
      </w:pPr>
    </w:p>
    <w:p w14:paraId="643B5E2D" w14:textId="72B6D30F" w:rsidR="0045188A" w:rsidRPr="0044150C" w:rsidRDefault="00094BFD" w:rsidP="0045188A">
      <w:pPr>
        <w:pStyle w:val="3"/>
        <w:rPr>
          <w:rFonts w:ascii="Arial" w:eastAsiaTheme="minorEastAsia" w:hAnsi="Arial" w:cs="Arial"/>
          <w:b/>
          <w:bCs/>
          <w:color w:val="auto"/>
          <w:lang w:val="en-GB"/>
        </w:rPr>
      </w:pPr>
      <w:bookmarkStart w:id="5" w:name="_Toc226652287"/>
      <w:r w:rsidRPr="0044150C">
        <w:rPr>
          <w:rFonts w:ascii="Arial" w:eastAsia="Times New Roman" w:hAnsi="Arial" w:cs="Arial"/>
          <w:b/>
          <w:bCs/>
          <w:color w:val="auto"/>
          <w:lang w:val="en-GB" w:eastAsia="en-US"/>
        </w:rPr>
        <w:t>Reduced corporate tax rates</w:t>
      </w:r>
      <w:r w:rsidR="0045188A" w:rsidRPr="0044150C">
        <w:rPr>
          <w:rFonts w:ascii="Arial" w:eastAsia="Times New Roman" w:hAnsi="Arial" w:cs="Arial"/>
          <w:b/>
          <w:bCs/>
          <w:color w:val="auto"/>
          <w:lang w:val="en-GB" w:eastAsia="en-US"/>
        </w:rPr>
        <w:t xml:space="preserve"> for High and New Technology Enterprises</w:t>
      </w:r>
      <w:bookmarkEnd w:id="5"/>
    </w:p>
    <w:p w14:paraId="0608DC31" w14:textId="77777777" w:rsidR="0045188A" w:rsidRPr="0044150C" w:rsidRDefault="0045188A" w:rsidP="0045188A">
      <w:pPr>
        <w:pStyle w:val="a9"/>
        <w:rPr>
          <w:rFonts w:ascii="Arial" w:hAnsi="Arial" w:cs="Arial"/>
          <w:sz w:val="24"/>
          <w:szCs w:val="24"/>
          <w:lang w:val="en-GB"/>
        </w:rPr>
      </w:pPr>
    </w:p>
    <w:p w14:paraId="73ACFF9C" w14:textId="59271390" w:rsidR="0045188A" w:rsidRPr="0044150C" w:rsidRDefault="0045188A" w:rsidP="0045188A">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According to the Applicant, the Enterprise Income Tax (“EIT”) privileges and benefits for High and New Technology Enterprises constitute countervailable subsidies. The GOC disagrees and maintains that this alleged subsidy scheme is not specific, as the legislation pursuant to which the granting authority operates establishes objective criteria or conditions governing the eligibility</w:t>
      </w:r>
      <w:r w:rsidRPr="0044150C">
        <w:rPr>
          <w:rFonts w:ascii="Arial" w:hAnsi="Arial" w:cs="Arial"/>
          <w:spacing w:val="-13"/>
          <w:sz w:val="24"/>
          <w:szCs w:val="24"/>
          <w:lang w:val="en-GB"/>
        </w:rPr>
        <w:t xml:space="preserve"> </w:t>
      </w:r>
      <w:r w:rsidRPr="0044150C">
        <w:rPr>
          <w:rFonts w:ascii="Arial" w:hAnsi="Arial" w:cs="Arial"/>
          <w:spacing w:val="-3"/>
          <w:sz w:val="24"/>
          <w:szCs w:val="24"/>
          <w:lang w:val="en-GB"/>
        </w:rPr>
        <w:t>for,</w:t>
      </w:r>
      <w:r w:rsidRPr="0044150C">
        <w:rPr>
          <w:rFonts w:ascii="Arial" w:hAnsi="Arial" w:cs="Arial"/>
          <w:spacing w:val="-12"/>
          <w:sz w:val="24"/>
          <w:szCs w:val="24"/>
          <w:lang w:val="en-GB"/>
        </w:rPr>
        <w:t xml:space="preserve"> </w:t>
      </w:r>
      <w:r w:rsidRPr="0044150C">
        <w:rPr>
          <w:rFonts w:ascii="Arial" w:hAnsi="Arial" w:cs="Arial"/>
          <w:sz w:val="24"/>
          <w:szCs w:val="24"/>
          <w:lang w:val="en-GB"/>
        </w:rPr>
        <w:t>and</w:t>
      </w:r>
      <w:r w:rsidRPr="0044150C">
        <w:rPr>
          <w:rFonts w:ascii="Arial" w:hAnsi="Arial" w:cs="Arial"/>
          <w:spacing w:val="-12"/>
          <w:sz w:val="24"/>
          <w:szCs w:val="24"/>
          <w:lang w:val="en-GB"/>
        </w:rPr>
        <w:t xml:space="preserve"> </w:t>
      </w:r>
      <w:r w:rsidRPr="0044150C">
        <w:rPr>
          <w:rFonts w:ascii="Arial" w:hAnsi="Arial" w:cs="Arial"/>
          <w:sz w:val="24"/>
          <w:szCs w:val="24"/>
          <w:lang w:val="en-GB"/>
        </w:rPr>
        <w:t>the</w:t>
      </w:r>
      <w:r w:rsidRPr="0044150C">
        <w:rPr>
          <w:rFonts w:ascii="Arial" w:hAnsi="Arial" w:cs="Arial"/>
          <w:spacing w:val="-11"/>
          <w:sz w:val="24"/>
          <w:szCs w:val="24"/>
          <w:lang w:val="en-GB"/>
        </w:rPr>
        <w:t xml:space="preserve"> </w:t>
      </w:r>
      <w:r w:rsidRPr="0044150C">
        <w:rPr>
          <w:rFonts w:ascii="Arial" w:hAnsi="Arial" w:cs="Arial"/>
          <w:sz w:val="24"/>
          <w:szCs w:val="24"/>
          <w:lang w:val="en-GB"/>
        </w:rPr>
        <w:t>amount</w:t>
      </w:r>
      <w:r w:rsidRPr="0044150C">
        <w:rPr>
          <w:rFonts w:ascii="Arial" w:hAnsi="Arial" w:cs="Arial"/>
          <w:spacing w:val="-13"/>
          <w:sz w:val="24"/>
          <w:szCs w:val="24"/>
          <w:lang w:val="en-GB"/>
        </w:rPr>
        <w:t xml:space="preserve"> </w:t>
      </w:r>
      <w:r w:rsidRPr="0044150C">
        <w:rPr>
          <w:rFonts w:ascii="Arial" w:hAnsi="Arial" w:cs="Arial"/>
          <w:sz w:val="24"/>
          <w:szCs w:val="24"/>
          <w:lang w:val="en-GB"/>
        </w:rPr>
        <w:t>of,</w:t>
      </w:r>
      <w:r w:rsidRPr="0044150C">
        <w:rPr>
          <w:rFonts w:ascii="Arial" w:hAnsi="Arial" w:cs="Arial"/>
          <w:spacing w:val="-13"/>
          <w:sz w:val="24"/>
          <w:szCs w:val="24"/>
          <w:lang w:val="en-GB"/>
        </w:rPr>
        <w:t xml:space="preserve"> </w:t>
      </w:r>
      <w:r w:rsidRPr="0044150C">
        <w:rPr>
          <w:rFonts w:ascii="Arial" w:hAnsi="Arial" w:cs="Arial"/>
          <w:sz w:val="24"/>
          <w:szCs w:val="24"/>
          <w:lang w:val="en-GB"/>
        </w:rPr>
        <w:t>the</w:t>
      </w:r>
      <w:r w:rsidRPr="0044150C">
        <w:rPr>
          <w:rFonts w:ascii="Arial" w:hAnsi="Arial" w:cs="Arial"/>
          <w:spacing w:val="-13"/>
          <w:sz w:val="24"/>
          <w:szCs w:val="24"/>
          <w:lang w:val="en-GB"/>
        </w:rPr>
        <w:t xml:space="preserve"> </w:t>
      </w:r>
      <w:r w:rsidRPr="0044150C">
        <w:rPr>
          <w:rFonts w:ascii="Arial" w:hAnsi="Arial" w:cs="Arial"/>
          <w:sz w:val="24"/>
          <w:szCs w:val="24"/>
          <w:lang w:val="en-GB"/>
        </w:rPr>
        <w:t>tax</w:t>
      </w:r>
      <w:r w:rsidRPr="0044150C">
        <w:rPr>
          <w:rFonts w:ascii="Arial" w:hAnsi="Arial" w:cs="Arial"/>
          <w:spacing w:val="-12"/>
          <w:sz w:val="24"/>
          <w:szCs w:val="24"/>
          <w:lang w:val="en-GB"/>
        </w:rPr>
        <w:t xml:space="preserve"> </w:t>
      </w:r>
      <w:r w:rsidRPr="0044150C">
        <w:rPr>
          <w:rFonts w:ascii="Arial" w:hAnsi="Arial" w:cs="Arial"/>
          <w:sz w:val="24"/>
          <w:szCs w:val="24"/>
          <w:lang w:val="en-GB"/>
        </w:rPr>
        <w:t>reduction,</w:t>
      </w:r>
      <w:r w:rsidRPr="0044150C">
        <w:rPr>
          <w:rFonts w:ascii="Arial" w:hAnsi="Arial" w:cs="Arial"/>
          <w:spacing w:val="-10"/>
          <w:sz w:val="24"/>
          <w:szCs w:val="24"/>
          <w:lang w:val="en-GB"/>
        </w:rPr>
        <w:t xml:space="preserve"> </w:t>
      </w:r>
      <w:r w:rsidRPr="0044150C">
        <w:rPr>
          <w:rFonts w:ascii="Arial" w:hAnsi="Arial" w:cs="Arial"/>
          <w:sz w:val="24"/>
          <w:szCs w:val="24"/>
          <w:lang w:val="en-GB"/>
        </w:rPr>
        <w:t>eligibility</w:t>
      </w:r>
      <w:r w:rsidRPr="0044150C">
        <w:rPr>
          <w:rFonts w:ascii="Arial" w:hAnsi="Arial" w:cs="Arial"/>
          <w:spacing w:val="-13"/>
          <w:sz w:val="24"/>
          <w:szCs w:val="24"/>
          <w:lang w:val="en-GB"/>
        </w:rPr>
        <w:t xml:space="preserve"> </w:t>
      </w:r>
      <w:r w:rsidRPr="0044150C">
        <w:rPr>
          <w:rFonts w:ascii="Arial" w:hAnsi="Arial" w:cs="Arial"/>
          <w:sz w:val="24"/>
          <w:szCs w:val="24"/>
          <w:lang w:val="en-GB"/>
        </w:rPr>
        <w:t>is</w:t>
      </w:r>
      <w:r w:rsidRPr="0044150C">
        <w:rPr>
          <w:rFonts w:ascii="Arial" w:hAnsi="Arial" w:cs="Arial"/>
          <w:spacing w:val="-12"/>
          <w:sz w:val="24"/>
          <w:szCs w:val="24"/>
          <w:lang w:val="en-GB"/>
        </w:rPr>
        <w:t xml:space="preserve"> </w:t>
      </w:r>
      <w:r w:rsidRPr="0044150C">
        <w:rPr>
          <w:rFonts w:ascii="Arial" w:hAnsi="Arial" w:cs="Arial"/>
          <w:sz w:val="24"/>
          <w:szCs w:val="24"/>
          <w:lang w:val="en-GB"/>
        </w:rPr>
        <w:t>automatic,</w:t>
      </w:r>
      <w:r w:rsidRPr="0044150C">
        <w:rPr>
          <w:rFonts w:ascii="Arial" w:hAnsi="Arial" w:cs="Arial"/>
          <w:spacing w:val="-12"/>
          <w:sz w:val="24"/>
          <w:szCs w:val="24"/>
          <w:lang w:val="en-GB"/>
        </w:rPr>
        <w:t xml:space="preserve"> </w:t>
      </w:r>
      <w:r w:rsidRPr="0044150C">
        <w:rPr>
          <w:rFonts w:ascii="Arial" w:hAnsi="Arial" w:cs="Arial"/>
          <w:sz w:val="24"/>
          <w:szCs w:val="24"/>
          <w:lang w:val="en-GB"/>
        </w:rPr>
        <w:t>and</w:t>
      </w:r>
      <w:r w:rsidRPr="0044150C">
        <w:rPr>
          <w:rFonts w:ascii="Arial" w:hAnsi="Arial" w:cs="Arial"/>
          <w:spacing w:val="-12"/>
          <w:sz w:val="24"/>
          <w:szCs w:val="24"/>
          <w:lang w:val="en-GB"/>
        </w:rPr>
        <w:t xml:space="preserve"> </w:t>
      </w:r>
      <w:r w:rsidRPr="0044150C">
        <w:rPr>
          <w:rFonts w:ascii="Arial" w:hAnsi="Arial" w:cs="Arial"/>
          <w:sz w:val="24"/>
          <w:szCs w:val="24"/>
          <w:lang w:val="en-GB"/>
        </w:rPr>
        <w:t>the</w:t>
      </w:r>
      <w:r w:rsidRPr="0044150C">
        <w:rPr>
          <w:rFonts w:ascii="Arial" w:hAnsi="Arial" w:cs="Arial"/>
          <w:spacing w:val="-13"/>
          <w:sz w:val="24"/>
          <w:szCs w:val="24"/>
          <w:lang w:val="en-GB"/>
        </w:rPr>
        <w:t xml:space="preserve"> </w:t>
      </w:r>
      <w:r w:rsidRPr="0044150C">
        <w:rPr>
          <w:rFonts w:ascii="Arial" w:hAnsi="Arial" w:cs="Arial"/>
          <w:sz w:val="24"/>
          <w:szCs w:val="24"/>
          <w:lang w:val="en-GB"/>
        </w:rPr>
        <w:t>qualification criteria and conditions are strictly adhered</w:t>
      </w:r>
      <w:r w:rsidRPr="0044150C">
        <w:rPr>
          <w:rFonts w:ascii="Arial" w:hAnsi="Arial" w:cs="Arial"/>
          <w:spacing w:val="-2"/>
          <w:sz w:val="24"/>
          <w:szCs w:val="24"/>
          <w:lang w:val="en-GB"/>
        </w:rPr>
        <w:t xml:space="preserve"> </w:t>
      </w:r>
      <w:r w:rsidRPr="0044150C">
        <w:rPr>
          <w:rFonts w:ascii="Arial" w:hAnsi="Arial" w:cs="Arial"/>
          <w:sz w:val="24"/>
          <w:szCs w:val="24"/>
          <w:lang w:val="en-GB"/>
        </w:rPr>
        <w:t>to.</w:t>
      </w:r>
    </w:p>
    <w:p w14:paraId="219DCB6C" w14:textId="77777777" w:rsidR="0045188A" w:rsidRPr="0044150C" w:rsidRDefault="0045188A" w:rsidP="0045188A">
      <w:pPr>
        <w:pStyle w:val="a9"/>
        <w:rPr>
          <w:rFonts w:ascii="Arial" w:hAnsi="Arial" w:cs="Arial"/>
          <w:sz w:val="24"/>
          <w:szCs w:val="24"/>
          <w:lang w:val="en-GB"/>
        </w:rPr>
      </w:pPr>
    </w:p>
    <w:p w14:paraId="298006D2" w14:textId="34601337" w:rsidR="0045188A" w:rsidRPr="0044150C" w:rsidRDefault="0045188A" w:rsidP="0045188A">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 xml:space="preserve">As already stated in section 3.1 above, Article 2.1(b) of the SCM Agreement provides that specificity shall not exist if the granting authority establishes objective criteria or conditions governing the eligibility for and the amount of the </w:t>
      </w:r>
      <w:r w:rsidRPr="0044150C">
        <w:rPr>
          <w:rFonts w:ascii="Arial" w:hAnsi="Arial" w:cs="Arial"/>
          <w:spacing w:val="-3"/>
          <w:sz w:val="24"/>
          <w:szCs w:val="24"/>
          <w:lang w:val="en-GB"/>
        </w:rPr>
        <w:t xml:space="preserve">subsidy, </w:t>
      </w:r>
      <w:r w:rsidRPr="0044150C">
        <w:rPr>
          <w:rFonts w:ascii="Arial" w:hAnsi="Arial" w:cs="Arial"/>
          <w:sz w:val="24"/>
          <w:szCs w:val="24"/>
          <w:lang w:val="en-GB"/>
        </w:rPr>
        <w:t>provided that (i) eligibility is automatic, (ii) such criteria or conditions are strictly adhered to and (iii) such criteria or conditions</w:t>
      </w:r>
      <w:r w:rsidRPr="0044150C">
        <w:rPr>
          <w:rFonts w:ascii="Arial" w:hAnsi="Arial" w:cs="Arial"/>
          <w:spacing w:val="25"/>
          <w:sz w:val="24"/>
          <w:szCs w:val="24"/>
          <w:lang w:val="en-GB"/>
        </w:rPr>
        <w:t xml:space="preserve"> </w:t>
      </w:r>
      <w:r w:rsidRPr="0044150C">
        <w:rPr>
          <w:rFonts w:ascii="Arial" w:hAnsi="Arial" w:cs="Arial"/>
          <w:sz w:val="24"/>
          <w:szCs w:val="24"/>
          <w:lang w:val="en-GB"/>
        </w:rPr>
        <w:t>are</w:t>
      </w:r>
      <w:r w:rsidRPr="0044150C">
        <w:rPr>
          <w:rFonts w:ascii="Arial" w:hAnsi="Arial" w:cs="Arial"/>
          <w:spacing w:val="25"/>
          <w:sz w:val="24"/>
          <w:szCs w:val="24"/>
          <w:lang w:val="en-GB"/>
        </w:rPr>
        <w:t xml:space="preserve"> </w:t>
      </w:r>
      <w:r w:rsidRPr="0044150C">
        <w:rPr>
          <w:rFonts w:ascii="Arial" w:hAnsi="Arial" w:cs="Arial"/>
          <w:sz w:val="24"/>
          <w:szCs w:val="24"/>
          <w:lang w:val="en-GB"/>
        </w:rPr>
        <w:t>clearly</w:t>
      </w:r>
      <w:r w:rsidRPr="0044150C">
        <w:rPr>
          <w:rFonts w:ascii="Arial" w:hAnsi="Arial" w:cs="Arial"/>
          <w:spacing w:val="24"/>
          <w:sz w:val="24"/>
          <w:szCs w:val="24"/>
          <w:lang w:val="en-GB"/>
        </w:rPr>
        <w:t xml:space="preserve"> </w:t>
      </w:r>
      <w:r w:rsidRPr="0044150C">
        <w:rPr>
          <w:rFonts w:ascii="Arial" w:hAnsi="Arial" w:cs="Arial"/>
          <w:sz w:val="24"/>
          <w:szCs w:val="24"/>
          <w:lang w:val="en-GB"/>
        </w:rPr>
        <w:t>spelt</w:t>
      </w:r>
      <w:r w:rsidRPr="0044150C">
        <w:rPr>
          <w:rFonts w:ascii="Arial" w:hAnsi="Arial" w:cs="Arial"/>
          <w:spacing w:val="25"/>
          <w:sz w:val="24"/>
          <w:szCs w:val="24"/>
          <w:lang w:val="en-GB"/>
        </w:rPr>
        <w:t xml:space="preserve"> </w:t>
      </w:r>
      <w:r w:rsidRPr="0044150C">
        <w:rPr>
          <w:rFonts w:ascii="Arial" w:hAnsi="Arial" w:cs="Arial"/>
          <w:sz w:val="24"/>
          <w:szCs w:val="24"/>
          <w:lang w:val="en-GB"/>
        </w:rPr>
        <w:t>out</w:t>
      </w:r>
      <w:r w:rsidRPr="0044150C">
        <w:rPr>
          <w:rFonts w:ascii="Arial" w:hAnsi="Arial" w:cs="Arial"/>
          <w:spacing w:val="25"/>
          <w:sz w:val="24"/>
          <w:szCs w:val="24"/>
          <w:lang w:val="en-GB"/>
        </w:rPr>
        <w:t xml:space="preserve"> </w:t>
      </w:r>
      <w:r w:rsidRPr="0044150C">
        <w:rPr>
          <w:rFonts w:ascii="Arial" w:hAnsi="Arial" w:cs="Arial"/>
          <w:sz w:val="24"/>
          <w:szCs w:val="24"/>
          <w:lang w:val="en-GB"/>
        </w:rPr>
        <w:t>in</w:t>
      </w:r>
      <w:r w:rsidRPr="0044150C">
        <w:rPr>
          <w:rFonts w:ascii="Arial" w:hAnsi="Arial" w:cs="Arial"/>
          <w:spacing w:val="25"/>
          <w:sz w:val="24"/>
          <w:szCs w:val="24"/>
          <w:lang w:val="en-GB"/>
        </w:rPr>
        <w:t xml:space="preserve"> </w:t>
      </w:r>
      <w:r w:rsidRPr="0044150C">
        <w:rPr>
          <w:rFonts w:ascii="Arial" w:hAnsi="Arial" w:cs="Arial"/>
          <w:sz w:val="24"/>
          <w:szCs w:val="24"/>
          <w:lang w:val="en-GB"/>
        </w:rPr>
        <w:t>laws,</w:t>
      </w:r>
      <w:r w:rsidRPr="0044150C">
        <w:rPr>
          <w:rFonts w:ascii="Arial" w:hAnsi="Arial" w:cs="Arial"/>
          <w:spacing w:val="26"/>
          <w:sz w:val="24"/>
          <w:szCs w:val="24"/>
          <w:lang w:val="en-GB"/>
        </w:rPr>
        <w:t xml:space="preserve"> </w:t>
      </w:r>
      <w:r w:rsidRPr="0044150C">
        <w:rPr>
          <w:rFonts w:ascii="Arial" w:hAnsi="Arial" w:cs="Arial"/>
          <w:sz w:val="24"/>
          <w:szCs w:val="24"/>
          <w:lang w:val="en-GB"/>
        </w:rPr>
        <w:t>regulations</w:t>
      </w:r>
      <w:r w:rsidRPr="0044150C">
        <w:rPr>
          <w:rFonts w:ascii="Arial" w:hAnsi="Arial" w:cs="Arial"/>
          <w:spacing w:val="25"/>
          <w:sz w:val="24"/>
          <w:szCs w:val="24"/>
          <w:lang w:val="en-GB"/>
        </w:rPr>
        <w:t xml:space="preserve"> </w:t>
      </w:r>
      <w:r w:rsidRPr="0044150C">
        <w:rPr>
          <w:rFonts w:ascii="Arial" w:hAnsi="Arial" w:cs="Arial"/>
          <w:sz w:val="24"/>
          <w:szCs w:val="24"/>
          <w:lang w:val="en-GB"/>
        </w:rPr>
        <w:t>or</w:t>
      </w:r>
      <w:r w:rsidRPr="0044150C">
        <w:rPr>
          <w:rFonts w:ascii="Arial" w:hAnsi="Arial" w:cs="Arial"/>
          <w:spacing w:val="24"/>
          <w:sz w:val="24"/>
          <w:szCs w:val="24"/>
          <w:lang w:val="en-GB"/>
        </w:rPr>
        <w:t xml:space="preserve"> </w:t>
      </w:r>
      <w:r w:rsidRPr="0044150C">
        <w:rPr>
          <w:rFonts w:ascii="Arial" w:hAnsi="Arial" w:cs="Arial"/>
          <w:sz w:val="24"/>
          <w:szCs w:val="24"/>
          <w:lang w:val="en-GB"/>
        </w:rPr>
        <w:t>other</w:t>
      </w:r>
      <w:r w:rsidRPr="0044150C">
        <w:rPr>
          <w:rFonts w:ascii="Arial" w:hAnsi="Arial" w:cs="Arial"/>
          <w:spacing w:val="26"/>
          <w:sz w:val="24"/>
          <w:szCs w:val="24"/>
          <w:lang w:val="en-GB"/>
        </w:rPr>
        <w:t xml:space="preserve"> </w:t>
      </w:r>
      <w:r w:rsidRPr="0044150C">
        <w:rPr>
          <w:rFonts w:ascii="Arial" w:hAnsi="Arial" w:cs="Arial"/>
          <w:sz w:val="24"/>
          <w:szCs w:val="24"/>
          <w:lang w:val="en-GB"/>
        </w:rPr>
        <w:t>official</w:t>
      </w:r>
      <w:r w:rsidRPr="0044150C">
        <w:rPr>
          <w:rFonts w:ascii="Arial" w:hAnsi="Arial" w:cs="Arial"/>
          <w:spacing w:val="25"/>
          <w:sz w:val="24"/>
          <w:szCs w:val="24"/>
          <w:lang w:val="en-GB"/>
        </w:rPr>
        <w:t xml:space="preserve"> </w:t>
      </w:r>
      <w:r w:rsidRPr="0044150C">
        <w:rPr>
          <w:rFonts w:ascii="Arial" w:hAnsi="Arial" w:cs="Arial"/>
          <w:sz w:val="24"/>
          <w:szCs w:val="24"/>
          <w:lang w:val="en-GB"/>
        </w:rPr>
        <w:t>documents,</w:t>
      </w:r>
      <w:r w:rsidRPr="0044150C">
        <w:rPr>
          <w:rFonts w:ascii="Arial" w:hAnsi="Arial" w:cs="Arial"/>
          <w:spacing w:val="25"/>
          <w:sz w:val="24"/>
          <w:szCs w:val="24"/>
          <w:lang w:val="en-GB"/>
        </w:rPr>
        <w:t xml:space="preserve"> </w:t>
      </w:r>
      <w:r w:rsidRPr="0044150C">
        <w:rPr>
          <w:rFonts w:ascii="Arial" w:hAnsi="Arial" w:cs="Arial"/>
          <w:sz w:val="24"/>
          <w:szCs w:val="24"/>
          <w:lang w:val="en-GB"/>
        </w:rPr>
        <w:t>so as to be</w:t>
      </w:r>
      <w:r w:rsidR="0064426C" w:rsidRPr="0044150C">
        <w:rPr>
          <w:rFonts w:ascii="Arial" w:hAnsi="Arial" w:cs="Arial"/>
          <w:sz w:val="24"/>
          <w:szCs w:val="24"/>
          <w:lang w:val="en-GB"/>
        </w:rPr>
        <w:t xml:space="preserve"> capable of verification. This is the case of the alleged EIT privileges claimed by the Applicant for High and New Technology enterprises.</w:t>
      </w:r>
    </w:p>
    <w:p w14:paraId="05C3FD81" w14:textId="77777777" w:rsidR="0064426C" w:rsidRPr="0044150C" w:rsidRDefault="0064426C" w:rsidP="0064426C">
      <w:pPr>
        <w:pStyle w:val="a9"/>
        <w:rPr>
          <w:rFonts w:ascii="Arial" w:hAnsi="Arial" w:cs="Arial"/>
          <w:sz w:val="24"/>
          <w:szCs w:val="24"/>
          <w:lang w:val="en-GB"/>
        </w:rPr>
      </w:pPr>
    </w:p>
    <w:p w14:paraId="74FDB78B" w14:textId="79D208EB" w:rsidR="0064426C" w:rsidRPr="0044150C" w:rsidRDefault="0064426C" w:rsidP="0064426C">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 xml:space="preserve">The legislation pursuant to which this alleged scheme operates clearly sets out objective criteria for eligibility. Such criteria are applied automatically. Therefore, </w:t>
      </w:r>
      <w:r w:rsidRPr="0044150C">
        <w:rPr>
          <w:rFonts w:ascii="Arial" w:hAnsi="Arial" w:cs="Arial"/>
          <w:sz w:val="24"/>
          <w:szCs w:val="24"/>
          <w:lang w:val="en-GB"/>
        </w:rPr>
        <w:lastRenderedPageBreak/>
        <w:t>the tax authorities concerned have no discretion in applying the specific tax rate when the conditions for eligibility are met.</w:t>
      </w:r>
    </w:p>
    <w:p w14:paraId="447737B9" w14:textId="77777777" w:rsidR="0064426C" w:rsidRPr="0044150C" w:rsidRDefault="0064426C" w:rsidP="0064426C">
      <w:pPr>
        <w:pStyle w:val="a9"/>
        <w:rPr>
          <w:rFonts w:ascii="Arial" w:hAnsi="Arial" w:cs="Arial"/>
          <w:sz w:val="24"/>
          <w:szCs w:val="24"/>
          <w:lang w:val="en-GB"/>
        </w:rPr>
      </w:pPr>
    </w:p>
    <w:p w14:paraId="57E4F626" w14:textId="2CA18129" w:rsidR="0064426C" w:rsidRPr="0044150C" w:rsidRDefault="0064426C" w:rsidP="0064426C">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According to footnote 2 of the SCM Agreement, eligibility criteria are considered objective if they are neutral, do not favour certain enterprises over others, are economic in nature, and are horizontal in their application. This is the case here. Access to the specific tax rate is open to all enterprises and does not favour certain enterprises over others.</w:t>
      </w:r>
    </w:p>
    <w:p w14:paraId="52F16CF1" w14:textId="77777777" w:rsidR="0064426C" w:rsidRPr="0044150C" w:rsidRDefault="0064426C" w:rsidP="0064426C">
      <w:pPr>
        <w:pStyle w:val="a9"/>
        <w:rPr>
          <w:rFonts w:ascii="Arial" w:hAnsi="Arial" w:cs="Arial"/>
          <w:sz w:val="24"/>
          <w:szCs w:val="24"/>
          <w:lang w:val="en-GB"/>
        </w:rPr>
      </w:pPr>
    </w:p>
    <w:p w14:paraId="029320F8" w14:textId="6BAC7261" w:rsidR="0045188A" w:rsidRPr="0044150C" w:rsidRDefault="0064426C" w:rsidP="0045188A">
      <w:pPr>
        <w:pStyle w:val="3"/>
        <w:spacing w:before="0"/>
        <w:rPr>
          <w:rFonts w:ascii="Arial" w:eastAsiaTheme="minorEastAsia" w:hAnsi="Arial" w:cs="Arial"/>
          <w:b/>
          <w:bCs/>
          <w:color w:val="auto"/>
          <w:lang w:val="en-GB"/>
        </w:rPr>
      </w:pPr>
      <w:bookmarkStart w:id="6" w:name="_Toc226652288"/>
      <w:r w:rsidRPr="0044150C">
        <w:rPr>
          <w:rFonts w:ascii="Arial" w:eastAsiaTheme="minorEastAsia" w:hAnsi="Arial" w:cs="Arial"/>
          <w:b/>
          <w:bCs/>
          <w:color w:val="auto"/>
          <w:lang w:val="en-GB"/>
        </w:rPr>
        <w:t xml:space="preserve">Accelerated </w:t>
      </w:r>
      <w:r w:rsidR="00965F80" w:rsidRPr="0044150C">
        <w:rPr>
          <w:rFonts w:ascii="Arial" w:eastAsiaTheme="minorEastAsia" w:hAnsi="Arial" w:cs="Arial"/>
          <w:b/>
          <w:bCs/>
          <w:color w:val="auto"/>
          <w:lang w:val="en-GB"/>
        </w:rPr>
        <w:t>D</w:t>
      </w:r>
      <w:r w:rsidRPr="0044150C">
        <w:rPr>
          <w:rFonts w:ascii="Arial" w:eastAsiaTheme="minorEastAsia" w:hAnsi="Arial" w:cs="Arial"/>
          <w:b/>
          <w:bCs/>
          <w:color w:val="auto"/>
          <w:lang w:val="en-GB"/>
        </w:rPr>
        <w:t xml:space="preserve">epreciation </w:t>
      </w:r>
      <w:r w:rsidR="00965F80" w:rsidRPr="0044150C">
        <w:rPr>
          <w:rFonts w:ascii="Arial" w:eastAsiaTheme="minorEastAsia" w:hAnsi="Arial" w:cs="Arial"/>
          <w:b/>
          <w:bCs/>
          <w:color w:val="auto"/>
          <w:lang w:val="en-GB"/>
        </w:rPr>
        <w:t>Programme</w:t>
      </w:r>
      <w:bookmarkEnd w:id="6"/>
    </w:p>
    <w:p w14:paraId="68D003BD" w14:textId="77777777" w:rsidR="00BF1F8E" w:rsidRPr="0044150C" w:rsidRDefault="00BF1F8E" w:rsidP="00BF1F8E">
      <w:pPr>
        <w:pStyle w:val="a9"/>
        <w:rPr>
          <w:rFonts w:ascii="Arial" w:hAnsi="Arial" w:cs="Arial"/>
          <w:sz w:val="24"/>
          <w:szCs w:val="24"/>
          <w:lang w:val="en-GB"/>
        </w:rPr>
      </w:pPr>
    </w:p>
    <w:p w14:paraId="2177A312" w14:textId="4B26638A" w:rsidR="00965F80" w:rsidRPr="0044150C" w:rsidRDefault="00965F80" w:rsidP="00965F80">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The Applicant further claims that the accelerated depreciation of instruments and equipment used by High-Technology enterprises for High-Technology development and production (“Accelerated Depreciation Programme”) represents a countervailable subsidy.</w:t>
      </w:r>
    </w:p>
    <w:p w14:paraId="70334907" w14:textId="77777777" w:rsidR="00965F80" w:rsidRPr="0044150C" w:rsidRDefault="00965F80" w:rsidP="00965F80">
      <w:pPr>
        <w:pStyle w:val="a9"/>
        <w:rPr>
          <w:rFonts w:ascii="Arial" w:hAnsi="Arial" w:cs="Arial"/>
          <w:sz w:val="24"/>
          <w:szCs w:val="24"/>
          <w:lang w:val="en-GB"/>
        </w:rPr>
      </w:pPr>
    </w:p>
    <w:p w14:paraId="05B7A603" w14:textId="77777777" w:rsidR="00965F80" w:rsidRPr="0044150C" w:rsidRDefault="00965F80" w:rsidP="00965F80">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It is noted that accelerated depreciation is available to all companies across China and the scheme is operated on the basis of objective criteria. Furthermore, the State Taxation Administration has no discretion in its application. Thus, this alleged subsidy is also not specific.</w:t>
      </w:r>
    </w:p>
    <w:p w14:paraId="7168649A" w14:textId="77777777" w:rsidR="00965F80" w:rsidRPr="0044150C" w:rsidRDefault="00965F80" w:rsidP="00965F80">
      <w:pPr>
        <w:pStyle w:val="a9"/>
        <w:rPr>
          <w:rFonts w:ascii="Arial" w:hAnsi="Arial" w:cs="Arial"/>
          <w:sz w:val="24"/>
          <w:szCs w:val="24"/>
          <w:lang w:val="en-GB"/>
        </w:rPr>
      </w:pPr>
    </w:p>
    <w:p w14:paraId="76BD492A" w14:textId="712BAAAE" w:rsidR="0045188A" w:rsidRDefault="00965F80" w:rsidP="00965F80">
      <w:pPr>
        <w:pStyle w:val="a9"/>
        <w:numPr>
          <w:ilvl w:val="0"/>
          <w:numId w:val="1"/>
        </w:numPr>
        <w:ind w:hanging="720"/>
        <w:rPr>
          <w:rFonts w:ascii="Arial" w:hAnsi="Arial" w:cs="Arial"/>
          <w:sz w:val="24"/>
          <w:szCs w:val="24"/>
          <w:lang w:val="en-GB"/>
        </w:rPr>
      </w:pPr>
      <w:r w:rsidRPr="0044150C">
        <w:rPr>
          <w:rFonts w:ascii="Arial" w:hAnsi="Arial" w:cs="Arial"/>
          <w:sz w:val="24"/>
          <w:szCs w:val="24"/>
          <w:lang w:val="en-GB"/>
        </w:rPr>
        <w:t xml:space="preserve">The Applicant incorrectly claims that the programme is “specific” to certain industries including the </w:t>
      </w:r>
      <w:r w:rsidR="009C3948" w:rsidRPr="0044150C">
        <w:rPr>
          <w:rFonts w:ascii="Arial" w:hAnsi="Arial" w:cs="Arial"/>
          <w:sz w:val="24"/>
          <w:szCs w:val="24"/>
          <w:lang w:val="en-GB"/>
        </w:rPr>
        <w:t>boom lift</w:t>
      </w:r>
      <w:r w:rsidRPr="0044150C">
        <w:rPr>
          <w:rFonts w:ascii="Arial" w:hAnsi="Arial" w:cs="Arial"/>
          <w:sz w:val="24"/>
          <w:szCs w:val="24"/>
          <w:lang w:val="en-GB"/>
        </w:rPr>
        <w:t xml:space="preserve"> industry. Besides the fact that </w:t>
      </w:r>
      <w:r w:rsidR="009C3948" w:rsidRPr="0044150C">
        <w:rPr>
          <w:rFonts w:ascii="Arial" w:hAnsi="Arial" w:cs="Arial"/>
          <w:sz w:val="24"/>
          <w:szCs w:val="24"/>
          <w:lang w:val="en-GB"/>
        </w:rPr>
        <w:t>boom lift</w:t>
      </w:r>
      <w:r w:rsidRPr="0044150C">
        <w:rPr>
          <w:rFonts w:ascii="Arial" w:hAnsi="Arial" w:cs="Arial"/>
          <w:sz w:val="24"/>
          <w:szCs w:val="24"/>
          <w:lang w:val="en-GB"/>
        </w:rPr>
        <w:t xml:space="preserve"> is not directly or indirectly covered in the list of industries provided by the Applicant, the GOC wishes to clarify that from 1 January 2019, the scope of industries eligible for accelerated depreciation of fixed assets – as prescribed by the Notice by the Ministry of Finance and the State Taxation Administration of Improving the Enterprise Income Tax Policies on the Accelerated Depreciation of Fixed Assets (No. 75 [2014], MOF) and the Notice by the Ministry of Finance and the State Taxation Administration of Further Improving the Enterprise Income Tax Policies on the Accelerated Depreciation of Fixed Assets (No. 106 [2015], MOF) – has been expanded to all manufacturing industries.</w:t>
      </w:r>
    </w:p>
    <w:p w14:paraId="324CFC4B" w14:textId="77777777" w:rsidR="00835040" w:rsidRPr="00835040" w:rsidRDefault="00835040" w:rsidP="00835040">
      <w:pPr>
        <w:pStyle w:val="a9"/>
        <w:rPr>
          <w:rFonts w:ascii="Arial" w:hAnsi="Arial" w:cs="Arial" w:hint="eastAsia"/>
          <w:sz w:val="24"/>
          <w:szCs w:val="24"/>
          <w:lang w:val="en-GB"/>
        </w:rPr>
      </w:pPr>
    </w:p>
    <w:p w14:paraId="333FD14B" w14:textId="3761EE37" w:rsidR="00835040" w:rsidRPr="0044150C" w:rsidRDefault="00835040" w:rsidP="00965F80">
      <w:pPr>
        <w:pStyle w:val="a9"/>
        <w:numPr>
          <w:ilvl w:val="0"/>
          <w:numId w:val="1"/>
        </w:numPr>
        <w:ind w:hanging="720"/>
        <w:rPr>
          <w:rFonts w:ascii="Arial" w:hAnsi="Arial" w:cs="Arial"/>
          <w:sz w:val="24"/>
          <w:szCs w:val="24"/>
          <w:lang w:val="en-GB"/>
        </w:rPr>
      </w:pPr>
      <w:r>
        <w:rPr>
          <w:rFonts w:ascii="Arial" w:hAnsi="Arial" w:cs="Arial"/>
          <w:sz w:val="24"/>
          <w:szCs w:val="24"/>
          <w:lang w:val="en-GB"/>
        </w:rPr>
        <w:t>In addition, the program does not provide additional benefits</w:t>
      </w:r>
      <w:r w:rsidR="0006797E">
        <w:rPr>
          <w:rFonts w:ascii="Arial" w:hAnsi="Arial" w:cs="Arial"/>
          <w:sz w:val="24"/>
          <w:szCs w:val="24"/>
          <w:lang w:val="en-GB"/>
        </w:rPr>
        <w:t xml:space="preserve"> and shall not be considered as a subsidy program</w:t>
      </w:r>
      <w:r>
        <w:rPr>
          <w:rFonts w:ascii="Arial" w:hAnsi="Arial" w:cs="Arial"/>
          <w:sz w:val="24"/>
          <w:szCs w:val="24"/>
          <w:lang w:val="en-GB"/>
        </w:rPr>
        <w:t xml:space="preserve">. </w:t>
      </w:r>
      <w:r w:rsidRPr="00835040">
        <w:rPr>
          <w:rFonts w:ascii="Arial" w:hAnsi="Arial" w:cs="Arial"/>
          <w:sz w:val="24"/>
          <w:szCs w:val="24"/>
          <w:lang w:val="en-GB"/>
        </w:rPr>
        <w:t xml:space="preserve">The nature of the program is to provide companies, when calculating the income tax payable, to accrue more depreciation expenses as costs and expenses deducted from current taxable income during the initial stage of use of fixed asset. This leads to a decrease in the company's taxable income during this period. However, as the total depreciation of the fixed assets remains unchanged, when observing from a long-term view, the deducted depreciation expenses are the same. Thus, the accelerated depreciation of fixed assets does not provide </w:t>
      </w:r>
      <w:r>
        <w:rPr>
          <w:rFonts w:ascii="Arial" w:hAnsi="Arial" w:cs="Arial"/>
          <w:sz w:val="24"/>
          <w:szCs w:val="24"/>
          <w:lang w:val="en-GB"/>
        </w:rPr>
        <w:t xml:space="preserve">additional </w:t>
      </w:r>
      <w:r w:rsidRPr="00835040">
        <w:rPr>
          <w:rFonts w:ascii="Arial" w:hAnsi="Arial" w:cs="Arial"/>
          <w:sz w:val="24"/>
          <w:szCs w:val="24"/>
          <w:lang w:val="en-GB"/>
        </w:rPr>
        <w:t>benefits to the companies</w:t>
      </w:r>
      <w:r w:rsidR="0006797E">
        <w:rPr>
          <w:rFonts w:ascii="Arial" w:hAnsi="Arial" w:cs="Arial"/>
          <w:sz w:val="24"/>
          <w:szCs w:val="24"/>
          <w:lang w:val="en-GB"/>
        </w:rPr>
        <w:t>.</w:t>
      </w:r>
    </w:p>
    <w:p w14:paraId="0753017D" w14:textId="77777777" w:rsidR="00965F80" w:rsidRPr="0044150C" w:rsidRDefault="00965F80" w:rsidP="00965F80">
      <w:pPr>
        <w:pStyle w:val="a9"/>
        <w:rPr>
          <w:rFonts w:ascii="Arial" w:hAnsi="Arial" w:cs="Arial"/>
          <w:sz w:val="24"/>
          <w:szCs w:val="24"/>
          <w:lang w:val="en-GB"/>
        </w:rPr>
      </w:pPr>
    </w:p>
    <w:p w14:paraId="335C7230" w14:textId="7B81DC0B" w:rsidR="00BF1F8E" w:rsidRPr="0044150C" w:rsidRDefault="003241D4" w:rsidP="009B08D7">
      <w:pPr>
        <w:pStyle w:val="3"/>
        <w:widowControl w:val="0"/>
        <w:tabs>
          <w:tab w:val="left" w:pos="917"/>
        </w:tabs>
        <w:autoSpaceDE w:val="0"/>
        <w:autoSpaceDN w:val="0"/>
        <w:spacing w:before="0"/>
        <w:ind w:right="95"/>
        <w:rPr>
          <w:rFonts w:ascii="Arial" w:eastAsiaTheme="minorEastAsia" w:hAnsi="Arial" w:cs="Arial"/>
          <w:b/>
          <w:bCs/>
          <w:color w:val="auto"/>
          <w:lang w:val="en-GB"/>
        </w:rPr>
      </w:pPr>
      <w:bookmarkStart w:id="7" w:name="_Toc226652289"/>
      <w:r w:rsidRPr="0044150C">
        <w:rPr>
          <w:rFonts w:ascii="Arial" w:eastAsiaTheme="minorEastAsia" w:hAnsi="Arial" w:cs="Arial"/>
          <w:b/>
          <w:bCs/>
          <w:color w:val="auto"/>
          <w:lang w:val="en-GB"/>
        </w:rPr>
        <w:t>R&amp;D ‘Super-Deductions’</w:t>
      </w:r>
      <w:bookmarkEnd w:id="7"/>
    </w:p>
    <w:p w14:paraId="3FE37DD1" w14:textId="77777777" w:rsidR="003241D4" w:rsidRPr="0044150C" w:rsidRDefault="003241D4" w:rsidP="003241D4">
      <w:pPr>
        <w:rPr>
          <w:rFonts w:ascii="Arial" w:hAnsi="Arial" w:cs="Arial"/>
          <w:sz w:val="24"/>
          <w:szCs w:val="24"/>
          <w:lang w:val="en-GB"/>
        </w:rPr>
      </w:pPr>
    </w:p>
    <w:p w14:paraId="4EAAE6AD" w14:textId="6BD7C680" w:rsidR="00A64F02" w:rsidRPr="0044150C" w:rsidRDefault="00A64F02" w:rsidP="00A64F02">
      <w:pPr>
        <w:pStyle w:val="a9"/>
        <w:widowControl w:val="0"/>
        <w:numPr>
          <w:ilvl w:val="0"/>
          <w:numId w:val="1"/>
        </w:numPr>
        <w:tabs>
          <w:tab w:val="left" w:pos="917"/>
        </w:tabs>
        <w:autoSpaceDE w:val="0"/>
        <w:autoSpaceDN w:val="0"/>
        <w:ind w:right="95" w:hanging="720"/>
        <w:rPr>
          <w:rFonts w:ascii="Arial" w:hAnsi="Arial" w:cs="Arial"/>
          <w:sz w:val="24"/>
          <w:szCs w:val="24"/>
          <w:lang w:val="en-GB"/>
        </w:rPr>
      </w:pPr>
      <w:r w:rsidRPr="0044150C">
        <w:rPr>
          <w:rFonts w:ascii="Arial" w:hAnsi="Arial" w:cs="Arial"/>
          <w:sz w:val="24"/>
          <w:szCs w:val="24"/>
          <w:lang w:val="en-GB"/>
        </w:rPr>
        <w:t xml:space="preserve">In a similar manner as the schemes discussed above, the Applicant claims that research and development (“R&amp;D”) </w:t>
      </w:r>
      <w:r w:rsidR="003241D4" w:rsidRPr="0044150C">
        <w:rPr>
          <w:rFonts w:ascii="Arial" w:hAnsi="Arial" w:cs="Arial"/>
          <w:sz w:val="24"/>
          <w:szCs w:val="24"/>
          <w:lang w:val="en-GB"/>
        </w:rPr>
        <w:t>‘Super-Deductions’</w:t>
      </w:r>
      <w:r w:rsidRPr="0044150C">
        <w:rPr>
          <w:rFonts w:ascii="Arial" w:hAnsi="Arial" w:cs="Arial"/>
          <w:sz w:val="24"/>
          <w:szCs w:val="24"/>
          <w:lang w:val="en-GB"/>
        </w:rPr>
        <w:t xml:space="preserve"> incurred in the development of new technologies are additionally deductible and that this constitutes a countervailable</w:t>
      </w:r>
      <w:r w:rsidRPr="0044150C">
        <w:rPr>
          <w:rFonts w:ascii="Arial" w:hAnsi="Arial" w:cs="Arial"/>
          <w:spacing w:val="-8"/>
          <w:sz w:val="24"/>
          <w:szCs w:val="24"/>
          <w:lang w:val="en-GB"/>
        </w:rPr>
        <w:t xml:space="preserve"> </w:t>
      </w:r>
      <w:r w:rsidRPr="0044150C">
        <w:rPr>
          <w:rFonts w:ascii="Arial" w:hAnsi="Arial" w:cs="Arial"/>
          <w:sz w:val="24"/>
          <w:szCs w:val="24"/>
          <w:lang w:val="en-GB"/>
        </w:rPr>
        <w:t>subsidy.</w:t>
      </w:r>
    </w:p>
    <w:p w14:paraId="0D604D1F" w14:textId="4B4A8B06" w:rsidR="00A64F02" w:rsidRPr="0044150C" w:rsidRDefault="00A64F02" w:rsidP="00DC51C5">
      <w:pPr>
        <w:pStyle w:val="a9"/>
        <w:widowControl w:val="0"/>
        <w:numPr>
          <w:ilvl w:val="0"/>
          <w:numId w:val="1"/>
        </w:numPr>
        <w:tabs>
          <w:tab w:val="left" w:pos="917"/>
        </w:tabs>
        <w:autoSpaceDE w:val="0"/>
        <w:autoSpaceDN w:val="0"/>
        <w:spacing w:before="239"/>
        <w:ind w:right="95" w:hanging="786"/>
        <w:contextualSpacing w:val="0"/>
        <w:rPr>
          <w:rFonts w:ascii="Arial" w:hAnsi="Arial" w:cs="Arial"/>
          <w:sz w:val="24"/>
          <w:szCs w:val="24"/>
          <w:lang w:val="en-GB"/>
        </w:rPr>
      </w:pPr>
      <w:r w:rsidRPr="0044150C">
        <w:rPr>
          <w:rFonts w:ascii="Arial" w:hAnsi="Arial" w:cs="Arial"/>
          <w:sz w:val="24"/>
          <w:szCs w:val="24"/>
          <w:lang w:val="en-GB"/>
        </w:rPr>
        <w:t>The</w:t>
      </w:r>
      <w:r w:rsidRPr="0044150C">
        <w:rPr>
          <w:rFonts w:ascii="Arial" w:hAnsi="Arial" w:cs="Arial"/>
          <w:spacing w:val="-8"/>
          <w:sz w:val="24"/>
          <w:szCs w:val="24"/>
          <w:lang w:val="en-GB"/>
        </w:rPr>
        <w:t xml:space="preserve"> </w:t>
      </w:r>
      <w:r w:rsidRPr="0044150C">
        <w:rPr>
          <w:rFonts w:ascii="Arial" w:hAnsi="Arial" w:cs="Arial"/>
          <w:sz w:val="24"/>
          <w:szCs w:val="24"/>
          <w:lang w:val="en-GB"/>
        </w:rPr>
        <w:t>GOC</w:t>
      </w:r>
      <w:r w:rsidRPr="0044150C">
        <w:rPr>
          <w:rFonts w:ascii="Arial" w:hAnsi="Arial" w:cs="Arial"/>
          <w:spacing w:val="-6"/>
          <w:sz w:val="24"/>
          <w:szCs w:val="24"/>
          <w:lang w:val="en-GB"/>
        </w:rPr>
        <w:t xml:space="preserve"> </w:t>
      </w:r>
      <w:r w:rsidRPr="0044150C">
        <w:rPr>
          <w:rFonts w:ascii="Arial" w:hAnsi="Arial" w:cs="Arial"/>
          <w:sz w:val="24"/>
          <w:szCs w:val="24"/>
          <w:lang w:val="en-GB"/>
        </w:rPr>
        <w:t>recalls</w:t>
      </w:r>
      <w:r w:rsidRPr="0044150C">
        <w:rPr>
          <w:rFonts w:ascii="Arial" w:hAnsi="Arial" w:cs="Arial"/>
          <w:spacing w:val="-7"/>
          <w:sz w:val="24"/>
          <w:szCs w:val="24"/>
          <w:lang w:val="en-GB"/>
        </w:rPr>
        <w:t xml:space="preserve"> </w:t>
      </w:r>
      <w:r w:rsidRPr="0044150C">
        <w:rPr>
          <w:rFonts w:ascii="Arial" w:hAnsi="Arial" w:cs="Arial"/>
          <w:sz w:val="24"/>
          <w:szCs w:val="24"/>
          <w:lang w:val="en-GB"/>
        </w:rPr>
        <w:t>that</w:t>
      </w:r>
      <w:r w:rsidRPr="0044150C">
        <w:rPr>
          <w:rFonts w:ascii="Arial" w:hAnsi="Arial" w:cs="Arial"/>
          <w:spacing w:val="-6"/>
          <w:sz w:val="24"/>
          <w:szCs w:val="24"/>
          <w:lang w:val="en-GB"/>
        </w:rPr>
        <w:t xml:space="preserve"> </w:t>
      </w:r>
      <w:r w:rsidRPr="0044150C">
        <w:rPr>
          <w:rFonts w:ascii="Arial" w:hAnsi="Arial" w:cs="Arial"/>
          <w:sz w:val="24"/>
          <w:szCs w:val="24"/>
          <w:lang w:val="en-GB"/>
        </w:rPr>
        <w:t>that</w:t>
      </w:r>
      <w:r w:rsidRPr="0044150C">
        <w:rPr>
          <w:rFonts w:ascii="Arial" w:hAnsi="Arial" w:cs="Arial"/>
          <w:spacing w:val="-6"/>
          <w:sz w:val="24"/>
          <w:szCs w:val="24"/>
          <w:lang w:val="en-GB"/>
        </w:rPr>
        <w:t xml:space="preserve"> </w:t>
      </w:r>
      <w:r w:rsidRPr="0044150C">
        <w:rPr>
          <w:rFonts w:ascii="Arial" w:hAnsi="Arial" w:cs="Arial"/>
          <w:sz w:val="24"/>
          <w:szCs w:val="24"/>
          <w:lang w:val="en-GB"/>
        </w:rPr>
        <w:t>tax</w:t>
      </w:r>
      <w:r w:rsidRPr="0044150C">
        <w:rPr>
          <w:rFonts w:ascii="Arial" w:hAnsi="Arial" w:cs="Arial"/>
          <w:spacing w:val="-8"/>
          <w:sz w:val="24"/>
          <w:szCs w:val="24"/>
          <w:lang w:val="en-GB"/>
        </w:rPr>
        <w:t xml:space="preserve"> </w:t>
      </w:r>
      <w:r w:rsidRPr="0044150C">
        <w:rPr>
          <w:rFonts w:ascii="Arial" w:hAnsi="Arial" w:cs="Arial"/>
          <w:sz w:val="24"/>
          <w:szCs w:val="24"/>
          <w:lang w:val="en-GB"/>
        </w:rPr>
        <w:t>offset</w:t>
      </w:r>
      <w:r w:rsidRPr="0044150C">
        <w:rPr>
          <w:rFonts w:ascii="Arial" w:hAnsi="Arial" w:cs="Arial"/>
          <w:spacing w:val="-6"/>
          <w:sz w:val="24"/>
          <w:szCs w:val="24"/>
          <w:lang w:val="en-GB"/>
        </w:rPr>
        <w:t xml:space="preserve"> </w:t>
      </w:r>
      <w:r w:rsidRPr="0044150C">
        <w:rPr>
          <w:rFonts w:ascii="Arial" w:hAnsi="Arial" w:cs="Arial"/>
          <w:sz w:val="24"/>
          <w:szCs w:val="24"/>
          <w:lang w:val="en-GB"/>
        </w:rPr>
        <w:t>for</w:t>
      </w:r>
      <w:r w:rsidRPr="0044150C">
        <w:rPr>
          <w:rFonts w:ascii="Arial" w:hAnsi="Arial" w:cs="Arial"/>
          <w:spacing w:val="-9"/>
          <w:sz w:val="24"/>
          <w:szCs w:val="24"/>
          <w:lang w:val="en-GB"/>
        </w:rPr>
        <w:t xml:space="preserve"> </w:t>
      </w:r>
      <w:r w:rsidRPr="0044150C">
        <w:rPr>
          <w:rFonts w:ascii="Arial" w:hAnsi="Arial" w:cs="Arial"/>
          <w:sz w:val="24"/>
          <w:szCs w:val="24"/>
          <w:lang w:val="en-GB"/>
        </w:rPr>
        <w:t>R&amp;D</w:t>
      </w:r>
      <w:r w:rsidRPr="0044150C">
        <w:rPr>
          <w:rFonts w:ascii="Arial" w:hAnsi="Arial" w:cs="Arial"/>
          <w:spacing w:val="-6"/>
          <w:sz w:val="24"/>
          <w:szCs w:val="24"/>
          <w:lang w:val="en-GB"/>
        </w:rPr>
        <w:t xml:space="preserve"> </w:t>
      </w:r>
      <w:r w:rsidRPr="0044150C">
        <w:rPr>
          <w:rFonts w:ascii="Arial" w:hAnsi="Arial" w:cs="Arial"/>
          <w:sz w:val="24"/>
          <w:szCs w:val="24"/>
          <w:lang w:val="en-GB"/>
        </w:rPr>
        <w:t>is</w:t>
      </w:r>
      <w:r w:rsidRPr="0044150C">
        <w:rPr>
          <w:rFonts w:ascii="Arial" w:hAnsi="Arial" w:cs="Arial"/>
          <w:spacing w:val="-8"/>
          <w:sz w:val="24"/>
          <w:szCs w:val="24"/>
          <w:lang w:val="en-GB"/>
        </w:rPr>
        <w:t xml:space="preserve"> </w:t>
      </w:r>
      <w:r w:rsidRPr="0044150C">
        <w:rPr>
          <w:rFonts w:ascii="Arial" w:hAnsi="Arial" w:cs="Arial"/>
          <w:sz w:val="24"/>
          <w:szCs w:val="24"/>
          <w:lang w:val="en-GB"/>
        </w:rPr>
        <w:t>available</w:t>
      </w:r>
      <w:r w:rsidRPr="0044150C">
        <w:rPr>
          <w:rFonts w:ascii="Arial" w:hAnsi="Arial" w:cs="Arial"/>
          <w:spacing w:val="-8"/>
          <w:sz w:val="24"/>
          <w:szCs w:val="24"/>
          <w:lang w:val="en-GB"/>
        </w:rPr>
        <w:t xml:space="preserve"> </w:t>
      </w:r>
      <w:r w:rsidRPr="0044150C">
        <w:rPr>
          <w:rFonts w:ascii="Arial" w:hAnsi="Arial" w:cs="Arial"/>
          <w:sz w:val="24"/>
          <w:szCs w:val="24"/>
          <w:lang w:val="en-GB"/>
        </w:rPr>
        <w:t>to</w:t>
      </w:r>
      <w:r w:rsidRPr="0044150C">
        <w:rPr>
          <w:rFonts w:ascii="Arial" w:hAnsi="Arial" w:cs="Arial"/>
          <w:spacing w:val="-6"/>
          <w:sz w:val="24"/>
          <w:szCs w:val="24"/>
          <w:lang w:val="en-GB"/>
        </w:rPr>
        <w:t xml:space="preserve"> </w:t>
      </w:r>
      <w:r w:rsidRPr="0044150C">
        <w:rPr>
          <w:rFonts w:ascii="Arial" w:hAnsi="Arial" w:cs="Arial"/>
          <w:sz w:val="24"/>
          <w:szCs w:val="24"/>
          <w:lang w:val="en-GB"/>
        </w:rPr>
        <w:t>all</w:t>
      </w:r>
      <w:r w:rsidRPr="0044150C">
        <w:rPr>
          <w:rFonts w:ascii="Arial" w:hAnsi="Arial" w:cs="Arial"/>
          <w:spacing w:val="-8"/>
          <w:sz w:val="24"/>
          <w:szCs w:val="24"/>
          <w:lang w:val="en-GB"/>
        </w:rPr>
        <w:t xml:space="preserve"> </w:t>
      </w:r>
      <w:r w:rsidRPr="0044150C">
        <w:rPr>
          <w:rFonts w:ascii="Arial" w:hAnsi="Arial" w:cs="Arial"/>
          <w:sz w:val="24"/>
          <w:szCs w:val="24"/>
          <w:lang w:val="en-GB"/>
        </w:rPr>
        <w:t>companies</w:t>
      </w:r>
      <w:r w:rsidRPr="0044150C">
        <w:rPr>
          <w:rFonts w:ascii="Arial" w:hAnsi="Arial" w:cs="Arial"/>
          <w:spacing w:val="-7"/>
          <w:sz w:val="24"/>
          <w:szCs w:val="24"/>
          <w:lang w:val="en-GB"/>
        </w:rPr>
        <w:t xml:space="preserve"> </w:t>
      </w:r>
      <w:r w:rsidRPr="0044150C">
        <w:rPr>
          <w:rFonts w:ascii="Arial" w:hAnsi="Arial" w:cs="Arial"/>
          <w:sz w:val="24"/>
          <w:szCs w:val="24"/>
          <w:lang w:val="en-GB"/>
        </w:rPr>
        <w:t>across</w:t>
      </w:r>
      <w:r w:rsidRPr="0044150C">
        <w:rPr>
          <w:rFonts w:ascii="Arial" w:hAnsi="Arial" w:cs="Arial"/>
          <w:spacing w:val="-7"/>
          <w:sz w:val="24"/>
          <w:szCs w:val="24"/>
          <w:lang w:val="en-GB"/>
        </w:rPr>
        <w:t xml:space="preserve"> </w:t>
      </w:r>
      <w:r w:rsidRPr="0044150C">
        <w:rPr>
          <w:rFonts w:ascii="Arial" w:hAnsi="Arial" w:cs="Arial"/>
          <w:sz w:val="24"/>
          <w:szCs w:val="24"/>
          <w:lang w:val="en-GB"/>
        </w:rPr>
        <w:t>China</w:t>
      </w:r>
      <w:r w:rsidRPr="0044150C">
        <w:rPr>
          <w:rFonts w:ascii="Arial" w:hAnsi="Arial" w:cs="Arial"/>
          <w:spacing w:val="-7"/>
          <w:sz w:val="24"/>
          <w:szCs w:val="24"/>
          <w:lang w:val="en-GB"/>
        </w:rPr>
        <w:t xml:space="preserve"> </w:t>
      </w:r>
      <w:r w:rsidRPr="0044150C">
        <w:rPr>
          <w:rFonts w:ascii="Arial" w:hAnsi="Arial" w:cs="Arial"/>
          <w:sz w:val="24"/>
          <w:szCs w:val="24"/>
          <w:lang w:val="en-GB"/>
        </w:rPr>
        <w:t>and</w:t>
      </w:r>
      <w:r w:rsidRPr="0044150C">
        <w:rPr>
          <w:rFonts w:ascii="Arial" w:hAnsi="Arial" w:cs="Arial"/>
          <w:spacing w:val="-7"/>
          <w:sz w:val="24"/>
          <w:szCs w:val="24"/>
          <w:lang w:val="en-GB"/>
        </w:rPr>
        <w:t xml:space="preserve"> </w:t>
      </w:r>
      <w:r w:rsidRPr="0044150C">
        <w:rPr>
          <w:rFonts w:ascii="Arial" w:hAnsi="Arial" w:cs="Arial"/>
          <w:sz w:val="24"/>
          <w:szCs w:val="24"/>
          <w:lang w:val="en-GB"/>
        </w:rPr>
        <w:t xml:space="preserve">the scheme is operated on the basis of objective criteria. Furthermore, the State </w:t>
      </w:r>
      <w:r w:rsidRPr="0044150C">
        <w:rPr>
          <w:rFonts w:ascii="Arial" w:hAnsi="Arial" w:cs="Arial"/>
          <w:spacing w:val="-3"/>
          <w:sz w:val="24"/>
          <w:szCs w:val="24"/>
          <w:lang w:val="en-GB"/>
        </w:rPr>
        <w:t xml:space="preserve">Taxation </w:t>
      </w:r>
      <w:r w:rsidRPr="0044150C">
        <w:rPr>
          <w:rFonts w:ascii="Arial" w:hAnsi="Arial" w:cs="Arial"/>
          <w:sz w:val="24"/>
          <w:szCs w:val="24"/>
          <w:lang w:val="en-GB"/>
        </w:rPr>
        <w:t>Administration has no discretion in its application. Thus, this alleged subsidy is also not specific.</w:t>
      </w:r>
      <w:r w:rsidR="00B0310B" w:rsidRPr="0044150C">
        <w:rPr>
          <w:rFonts w:ascii="Arial" w:hAnsi="Arial" w:cs="Arial"/>
          <w:sz w:val="24"/>
          <w:szCs w:val="24"/>
          <w:lang w:val="en-GB"/>
        </w:rPr>
        <w:t xml:space="preserve"> </w:t>
      </w:r>
    </w:p>
    <w:p w14:paraId="427B62AC" w14:textId="77777777" w:rsidR="00A64F02" w:rsidRPr="0044150C" w:rsidRDefault="00A64F02" w:rsidP="00A64F02">
      <w:pPr>
        <w:pStyle w:val="a7"/>
        <w:spacing w:before="10"/>
        <w:ind w:right="95" w:hanging="916"/>
        <w:rPr>
          <w:rFonts w:ascii="Arial" w:hAnsi="Arial" w:cs="Arial"/>
          <w:sz w:val="24"/>
          <w:szCs w:val="24"/>
        </w:rPr>
      </w:pPr>
    </w:p>
    <w:p w14:paraId="1285341C" w14:textId="2D0266B9" w:rsidR="00A64F02" w:rsidRPr="0044150C" w:rsidRDefault="00A64F02" w:rsidP="00376F25">
      <w:pPr>
        <w:pStyle w:val="a9"/>
        <w:widowControl w:val="0"/>
        <w:numPr>
          <w:ilvl w:val="0"/>
          <w:numId w:val="1"/>
        </w:numPr>
        <w:tabs>
          <w:tab w:val="left" w:pos="917"/>
        </w:tabs>
        <w:autoSpaceDE w:val="0"/>
        <w:autoSpaceDN w:val="0"/>
        <w:ind w:right="95" w:hanging="720"/>
        <w:contextualSpacing w:val="0"/>
        <w:rPr>
          <w:rFonts w:ascii="Arial" w:hAnsi="Arial" w:cs="Arial"/>
          <w:sz w:val="24"/>
          <w:szCs w:val="24"/>
          <w:lang w:val="en-GB"/>
        </w:rPr>
      </w:pPr>
      <w:r w:rsidRPr="0044150C">
        <w:rPr>
          <w:rFonts w:ascii="Arial" w:hAnsi="Arial" w:cs="Arial"/>
          <w:sz w:val="24"/>
          <w:szCs w:val="24"/>
          <w:lang w:val="en-GB"/>
        </w:rPr>
        <w:t>Indeed, tax offset for R&amp;D is based on a specific legislative source consisting of legislative provisions setting out objective criteria for eligibility that are applied consistently and automatically,</w:t>
      </w:r>
      <w:r w:rsidRPr="0044150C">
        <w:rPr>
          <w:rFonts w:ascii="Arial" w:hAnsi="Arial" w:cs="Arial"/>
          <w:spacing w:val="-17"/>
          <w:sz w:val="24"/>
          <w:szCs w:val="24"/>
          <w:lang w:val="en-GB"/>
        </w:rPr>
        <w:t xml:space="preserve"> </w:t>
      </w:r>
      <w:r w:rsidRPr="0044150C">
        <w:rPr>
          <w:rFonts w:ascii="Arial" w:hAnsi="Arial" w:cs="Arial"/>
          <w:sz w:val="24"/>
          <w:szCs w:val="24"/>
          <w:lang w:val="en-GB"/>
        </w:rPr>
        <w:t>just</w:t>
      </w:r>
      <w:r w:rsidRPr="0044150C">
        <w:rPr>
          <w:rFonts w:ascii="Arial" w:hAnsi="Arial" w:cs="Arial"/>
          <w:spacing w:val="-16"/>
          <w:sz w:val="24"/>
          <w:szCs w:val="24"/>
          <w:lang w:val="en-GB"/>
        </w:rPr>
        <w:t xml:space="preserve"> </w:t>
      </w:r>
      <w:r w:rsidRPr="0044150C">
        <w:rPr>
          <w:rFonts w:ascii="Arial" w:hAnsi="Arial" w:cs="Arial"/>
          <w:sz w:val="24"/>
          <w:szCs w:val="24"/>
          <w:lang w:val="en-GB"/>
        </w:rPr>
        <w:t>like</w:t>
      </w:r>
      <w:r w:rsidRPr="0044150C">
        <w:rPr>
          <w:rFonts w:ascii="Arial" w:hAnsi="Arial" w:cs="Arial"/>
          <w:spacing w:val="-17"/>
          <w:sz w:val="24"/>
          <w:szCs w:val="24"/>
          <w:lang w:val="en-GB"/>
        </w:rPr>
        <w:t xml:space="preserve"> </w:t>
      </w:r>
      <w:r w:rsidRPr="0044150C">
        <w:rPr>
          <w:rFonts w:ascii="Arial" w:hAnsi="Arial" w:cs="Arial"/>
          <w:sz w:val="24"/>
          <w:szCs w:val="24"/>
          <w:lang w:val="en-GB"/>
        </w:rPr>
        <w:t>the</w:t>
      </w:r>
      <w:r w:rsidRPr="0044150C">
        <w:rPr>
          <w:rFonts w:ascii="Arial" w:hAnsi="Arial" w:cs="Arial"/>
          <w:spacing w:val="-16"/>
          <w:sz w:val="24"/>
          <w:szCs w:val="24"/>
          <w:lang w:val="en-GB"/>
        </w:rPr>
        <w:t xml:space="preserve"> </w:t>
      </w:r>
      <w:r w:rsidRPr="0044150C">
        <w:rPr>
          <w:rFonts w:ascii="Arial" w:hAnsi="Arial" w:cs="Arial"/>
          <w:sz w:val="24"/>
          <w:szCs w:val="24"/>
          <w:lang w:val="en-GB"/>
        </w:rPr>
        <w:t>schemes</w:t>
      </w:r>
      <w:r w:rsidRPr="0044150C">
        <w:rPr>
          <w:rFonts w:ascii="Arial" w:hAnsi="Arial" w:cs="Arial"/>
          <w:spacing w:val="-17"/>
          <w:sz w:val="24"/>
          <w:szCs w:val="24"/>
          <w:lang w:val="en-GB"/>
        </w:rPr>
        <w:t xml:space="preserve"> </w:t>
      </w:r>
      <w:r w:rsidRPr="0044150C">
        <w:rPr>
          <w:rFonts w:ascii="Arial" w:hAnsi="Arial" w:cs="Arial"/>
          <w:sz w:val="24"/>
          <w:szCs w:val="24"/>
          <w:lang w:val="en-GB"/>
        </w:rPr>
        <w:t>discussed</w:t>
      </w:r>
      <w:r w:rsidRPr="0044150C">
        <w:rPr>
          <w:rFonts w:ascii="Arial" w:hAnsi="Arial" w:cs="Arial"/>
          <w:spacing w:val="-14"/>
          <w:sz w:val="24"/>
          <w:szCs w:val="24"/>
          <w:lang w:val="en-GB"/>
        </w:rPr>
        <w:t xml:space="preserve"> </w:t>
      </w:r>
      <w:r w:rsidRPr="0044150C">
        <w:rPr>
          <w:rFonts w:ascii="Arial" w:hAnsi="Arial" w:cs="Arial"/>
          <w:sz w:val="24"/>
          <w:szCs w:val="24"/>
          <w:lang w:val="en-GB"/>
        </w:rPr>
        <w:t>above.</w:t>
      </w:r>
      <w:r w:rsidRPr="0044150C">
        <w:rPr>
          <w:rFonts w:ascii="Arial" w:hAnsi="Arial" w:cs="Arial"/>
          <w:spacing w:val="-6"/>
          <w:sz w:val="24"/>
          <w:szCs w:val="24"/>
          <w:lang w:val="en-GB"/>
        </w:rPr>
        <w:t xml:space="preserve"> </w:t>
      </w:r>
      <w:r w:rsidRPr="0044150C">
        <w:rPr>
          <w:rFonts w:ascii="Arial" w:hAnsi="Arial" w:cs="Arial"/>
          <w:sz w:val="24"/>
          <w:szCs w:val="24"/>
          <w:lang w:val="en-GB"/>
        </w:rPr>
        <w:t>Thus,</w:t>
      </w:r>
      <w:r w:rsidRPr="0044150C">
        <w:rPr>
          <w:rFonts w:ascii="Arial" w:hAnsi="Arial" w:cs="Arial"/>
          <w:spacing w:val="-17"/>
          <w:sz w:val="24"/>
          <w:szCs w:val="24"/>
          <w:lang w:val="en-GB"/>
        </w:rPr>
        <w:t xml:space="preserve"> </w:t>
      </w:r>
      <w:r w:rsidRPr="0044150C">
        <w:rPr>
          <w:rFonts w:ascii="Arial" w:hAnsi="Arial" w:cs="Arial"/>
          <w:sz w:val="24"/>
          <w:szCs w:val="24"/>
          <w:lang w:val="en-GB"/>
        </w:rPr>
        <w:t>for</w:t>
      </w:r>
      <w:r w:rsidRPr="0044150C">
        <w:rPr>
          <w:rFonts w:ascii="Arial" w:hAnsi="Arial" w:cs="Arial"/>
          <w:spacing w:val="-17"/>
          <w:sz w:val="24"/>
          <w:szCs w:val="24"/>
          <w:lang w:val="en-GB"/>
        </w:rPr>
        <w:t xml:space="preserve"> </w:t>
      </w:r>
      <w:r w:rsidRPr="0044150C">
        <w:rPr>
          <w:rFonts w:ascii="Arial" w:hAnsi="Arial" w:cs="Arial"/>
          <w:sz w:val="24"/>
          <w:szCs w:val="24"/>
          <w:lang w:val="en-GB"/>
        </w:rPr>
        <w:t>the</w:t>
      </w:r>
      <w:r w:rsidRPr="0044150C">
        <w:rPr>
          <w:rFonts w:ascii="Arial" w:hAnsi="Arial" w:cs="Arial"/>
          <w:spacing w:val="-15"/>
          <w:sz w:val="24"/>
          <w:szCs w:val="24"/>
          <w:lang w:val="en-GB"/>
        </w:rPr>
        <w:t xml:space="preserve"> </w:t>
      </w:r>
      <w:r w:rsidRPr="0044150C">
        <w:rPr>
          <w:rFonts w:ascii="Arial" w:hAnsi="Arial" w:cs="Arial"/>
          <w:sz w:val="24"/>
          <w:szCs w:val="24"/>
          <w:lang w:val="en-GB"/>
        </w:rPr>
        <w:t>same</w:t>
      </w:r>
      <w:r w:rsidRPr="0044150C">
        <w:rPr>
          <w:rFonts w:ascii="Arial" w:hAnsi="Arial" w:cs="Arial"/>
          <w:spacing w:val="-15"/>
          <w:sz w:val="24"/>
          <w:szCs w:val="24"/>
          <w:lang w:val="en-GB"/>
        </w:rPr>
        <w:t xml:space="preserve"> </w:t>
      </w:r>
      <w:r w:rsidRPr="0044150C">
        <w:rPr>
          <w:rFonts w:ascii="Arial" w:hAnsi="Arial" w:cs="Arial"/>
          <w:sz w:val="24"/>
          <w:szCs w:val="24"/>
          <w:lang w:val="en-GB"/>
        </w:rPr>
        <w:t>reasons</w:t>
      </w:r>
      <w:r w:rsidRPr="0044150C">
        <w:rPr>
          <w:rFonts w:ascii="Arial" w:hAnsi="Arial" w:cs="Arial"/>
          <w:spacing w:val="-16"/>
          <w:sz w:val="24"/>
          <w:szCs w:val="24"/>
          <w:lang w:val="en-GB"/>
        </w:rPr>
        <w:t xml:space="preserve"> </w:t>
      </w:r>
      <w:r w:rsidRPr="0044150C">
        <w:rPr>
          <w:rFonts w:ascii="Arial" w:hAnsi="Arial" w:cs="Arial"/>
          <w:sz w:val="24"/>
          <w:szCs w:val="24"/>
          <w:lang w:val="en-GB"/>
        </w:rPr>
        <w:t>set</w:t>
      </w:r>
      <w:r w:rsidRPr="0044150C">
        <w:rPr>
          <w:rFonts w:ascii="Arial" w:hAnsi="Arial" w:cs="Arial"/>
          <w:spacing w:val="-15"/>
          <w:sz w:val="24"/>
          <w:szCs w:val="24"/>
          <w:lang w:val="en-GB"/>
        </w:rPr>
        <w:t xml:space="preserve"> </w:t>
      </w:r>
      <w:r w:rsidRPr="0044150C">
        <w:rPr>
          <w:rFonts w:ascii="Arial" w:hAnsi="Arial" w:cs="Arial"/>
          <w:sz w:val="24"/>
          <w:szCs w:val="24"/>
          <w:lang w:val="en-GB"/>
        </w:rPr>
        <w:t>out</w:t>
      </w:r>
      <w:r w:rsidRPr="0044150C">
        <w:rPr>
          <w:rFonts w:ascii="Arial" w:hAnsi="Arial" w:cs="Arial"/>
          <w:spacing w:val="-14"/>
          <w:sz w:val="24"/>
          <w:szCs w:val="24"/>
          <w:lang w:val="en-GB"/>
        </w:rPr>
        <w:t xml:space="preserve"> </w:t>
      </w:r>
      <w:r w:rsidRPr="0044150C">
        <w:rPr>
          <w:rFonts w:ascii="Arial" w:hAnsi="Arial" w:cs="Arial"/>
          <w:sz w:val="24"/>
          <w:szCs w:val="24"/>
          <w:lang w:val="en-GB"/>
        </w:rPr>
        <w:t>above, the Applicant’s claim that “</w:t>
      </w:r>
      <w:r w:rsidR="003241D4" w:rsidRPr="0044150C">
        <w:rPr>
          <w:rFonts w:ascii="Arial" w:hAnsi="Arial" w:cs="Arial"/>
          <w:i/>
          <w:sz w:val="24"/>
          <w:szCs w:val="24"/>
          <w:lang w:val="en-GB"/>
        </w:rPr>
        <w:t>MAE producers qualify as high-tech and “encouraged” enterprises and thereby benefit from the reduced 15% rate</w:t>
      </w:r>
      <w:r w:rsidRPr="0044150C">
        <w:rPr>
          <w:rFonts w:ascii="Arial" w:hAnsi="Arial" w:cs="Arial"/>
          <w:sz w:val="24"/>
          <w:szCs w:val="24"/>
          <w:lang w:val="en-GB"/>
        </w:rPr>
        <w:t>” should be dismissed as incorrect and</w:t>
      </w:r>
      <w:r w:rsidRPr="0044150C">
        <w:rPr>
          <w:rFonts w:ascii="Arial" w:hAnsi="Arial" w:cs="Arial"/>
          <w:spacing w:val="-3"/>
          <w:sz w:val="24"/>
          <w:szCs w:val="24"/>
          <w:lang w:val="en-GB"/>
        </w:rPr>
        <w:t xml:space="preserve"> </w:t>
      </w:r>
      <w:r w:rsidRPr="0044150C">
        <w:rPr>
          <w:rFonts w:ascii="Arial" w:hAnsi="Arial" w:cs="Arial"/>
          <w:sz w:val="24"/>
          <w:szCs w:val="24"/>
          <w:lang w:val="en-GB"/>
        </w:rPr>
        <w:t>unsupported.</w:t>
      </w:r>
    </w:p>
    <w:p w14:paraId="41F9D50D" w14:textId="77777777" w:rsidR="00DC51C5" w:rsidRPr="0044150C" w:rsidRDefault="00DC51C5" w:rsidP="00DC51C5">
      <w:pPr>
        <w:pStyle w:val="a9"/>
        <w:rPr>
          <w:rFonts w:ascii="Arial" w:hAnsi="Arial" w:cs="Arial"/>
          <w:sz w:val="24"/>
          <w:szCs w:val="24"/>
          <w:lang w:val="en-GB"/>
        </w:rPr>
      </w:pPr>
    </w:p>
    <w:p w14:paraId="7593C533" w14:textId="4CA591CE" w:rsidR="00376F25" w:rsidRPr="0044150C" w:rsidRDefault="00DC51C5" w:rsidP="001F79D9">
      <w:pPr>
        <w:pStyle w:val="a9"/>
        <w:widowControl w:val="0"/>
        <w:numPr>
          <w:ilvl w:val="0"/>
          <w:numId w:val="1"/>
        </w:numPr>
        <w:tabs>
          <w:tab w:val="left" w:pos="917"/>
        </w:tabs>
        <w:autoSpaceDE w:val="0"/>
        <w:autoSpaceDN w:val="0"/>
        <w:ind w:right="95" w:hanging="720"/>
        <w:contextualSpacing w:val="0"/>
        <w:rPr>
          <w:rFonts w:ascii="Arial" w:hAnsi="Arial" w:cs="Arial"/>
          <w:sz w:val="24"/>
          <w:szCs w:val="24"/>
          <w:lang w:val="en-GB"/>
        </w:rPr>
      </w:pPr>
      <w:r w:rsidRPr="0044150C">
        <w:rPr>
          <w:rFonts w:ascii="Arial" w:hAnsi="Arial" w:cs="Arial"/>
          <w:sz w:val="24"/>
          <w:szCs w:val="24"/>
          <w:lang w:val="en-GB"/>
        </w:rPr>
        <w:lastRenderedPageBreak/>
        <w:t>The GOC</w:t>
      </w:r>
      <w:r w:rsidR="003415A1" w:rsidRPr="0044150C">
        <w:rPr>
          <w:rFonts w:ascii="Arial" w:hAnsi="Arial" w:cs="Arial"/>
          <w:sz w:val="24"/>
          <w:szCs w:val="24"/>
          <w:lang w:val="en-GB"/>
        </w:rPr>
        <w:t xml:space="preserve"> respectfully reminds the TRA that in its Statement of Essential Facts (SEF)</w:t>
      </w:r>
      <w:r w:rsidRPr="0044150C">
        <w:rPr>
          <w:rFonts w:ascii="Arial" w:hAnsi="Arial" w:cs="Arial"/>
          <w:sz w:val="24"/>
          <w:szCs w:val="24"/>
          <w:lang w:val="en-GB"/>
        </w:rPr>
        <w:t xml:space="preserve"> In AS0022</w:t>
      </w:r>
      <w:r w:rsidR="003415A1" w:rsidRPr="0044150C">
        <w:rPr>
          <w:rFonts w:ascii="Arial" w:hAnsi="Arial" w:cs="Arial"/>
          <w:sz w:val="24"/>
          <w:szCs w:val="24"/>
          <w:lang w:val="en-GB"/>
        </w:rPr>
        <w:t xml:space="preserve">, an anti-subsidy investigation </w:t>
      </w:r>
      <w:r w:rsidR="00300A08" w:rsidRPr="0044150C">
        <w:rPr>
          <w:rFonts w:ascii="Arial" w:hAnsi="Arial" w:cs="Arial"/>
          <w:sz w:val="24"/>
          <w:szCs w:val="24"/>
          <w:lang w:val="en-GB"/>
        </w:rPr>
        <w:t>concerning the imports of Optical Fibre Cables imported from China, it’s the TRA found that “</w:t>
      </w:r>
      <w:r w:rsidR="00300A08" w:rsidRPr="0044150C">
        <w:rPr>
          <w:rFonts w:ascii="Arial" w:hAnsi="Arial" w:cs="Arial"/>
          <w:i/>
          <w:iCs/>
          <w:sz w:val="24"/>
          <w:szCs w:val="24"/>
          <w:lang w:val="en-GB"/>
        </w:rPr>
        <w:t>Article 30 of the enterprise income tax law does not place specific restrictions on the industries that are eligible for this particular tax offsetting programme</w:t>
      </w:r>
      <w:r w:rsidR="00300A08" w:rsidRPr="0044150C">
        <w:rPr>
          <w:rFonts w:ascii="Arial" w:hAnsi="Arial" w:cs="Arial"/>
          <w:sz w:val="24"/>
          <w:szCs w:val="24"/>
          <w:lang w:val="en-GB"/>
        </w:rPr>
        <w:t>”</w:t>
      </w:r>
      <w:r w:rsidR="001F79D9" w:rsidRPr="0044150C">
        <w:rPr>
          <w:rStyle w:val="ab"/>
          <w:rFonts w:ascii="Arial" w:hAnsi="Arial" w:cs="Arial"/>
          <w:sz w:val="24"/>
          <w:szCs w:val="24"/>
          <w:lang w:val="en-GB"/>
        </w:rPr>
        <w:footnoteReference w:id="14"/>
      </w:r>
      <w:r w:rsidR="004575A1" w:rsidRPr="0044150C">
        <w:rPr>
          <w:rFonts w:ascii="Arial" w:hAnsi="Arial" w:cs="Arial"/>
          <w:sz w:val="24"/>
          <w:szCs w:val="24"/>
          <w:lang w:val="en-GB"/>
        </w:rPr>
        <w:t xml:space="preserve"> and </w:t>
      </w:r>
      <w:r w:rsidR="001F79D9" w:rsidRPr="0044150C">
        <w:rPr>
          <w:rFonts w:ascii="Arial" w:hAnsi="Arial" w:cs="Arial"/>
          <w:sz w:val="24"/>
          <w:szCs w:val="24"/>
          <w:lang w:val="en-GB"/>
        </w:rPr>
        <w:t>“</w:t>
      </w:r>
      <w:r w:rsidR="001F79D9" w:rsidRPr="0044150C">
        <w:rPr>
          <w:rFonts w:ascii="Arial" w:hAnsi="Arial" w:cs="Arial"/>
          <w:i/>
          <w:iCs/>
          <w:sz w:val="24"/>
          <w:szCs w:val="24"/>
          <w:lang w:val="en-GB"/>
        </w:rPr>
        <w:t>therefore, [TRA] did not identify any information that indicated the programme</w:t>
      </w:r>
      <w:r w:rsidR="001F79D9" w:rsidRPr="0044150C">
        <w:rPr>
          <w:rFonts w:ascii="Arial" w:hAnsi="Arial" w:cs="Arial"/>
          <w:sz w:val="24"/>
          <w:szCs w:val="24"/>
          <w:lang w:val="en-GB"/>
        </w:rPr>
        <w:t xml:space="preserve"> </w:t>
      </w:r>
      <w:r w:rsidR="001F79D9" w:rsidRPr="0044150C">
        <w:rPr>
          <w:rFonts w:ascii="Arial" w:hAnsi="Arial" w:cs="Arial"/>
          <w:i/>
          <w:iCs/>
          <w:sz w:val="24"/>
          <w:szCs w:val="24"/>
          <w:lang w:val="en-GB"/>
        </w:rPr>
        <w:t>is explicitly specific (regulation 22(2(a) of the Regulations), or that it is in fact applied in a specific manner (regulation 22(2)(b) of the Regulations)</w:t>
      </w:r>
      <w:r w:rsidR="001F79D9" w:rsidRPr="0044150C">
        <w:rPr>
          <w:rFonts w:ascii="Arial" w:hAnsi="Arial" w:cs="Arial"/>
          <w:sz w:val="24"/>
          <w:szCs w:val="24"/>
          <w:lang w:val="en-GB"/>
        </w:rPr>
        <w:t>”.</w:t>
      </w:r>
    </w:p>
    <w:p w14:paraId="112DA678" w14:textId="77777777" w:rsidR="003545CD" w:rsidRPr="0044150C" w:rsidRDefault="003545CD" w:rsidP="003545CD">
      <w:pPr>
        <w:pStyle w:val="a9"/>
        <w:rPr>
          <w:rFonts w:ascii="Arial" w:hAnsi="Arial" w:cs="Arial"/>
          <w:sz w:val="24"/>
          <w:szCs w:val="24"/>
          <w:lang w:val="en-GB"/>
        </w:rPr>
      </w:pPr>
    </w:p>
    <w:p w14:paraId="06D76AEC" w14:textId="6119E4F5" w:rsidR="003545CD" w:rsidRPr="0044150C" w:rsidRDefault="003545CD" w:rsidP="001F79D9">
      <w:pPr>
        <w:pStyle w:val="a9"/>
        <w:widowControl w:val="0"/>
        <w:numPr>
          <w:ilvl w:val="0"/>
          <w:numId w:val="1"/>
        </w:numPr>
        <w:tabs>
          <w:tab w:val="left" w:pos="917"/>
        </w:tabs>
        <w:autoSpaceDE w:val="0"/>
        <w:autoSpaceDN w:val="0"/>
        <w:ind w:right="95" w:hanging="720"/>
        <w:contextualSpacing w:val="0"/>
        <w:rPr>
          <w:rFonts w:ascii="Arial" w:hAnsi="Arial" w:cs="Arial"/>
          <w:sz w:val="24"/>
          <w:szCs w:val="24"/>
          <w:lang w:val="en-GB"/>
        </w:rPr>
      </w:pPr>
      <w:r w:rsidRPr="0044150C">
        <w:rPr>
          <w:rFonts w:ascii="Arial" w:hAnsi="Arial" w:cs="Arial"/>
          <w:sz w:val="24"/>
          <w:szCs w:val="24"/>
          <w:lang w:val="en-GB"/>
        </w:rPr>
        <w:t xml:space="preserve">The GOC also notes that, in the previous anti-subsidy investigation against Chinese excavators, the TRA determines that the R&amp;D ‘Super-Deductions’ is not specific, and hence, it is not a countervailable subsidy. The GOC believes it is only reasonable for the TRA to make the same findings in the present case.  </w:t>
      </w:r>
    </w:p>
    <w:p w14:paraId="336053C6" w14:textId="77777777" w:rsidR="001F79D9" w:rsidRPr="0044150C" w:rsidRDefault="001F79D9" w:rsidP="001F79D9">
      <w:pPr>
        <w:pStyle w:val="a9"/>
        <w:rPr>
          <w:rFonts w:ascii="Arial" w:hAnsi="Arial" w:cs="Arial"/>
          <w:sz w:val="24"/>
          <w:szCs w:val="24"/>
          <w:lang w:val="en-GB"/>
        </w:rPr>
      </w:pPr>
    </w:p>
    <w:p w14:paraId="3B16C48B" w14:textId="2147FC99" w:rsidR="00376F25" w:rsidRPr="0044150C" w:rsidRDefault="009041FF" w:rsidP="00376F25">
      <w:pPr>
        <w:pStyle w:val="3"/>
        <w:spacing w:before="0"/>
        <w:rPr>
          <w:rFonts w:ascii="Arial" w:eastAsiaTheme="minorEastAsia" w:hAnsi="Arial" w:cs="Arial"/>
          <w:b/>
          <w:bCs/>
          <w:color w:val="auto"/>
          <w:lang w:val="en-GB"/>
        </w:rPr>
      </w:pPr>
      <w:bookmarkStart w:id="8" w:name="_Toc226652290"/>
      <w:r w:rsidRPr="0044150C">
        <w:rPr>
          <w:rFonts w:ascii="Arial" w:eastAsiaTheme="minorEastAsia" w:hAnsi="Arial" w:cs="Arial"/>
          <w:b/>
          <w:bCs/>
          <w:color w:val="auto"/>
          <w:lang w:val="en-GB"/>
        </w:rPr>
        <w:t xml:space="preserve">Qualified </w:t>
      </w:r>
      <w:r w:rsidR="00376F25" w:rsidRPr="0044150C">
        <w:rPr>
          <w:rFonts w:ascii="Arial" w:eastAsiaTheme="minorEastAsia" w:hAnsi="Arial" w:cs="Arial"/>
          <w:b/>
          <w:bCs/>
          <w:color w:val="auto"/>
          <w:lang w:val="en-GB"/>
        </w:rPr>
        <w:t>Dividend exemption between resident enterprises to avoid double taxation</w:t>
      </w:r>
      <w:bookmarkEnd w:id="8"/>
    </w:p>
    <w:p w14:paraId="34BFAE7D" w14:textId="77777777" w:rsidR="00DF2611" w:rsidRPr="0044150C" w:rsidRDefault="00DF2611" w:rsidP="00DF2611">
      <w:pPr>
        <w:pStyle w:val="a9"/>
        <w:autoSpaceDE w:val="0"/>
        <w:autoSpaceDN w:val="0"/>
        <w:adjustRightInd w:val="0"/>
        <w:contextualSpacing w:val="0"/>
        <w:rPr>
          <w:rFonts w:ascii="Arial" w:hAnsi="Arial" w:cs="Arial"/>
          <w:sz w:val="24"/>
          <w:szCs w:val="24"/>
          <w:lang w:val="en-GB"/>
        </w:rPr>
      </w:pPr>
    </w:p>
    <w:p w14:paraId="1134C764" w14:textId="096502FE" w:rsidR="009B348E" w:rsidRPr="0044150C" w:rsidRDefault="009B348E" w:rsidP="001D7B52">
      <w:pPr>
        <w:pStyle w:val="a9"/>
        <w:numPr>
          <w:ilvl w:val="0"/>
          <w:numId w:val="1"/>
        </w:numPr>
        <w:autoSpaceDE w:val="0"/>
        <w:autoSpaceDN w:val="0"/>
        <w:adjustRightInd w:val="0"/>
        <w:ind w:hanging="644"/>
        <w:contextualSpacing w:val="0"/>
        <w:rPr>
          <w:rFonts w:ascii="Arial" w:hAnsi="Arial" w:cs="Arial"/>
          <w:sz w:val="24"/>
          <w:szCs w:val="24"/>
          <w:lang w:val="en-GB"/>
        </w:rPr>
      </w:pPr>
      <w:r w:rsidRPr="0044150C">
        <w:rPr>
          <w:rFonts w:ascii="Arial" w:hAnsi="Arial" w:cs="Arial"/>
          <w:sz w:val="24"/>
          <w:szCs w:val="24"/>
          <w:lang w:val="en-GB"/>
        </w:rPr>
        <w:t xml:space="preserve">The Applicant claims that the </w:t>
      </w:r>
      <w:r w:rsidR="009041FF" w:rsidRPr="0044150C">
        <w:rPr>
          <w:rFonts w:ascii="Arial" w:hAnsi="Arial" w:cs="Arial"/>
          <w:sz w:val="24"/>
          <w:szCs w:val="24"/>
          <w:lang w:val="en-GB"/>
        </w:rPr>
        <w:t xml:space="preserve">qualified </w:t>
      </w:r>
      <w:r w:rsidRPr="0044150C">
        <w:rPr>
          <w:rFonts w:ascii="Arial" w:hAnsi="Arial" w:cs="Arial"/>
          <w:sz w:val="24"/>
          <w:szCs w:val="24"/>
          <w:lang w:val="en-GB"/>
        </w:rPr>
        <w:t>dividend exemption between resident enterprises, represents a countervailable subsidy.</w:t>
      </w:r>
    </w:p>
    <w:p w14:paraId="30D1F6D5" w14:textId="77777777" w:rsidR="009B348E" w:rsidRPr="0044150C" w:rsidRDefault="009B348E" w:rsidP="009B348E">
      <w:pPr>
        <w:pStyle w:val="a9"/>
        <w:autoSpaceDE w:val="0"/>
        <w:autoSpaceDN w:val="0"/>
        <w:adjustRightInd w:val="0"/>
        <w:ind w:hanging="720"/>
        <w:contextualSpacing w:val="0"/>
        <w:rPr>
          <w:rFonts w:ascii="Arial" w:hAnsi="Arial" w:cs="Arial"/>
          <w:sz w:val="24"/>
          <w:szCs w:val="24"/>
          <w:lang w:val="en-GB"/>
        </w:rPr>
      </w:pPr>
    </w:p>
    <w:p w14:paraId="073576E2" w14:textId="77777777" w:rsidR="009B348E" w:rsidRPr="0044150C" w:rsidRDefault="009B348E" w:rsidP="001D7B52">
      <w:pPr>
        <w:pStyle w:val="a9"/>
        <w:numPr>
          <w:ilvl w:val="0"/>
          <w:numId w:val="1"/>
        </w:numPr>
        <w:autoSpaceDE w:val="0"/>
        <w:autoSpaceDN w:val="0"/>
        <w:adjustRightInd w:val="0"/>
        <w:ind w:hanging="644"/>
        <w:contextualSpacing w:val="0"/>
        <w:rPr>
          <w:rFonts w:ascii="Arial" w:hAnsi="Arial" w:cs="Arial"/>
          <w:sz w:val="24"/>
          <w:szCs w:val="24"/>
          <w:lang w:val="en-GB"/>
        </w:rPr>
      </w:pPr>
      <w:r w:rsidRPr="0044150C">
        <w:rPr>
          <w:rFonts w:ascii="Arial" w:hAnsi="Arial" w:cs="Arial"/>
          <w:sz w:val="24"/>
          <w:szCs w:val="24"/>
          <w:lang w:val="en-GB"/>
        </w:rPr>
        <w:t xml:space="preserve">The GOC however underlines that there is no financial contribution in terms of revenue foregone as regards this alleged program because pursuant to Article 10(1) of the Enterprise Income Tax Law of China, income from equity investments paid to investors such as dividends and bonuses shall not be deducted when calculating the taxable income, which means that dividends and bonuses paid to investors are included in the subsidiary’s taxable income before being paid to the investors and the subsidiary has already paid the enterprise income tax generated from such income. Therefore, </w:t>
      </w:r>
      <w:r w:rsidRPr="0044150C">
        <w:rPr>
          <w:rFonts w:ascii="Arial" w:hAnsi="Arial" w:cs="Arial"/>
          <w:i/>
          <w:iCs/>
          <w:sz w:val="24"/>
          <w:szCs w:val="24"/>
          <w:lang w:val="en-GB"/>
        </w:rPr>
        <w:t>to avoid double taxation</w:t>
      </w:r>
      <w:r w:rsidRPr="0044150C">
        <w:rPr>
          <w:rFonts w:ascii="Arial" w:hAnsi="Arial" w:cs="Arial"/>
          <w:sz w:val="24"/>
          <w:szCs w:val="24"/>
          <w:lang w:val="en-GB"/>
        </w:rPr>
        <w:t xml:space="preserve">, when the dividends and bonuses are paid to a resident enterprise that is an investor, such dividends and bonuses are not subject to corporate income tax </w:t>
      </w:r>
      <w:r w:rsidRPr="0044150C">
        <w:rPr>
          <w:rFonts w:ascii="Arial" w:hAnsi="Arial" w:cs="Arial"/>
          <w:sz w:val="24"/>
          <w:szCs w:val="24"/>
          <w:lang w:val="en-GB"/>
        </w:rPr>
        <w:lastRenderedPageBreak/>
        <w:t xml:space="preserve">for a second time. Consequently, the tax exemption in question does not constitute government revenue foregone. </w:t>
      </w:r>
    </w:p>
    <w:p w14:paraId="291E7352" w14:textId="77777777" w:rsidR="009B348E" w:rsidRPr="0044150C" w:rsidRDefault="009B348E" w:rsidP="009B348E">
      <w:pPr>
        <w:pStyle w:val="a9"/>
        <w:ind w:hanging="720"/>
        <w:rPr>
          <w:rFonts w:ascii="Arial" w:hAnsi="Arial" w:cs="Arial"/>
          <w:sz w:val="24"/>
          <w:szCs w:val="24"/>
          <w:lang w:val="en-GB"/>
        </w:rPr>
      </w:pPr>
    </w:p>
    <w:p w14:paraId="15839D45" w14:textId="5D5DFED4" w:rsidR="009B348E" w:rsidRPr="0044150C" w:rsidRDefault="00B9791B" w:rsidP="001D7B52">
      <w:pPr>
        <w:pStyle w:val="a9"/>
        <w:numPr>
          <w:ilvl w:val="0"/>
          <w:numId w:val="1"/>
        </w:numPr>
        <w:autoSpaceDE w:val="0"/>
        <w:autoSpaceDN w:val="0"/>
        <w:adjustRightInd w:val="0"/>
        <w:ind w:hanging="644"/>
        <w:contextualSpacing w:val="0"/>
        <w:rPr>
          <w:rFonts w:ascii="Arial" w:hAnsi="Arial" w:cs="Arial"/>
          <w:sz w:val="24"/>
          <w:szCs w:val="24"/>
          <w:lang w:val="en-GB"/>
        </w:rPr>
      </w:pPr>
      <w:r w:rsidRPr="0044150C">
        <w:rPr>
          <w:rFonts w:ascii="Arial" w:hAnsi="Arial" w:cs="Arial"/>
          <w:sz w:val="24"/>
          <w:szCs w:val="24"/>
          <w:lang w:val="en-GB"/>
        </w:rPr>
        <w:t>Second</w:t>
      </w:r>
      <w:r w:rsidR="009B348E" w:rsidRPr="0044150C">
        <w:rPr>
          <w:rFonts w:ascii="Arial" w:hAnsi="Arial" w:cs="Arial"/>
          <w:sz w:val="24"/>
          <w:szCs w:val="24"/>
          <w:lang w:val="en-GB"/>
        </w:rPr>
        <w:t xml:space="preserve">, the alleged program is not specific as the criteria for the eligibility to the program are objective and horizontally apply to all resident enterprises irrespective of the industries/products or geographical locations involved. All resident companies in China are qualified to invest in other resident companies and are </w:t>
      </w:r>
      <w:r w:rsidR="009B348E" w:rsidRPr="0044150C">
        <w:rPr>
          <w:rFonts w:ascii="Arial" w:hAnsi="Arial" w:cs="Arial"/>
          <w:i/>
          <w:iCs/>
          <w:sz w:val="24"/>
          <w:szCs w:val="24"/>
          <w:lang w:val="en-GB"/>
        </w:rPr>
        <w:t xml:space="preserve">exempt from double taxation </w:t>
      </w:r>
      <w:r w:rsidR="009B348E" w:rsidRPr="0044150C">
        <w:rPr>
          <w:rFonts w:ascii="Arial" w:hAnsi="Arial" w:cs="Arial"/>
          <w:sz w:val="24"/>
          <w:szCs w:val="24"/>
          <w:lang w:val="en-GB"/>
        </w:rPr>
        <w:t>by virtue of this exemption. Therefore, the program does not meet the “specificity” requirement within the meaning of Article 2.1 of the SCM Agreement.</w:t>
      </w:r>
    </w:p>
    <w:p w14:paraId="7535200D" w14:textId="77777777" w:rsidR="009B348E" w:rsidRPr="0044150C" w:rsidRDefault="009B348E" w:rsidP="004E151E">
      <w:pPr>
        <w:pStyle w:val="a9"/>
        <w:autoSpaceDE w:val="0"/>
        <w:autoSpaceDN w:val="0"/>
        <w:adjustRightInd w:val="0"/>
        <w:contextualSpacing w:val="0"/>
        <w:rPr>
          <w:rFonts w:ascii="Arial" w:hAnsi="Arial" w:cs="Arial"/>
          <w:sz w:val="24"/>
          <w:szCs w:val="24"/>
          <w:lang w:val="en-GB"/>
        </w:rPr>
      </w:pPr>
    </w:p>
    <w:p w14:paraId="5BE550A0" w14:textId="121B9793" w:rsidR="00965F80" w:rsidRPr="0044150C" w:rsidRDefault="009B348E" w:rsidP="001D7B52">
      <w:pPr>
        <w:pStyle w:val="a9"/>
        <w:numPr>
          <w:ilvl w:val="0"/>
          <w:numId w:val="1"/>
        </w:numPr>
        <w:autoSpaceDE w:val="0"/>
        <w:autoSpaceDN w:val="0"/>
        <w:adjustRightInd w:val="0"/>
        <w:ind w:hanging="644"/>
        <w:contextualSpacing w:val="0"/>
        <w:rPr>
          <w:rFonts w:ascii="Arial" w:hAnsi="Arial" w:cs="Arial"/>
          <w:sz w:val="24"/>
          <w:szCs w:val="24"/>
          <w:lang w:val="en-GB"/>
        </w:rPr>
      </w:pPr>
      <w:r w:rsidRPr="0044150C">
        <w:rPr>
          <w:rFonts w:ascii="Arial" w:hAnsi="Arial" w:cs="Arial"/>
          <w:sz w:val="24"/>
          <w:szCs w:val="24"/>
          <w:lang w:val="en-GB"/>
        </w:rPr>
        <w:t>In sum, the investigation into this alleged program is WTO-inconsistent.</w:t>
      </w:r>
    </w:p>
    <w:p w14:paraId="1E12733A" w14:textId="77777777" w:rsidR="000B6ADD" w:rsidRPr="0044150C" w:rsidRDefault="000B6ADD" w:rsidP="000B6ADD">
      <w:pPr>
        <w:pStyle w:val="a9"/>
        <w:autoSpaceDE w:val="0"/>
        <w:autoSpaceDN w:val="0"/>
        <w:adjustRightInd w:val="0"/>
        <w:contextualSpacing w:val="0"/>
        <w:rPr>
          <w:rFonts w:ascii="Arial" w:eastAsia="TimesNewRomanPSMT" w:hAnsi="Arial" w:cs="Arial"/>
          <w:sz w:val="24"/>
          <w:szCs w:val="24"/>
          <w:lang w:val="en-GB" w:eastAsia="en-US" w:bidi="hi-IN"/>
          <w14:ligatures w14:val="standardContextual"/>
        </w:rPr>
      </w:pPr>
    </w:p>
    <w:p w14:paraId="6D86CC41" w14:textId="78A69D5C" w:rsidR="004E151E" w:rsidRPr="0044150C" w:rsidRDefault="004E151E" w:rsidP="00673F74">
      <w:pPr>
        <w:pStyle w:val="2"/>
        <w:ind w:left="720" w:hanging="720"/>
        <w:rPr>
          <w:lang w:val="en-GB"/>
        </w:rPr>
      </w:pPr>
      <w:bookmarkStart w:id="9" w:name="_Toc226652291"/>
      <w:r w:rsidRPr="0044150C">
        <w:rPr>
          <w:lang w:val="en-GB"/>
        </w:rPr>
        <w:t>Alleged preferential financing</w:t>
      </w:r>
      <w:r w:rsidR="001D3413" w:rsidRPr="0044150C">
        <w:rPr>
          <w:lang w:val="en-GB"/>
        </w:rPr>
        <w:t xml:space="preserve"> and credit</w:t>
      </w:r>
      <w:bookmarkEnd w:id="9"/>
    </w:p>
    <w:p w14:paraId="5B1B1804" w14:textId="77777777" w:rsidR="00DF2611" w:rsidRPr="0044150C" w:rsidRDefault="00DF2611" w:rsidP="00DF2611">
      <w:pPr>
        <w:pStyle w:val="a9"/>
        <w:autoSpaceDE w:val="0"/>
        <w:autoSpaceDN w:val="0"/>
        <w:adjustRightInd w:val="0"/>
        <w:contextualSpacing w:val="0"/>
        <w:rPr>
          <w:rFonts w:ascii="Arial" w:hAnsi="Arial" w:cs="Arial"/>
          <w:sz w:val="24"/>
          <w:szCs w:val="24"/>
          <w:lang w:val="en-GB"/>
        </w:rPr>
      </w:pPr>
    </w:p>
    <w:p w14:paraId="783F8C7D" w14:textId="59A647BE" w:rsidR="00FB254D" w:rsidRPr="0044150C" w:rsidRDefault="00184152" w:rsidP="003A3C2A">
      <w:pPr>
        <w:pStyle w:val="a9"/>
        <w:numPr>
          <w:ilvl w:val="0"/>
          <w:numId w:val="1"/>
        </w:numPr>
        <w:autoSpaceDE w:val="0"/>
        <w:autoSpaceDN w:val="0"/>
        <w:adjustRightInd w:val="0"/>
        <w:ind w:hanging="644"/>
        <w:contextualSpacing w:val="0"/>
        <w:rPr>
          <w:rFonts w:ascii="Arial" w:hAnsi="Arial" w:cs="Arial"/>
          <w:sz w:val="24"/>
          <w:szCs w:val="24"/>
          <w:lang w:val="en-GB"/>
        </w:rPr>
      </w:pPr>
      <w:r w:rsidRPr="0044150C">
        <w:rPr>
          <w:rFonts w:ascii="Arial" w:hAnsi="Arial" w:cs="Arial"/>
          <w:sz w:val="24"/>
          <w:szCs w:val="24"/>
          <w:lang w:val="en-GB"/>
        </w:rPr>
        <w:t>While the GOC’s AS questionnaire response gives the factual information, provided below are the GOC’s comments as regards the illegality of the investigation of the unspecified and inexistant preferential lending and the supposed government control and distortion of the financial market in China.  The GOC strongly opposes such allegations which are not rooted in facts but are based on assumptions, and the misinterpretation and misrepresentation of information.</w:t>
      </w:r>
    </w:p>
    <w:p w14:paraId="1C50A2F7" w14:textId="77777777" w:rsidR="00184152" w:rsidRPr="0044150C" w:rsidRDefault="00184152" w:rsidP="00184152">
      <w:pPr>
        <w:pStyle w:val="a9"/>
        <w:autoSpaceDE w:val="0"/>
        <w:autoSpaceDN w:val="0"/>
        <w:adjustRightInd w:val="0"/>
        <w:contextualSpacing w:val="0"/>
        <w:rPr>
          <w:rFonts w:ascii="Arial" w:hAnsi="Arial" w:cs="Arial"/>
          <w:sz w:val="24"/>
          <w:szCs w:val="24"/>
          <w:lang w:val="en-GB"/>
        </w:rPr>
      </w:pPr>
    </w:p>
    <w:p w14:paraId="2A0BA24A" w14:textId="1F83C38A" w:rsidR="00FB254D" w:rsidRPr="0044150C" w:rsidRDefault="00FB254D" w:rsidP="00FB254D">
      <w:pPr>
        <w:pStyle w:val="3"/>
        <w:spacing w:before="0"/>
        <w:rPr>
          <w:rFonts w:ascii="Arial" w:eastAsiaTheme="minorEastAsia" w:hAnsi="Arial" w:cs="Arial"/>
          <w:b/>
          <w:bCs/>
          <w:color w:val="auto"/>
          <w:lang w:val="en-GB"/>
        </w:rPr>
      </w:pPr>
      <w:bookmarkStart w:id="10" w:name="_Toc226652292"/>
      <w:r w:rsidRPr="0044150C">
        <w:rPr>
          <w:rFonts w:ascii="Arial" w:eastAsiaTheme="minorEastAsia" w:hAnsi="Arial" w:cs="Arial"/>
          <w:b/>
          <w:bCs/>
          <w:color w:val="auto"/>
          <w:lang w:val="en-GB"/>
        </w:rPr>
        <w:t xml:space="preserve">Alleged </w:t>
      </w:r>
      <w:r w:rsidR="00315E35" w:rsidRPr="0044150C">
        <w:rPr>
          <w:rFonts w:ascii="Arial" w:eastAsiaTheme="minorEastAsia" w:hAnsi="Arial" w:cs="Arial"/>
          <w:b/>
          <w:bCs/>
          <w:color w:val="auto"/>
          <w:lang w:val="en-GB"/>
        </w:rPr>
        <w:t>p</w:t>
      </w:r>
      <w:r w:rsidRPr="0044150C">
        <w:rPr>
          <w:rFonts w:ascii="Arial" w:eastAsiaTheme="minorEastAsia" w:hAnsi="Arial" w:cs="Arial"/>
          <w:b/>
          <w:bCs/>
          <w:color w:val="auto"/>
          <w:lang w:val="en-GB"/>
        </w:rPr>
        <w:t>referential loans by</w:t>
      </w:r>
      <w:r w:rsidR="00084D30" w:rsidRPr="0044150C">
        <w:rPr>
          <w:rFonts w:ascii="Arial" w:eastAsiaTheme="minorEastAsia" w:hAnsi="Arial" w:cs="Arial"/>
          <w:b/>
          <w:bCs/>
          <w:color w:val="auto"/>
          <w:lang w:val="en-GB"/>
        </w:rPr>
        <w:t xml:space="preserve"> </w:t>
      </w:r>
      <w:r w:rsidRPr="0044150C">
        <w:rPr>
          <w:rFonts w:ascii="Arial" w:eastAsiaTheme="minorEastAsia" w:hAnsi="Arial" w:cs="Arial"/>
          <w:b/>
          <w:bCs/>
          <w:color w:val="auto"/>
          <w:lang w:val="en-GB"/>
        </w:rPr>
        <w:t>commercial banks</w:t>
      </w:r>
      <w:bookmarkEnd w:id="10"/>
    </w:p>
    <w:p w14:paraId="6299E4EB" w14:textId="77777777" w:rsidR="00DF2611" w:rsidRPr="0044150C" w:rsidRDefault="00DF2611" w:rsidP="00DF2611">
      <w:pPr>
        <w:pStyle w:val="a9"/>
        <w:autoSpaceDE w:val="0"/>
        <w:autoSpaceDN w:val="0"/>
        <w:adjustRightInd w:val="0"/>
        <w:contextualSpacing w:val="0"/>
        <w:rPr>
          <w:rFonts w:ascii="Arial" w:hAnsi="Arial" w:cs="Arial"/>
          <w:sz w:val="24"/>
          <w:szCs w:val="24"/>
          <w:lang w:val="en-GB"/>
        </w:rPr>
      </w:pPr>
    </w:p>
    <w:p w14:paraId="549310B2" w14:textId="489426B6" w:rsidR="00FB254D" w:rsidRPr="0044150C" w:rsidRDefault="00FB254D" w:rsidP="003A3C2A">
      <w:pPr>
        <w:pStyle w:val="a9"/>
        <w:numPr>
          <w:ilvl w:val="0"/>
          <w:numId w:val="1"/>
        </w:numPr>
        <w:autoSpaceDE w:val="0"/>
        <w:autoSpaceDN w:val="0"/>
        <w:adjustRightInd w:val="0"/>
        <w:ind w:hanging="644"/>
        <w:contextualSpacing w:val="0"/>
        <w:rPr>
          <w:rFonts w:ascii="Arial" w:hAnsi="Arial" w:cs="Arial"/>
          <w:sz w:val="24"/>
          <w:szCs w:val="24"/>
          <w:lang w:val="en-GB"/>
        </w:rPr>
      </w:pPr>
      <w:r w:rsidRPr="0044150C">
        <w:rPr>
          <w:rFonts w:ascii="Arial" w:hAnsi="Arial" w:cs="Arial"/>
          <w:sz w:val="24"/>
          <w:szCs w:val="24"/>
          <w:lang w:val="en-GB"/>
        </w:rPr>
        <w:t>The Applicant claims that supposed preferential lending by Chinese state-owned banks constitutes a countervailable subsidy, but</w:t>
      </w:r>
      <w:r w:rsidR="00084D30" w:rsidRPr="0044150C">
        <w:rPr>
          <w:rFonts w:ascii="Arial" w:hAnsi="Arial" w:cs="Arial"/>
          <w:sz w:val="24"/>
          <w:szCs w:val="24"/>
          <w:lang w:val="en-GB"/>
        </w:rPr>
        <w:t xml:space="preserve"> </w:t>
      </w:r>
      <w:r w:rsidRPr="0044150C">
        <w:rPr>
          <w:rFonts w:ascii="Arial" w:hAnsi="Arial" w:cs="Arial"/>
          <w:sz w:val="24"/>
          <w:szCs w:val="24"/>
          <w:lang w:val="en-GB"/>
        </w:rPr>
        <w:t xml:space="preserve">it failed to provide any prima facie evidence </w:t>
      </w:r>
      <w:r w:rsidR="001D3413" w:rsidRPr="0044150C">
        <w:rPr>
          <w:rFonts w:ascii="Arial" w:hAnsi="Arial" w:cs="Arial"/>
          <w:sz w:val="24"/>
          <w:szCs w:val="24"/>
          <w:lang w:val="en-GB"/>
        </w:rPr>
        <w:t>because its allegation is “</w:t>
      </w:r>
      <w:r w:rsidR="001D3413" w:rsidRPr="0044150C">
        <w:rPr>
          <w:rFonts w:ascii="Arial" w:hAnsi="Arial" w:cs="Arial"/>
          <w:i/>
          <w:iCs/>
          <w:sz w:val="24"/>
          <w:szCs w:val="24"/>
          <w:lang w:val="en-GB"/>
        </w:rPr>
        <w:t>supported by the legislation governing these financial instruments which allows and encourages institutions to implement State policy objectives when lending</w:t>
      </w:r>
      <w:r w:rsidR="001D3413" w:rsidRPr="0044150C">
        <w:rPr>
          <w:rFonts w:ascii="Arial" w:hAnsi="Arial" w:cs="Arial"/>
          <w:sz w:val="24"/>
          <w:szCs w:val="24"/>
          <w:lang w:val="en-GB"/>
        </w:rPr>
        <w:t xml:space="preserve">”, but not based on </w:t>
      </w:r>
      <w:r w:rsidR="00161020" w:rsidRPr="0044150C">
        <w:rPr>
          <w:rFonts w:ascii="Arial" w:hAnsi="Arial" w:cs="Arial"/>
          <w:sz w:val="24"/>
          <w:szCs w:val="24"/>
          <w:lang w:val="en-GB"/>
        </w:rPr>
        <w:t>actual evidence of provision of such loans nor specif</w:t>
      </w:r>
      <w:r w:rsidR="00226AB1" w:rsidRPr="0044150C">
        <w:rPr>
          <w:rFonts w:ascii="Arial" w:hAnsi="Arial" w:cs="Arial"/>
          <w:sz w:val="24"/>
          <w:szCs w:val="24"/>
          <w:lang w:val="en-GB"/>
        </w:rPr>
        <w:t>i</w:t>
      </w:r>
      <w:r w:rsidR="00161020" w:rsidRPr="0044150C">
        <w:rPr>
          <w:rFonts w:ascii="Arial" w:hAnsi="Arial" w:cs="Arial"/>
          <w:sz w:val="24"/>
          <w:szCs w:val="24"/>
          <w:lang w:val="en-GB"/>
        </w:rPr>
        <w:t>c preferential terms which determine the existence and amo</w:t>
      </w:r>
      <w:r w:rsidR="00226AB1" w:rsidRPr="0044150C">
        <w:rPr>
          <w:rFonts w:ascii="Arial" w:hAnsi="Arial" w:cs="Arial"/>
          <w:sz w:val="24"/>
          <w:szCs w:val="24"/>
          <w:lang w:val="en-GB"/>
        </w:rPr>
        <w:t>un</w:t>
      </w:r>
      <w:r w:rsidR="00161020" w:rsidRPr="0044150C">
        <w:rPr>
          <w:rFonts w:ascii="Arial" w:hAnsi="Arial" w:cs="Arial"/>
          <w:sz w:val="24"/>
          <w:szCs w:val="24"/>
          <w:lang w:val="en-GB"/>
        </w:rPr>
        <w:t>t of benefit provide</w:t>
      </w:r>
      <w:r w:rsidR="001D3413" w:rsidRPr="0044150C">
        <w:rPr>
          <w:rFonts w:ascii="Arial" w:hAnsi="Arial" w:cs="Arial"/>
          <w:sz w:val="24"/>
          <w:szCs w:val="24"/>
          <w:lang w:val="en-GB"/>
        </w:rPr>
        <w:t xml:space="preserve">. </w:t>
      </w:r>
      <w:r w:rsidRPr="0044150C">
        <w:rPr>
          <w:rFonts w:ascii="Arial" w:hAnsi="Arial" w:cs="Arial"/>
          <w:sz w:val="24"/>
          <w:szCs w:val="24"/>
          <w:lang w:val="en-GB"/>
        </w:rPr>
        <w:t xml:space="preserve"> Thus, the investigation </w:t>
      </w:r>
      <w:r w:rsidRPr="0044150C">
        <w:rPr>
          <w:rFonts w:ascii="Arial" w:hAnsi="Arial" w:cs="Arial"/>
          <w:sz w:val="24"/>
          <w:szCs w:val="24"/>
          <w:lang w:val="en-GB"/>
        </w:rPr>
        <w:lastRenderedPageBreak/>
        <w:t>into the alleged preferential lending does not satisfy the required evidentiary standards (discussed previously) and is WTO-inconsistent.</w:t>
      </w:r>
    </w:p>
    <w:p w14:paraId="28F45BF9" w14:textId="77777777" w:rsidR="00FB254D" w:rsidRPr="0044150C" w:rsidRDefault="00FB254D" w:rsidP="00FB254D">
      <w:pPr>
        <w:pStyle w:val="a7"/>
        <w:spacing w:before="10"/>
        <w:ind w:right="95"/>
        <w:rPr>
          <w:rFonts w:ascii="Arial" w:hAnsi="Arial" w:cs="Arial"/>
          <w:sz w:val="24"/>
          <w:szCs w:val="24"/>
        </w:rPr>
      </w:pPr>
    </w:p>
    <w:p w14:paraId="41793B18" w14:textId="769DE3D6" w:rsidR="00FB254D" w:rsidRPr="0044150C" w:rsidRDefault="003F0A0B" w:rsidP="00AF121C">
      <w:pPr>
        <w:pStyle w:val="a9"/>
        <w:widowControl w:val="0"/>
        <w:numPr>
          <w:ilvl w:val="0"/>
          <w:numId w:val="1"/>
        </w:numPr>
        <w:tabs>
          <w:tab w:val="left" w:pos="917"/>
        </w:tabs>
        <w:autoSpaceDE w:val="0"/>
        <w:autoSpaceDN w:val="0"/>
        <w:spacing w:before="1"/>
        <w:ind w:right="95" w:hanging="644"/>
        <w:rPr>
          <w:rFonts w:ascii="Arial" w:hAnsi="Arial" w:cs="Arial"/>
          <w:sz w:val="24"/>
          <w:szCs w:val="24"/>
        </w:rPr>
      </w:pPr>
      <w:r w:rsidRPr="0044150C">
        <w:rPr>
          <w:rFonts w:ascii="Arial" w:hAnsi="Arial" w:cs="Arial"/>
          <w:sz w:val="24"/>
          <w:szCs w:val="24"/>
        </w:rPr>
        <w:t>T</w:t>
      </w:r>
      <w:r w:rsidR="00FB254D" w:rsidRPr="0044150C">
        <w:rPr>
          <w:rFonts w:ascii="Arial" w:hAnsi="Arial" w:cs="Arial"/>
          <w:sz w:val="24"/>
          <w:szCs w:val="24"/>
        </w:rPr>
        <w:t xml:space="preserve">he </w:t>
      </w:r>
      <w:bookmarkStart w:id="11" w:name="_Hlk161117917"/>
      <w:r w:rsidR="00FB254D" w:rsidRPr="0044150C">
        <w:rPr>
          <w:rFonts w:ascii="Arial" w:hAnsi="Arial" w:cs="Arial"/>
          <w:sz w:val="24"/>
          <w:szCs w:val="24"/>
        </w:rPr>
        <w:t xml:space="preserve">GOC respectfully submits that  that state-owned commercial banks are </w:t>
      </w:r>
      <w:r w:rsidR="006121C2" w:rsidRPr="0044150C">
        <w:rPr>
          <w:rFonts w:ascii="Arial" w:hAnsi="Arial" w:cs="Arial"/>
          <w:sz w:val="24"/>
          <w:szCs w:val="24"/>
        </w:rPr>
        <w:t xml:space="preserve">not </w:t>
      </w:r>
      <w:r w:rsidR="00FB254D" w:rsidRPr="0044150C">
        <w:rPr>
          <w:rFonts w:ascii="Arial" w:hAnsi="Arial" w:cs="Arial"/>
          <w:sz w:val="24"/>
          <w:szCs w:val="24"/>
        </w:rPr>
        <w:t>“public bodies”</w:t>
      </w:r>
      <w:r w:rsidR="006121C2" w:rsidRPr="0044150C">
        <w:rPr>
          <w:rFonts w:ascii="Arial" w:hAnsi="Arial" w:cs="Arial"/>
          <w:sz w:val="24"/>
          <w:szCs w:val="24"/>
        </w:rPr>
        <w:t xml:space="preserve">, nor did </w:t>
      </w:r>
      <w:r w:rsidR="00662073" w:rsidRPr="0044150C">
        <w:rPr>
          <w:rFonts w:ascii="Arial" w:hAnsi="Arial" w:cs="Arial"/>
          <w:sz w:val="24"/>
          <w:szCs w:val="24"/>
        </w:rPr>
        <w:t>any commercial banks in China</w:t>
      </w:r>
      <w:r w:rsidR="006121C2" w:rsidRPr="0044150C">
        <w:rPr>
          <w:rFonts w:ascii="Arial" w:hAnsi="Arial" w:cs="Arial"/>
          <w:sz w:val="24"/>
          <w:szCs w:val="24"/>
        </w:rPr>
        <w:t xml:space="preserve"> being entrusted or directed by the GOC to provide loans</w:t>
      </w:r>
      <w:r w:rsidR="00FB254D" w:rsidRPr="0044150C">
        <w:rPr>
          <w:rFonts w:ascii="Arial" w:hAnsi="Arial" w:cs="Arial"/>
          <w:sz w:val="24"/>
          <w:szCs w:val="24"/>
        </w:rPr>
        <w:t>.</w:t>
      </w:r>
      <w:bookmarkEnd w:id="11"/>
    </w:p>
    <w:p w14:paraId="6F0DFE9A" w14:textId="77777777" w:rsidR="00A922DD" w:rsidRPr="0044150C" w:rsidRDefault="00A922DD" w:rsidP="00A922DD">
      <w:pPr>
        <w:pStyle w:val="a9"/>
        <w:rPr>
          <w:rFonts w:ascii="Arial" w:hAnsi="Arial" w:cs="Arial"/>
          <w:sz w:val="24"/>
          <w:szCs w:val="24"/>
        </w:rPr>
      </w:pPr>
    </w:p>
    <w:p w14:paraId="3C1593FC" w14:textId="3FA9ACC1" w:rsidR="00A922DD" w:rsidRPr="0044150C" w:rsidRDefault="00A922DD" w:rsidP="00A922DD">
      <w:pPr>
        <w:pStyle w:val="4"/>
        <w:rPr>
          <w:rFonts w:ascii="Arial" w:hAnsi="Arial" w:cs="Arial"/>
          <w:b/>
          <w:bCs/>
          <w:color w:val="000000" w:themeColor="text1"/>
          <w:sz w:val="24"/>
          <w:szCs w:val="24"/>
        </w:rPr>
      </w:pPr>
      <w:r w:rsidRPr="0044150C">
        <w:rPr>
          <w:rFonts w:ascii="Arial" w:hAnsi="Arial" w:cs="Arial"/>
          <w:b/>
          <w:bCs/>
          <w:color w:val="000000" w:themeColor="text1"/>
          <w:sz w:val="24"/>
          <w:szCs w:val="24"/>
        </w:rPr>
        <w:t>Commercial Banks in China are Not Public Bodies</w:t>
      </w:r>
    </w:p>
    <w:p w14:paraId="474E0C0C" w14:textId="77777777" w:rsidR="003F0A0B" w:rsidRPr="0044150C" w:rsidRDefault="003F0A0B" w:rsidP="003F0A0B">
      <w:pPr>
        <w:pStyle w:val="a9"/>
        <w:rPr>
          <w:rFonts w:ascii="Arial" w:hAnsi="Arial" w:cs="Arial"/>
          <w:sz w:val="24"/>
          <w:szCs w:val="24"/>
        </w:rPr>
      </w:pPr>
    </w:p>
    <w:p w14:paraId="1462294B" w14:textId="77777777" w:rsidR="009A3AED" w:rsidRPr="0044150C" w:rsidRDefault="00FB254D" w:rsidP="00AF121C">
      <w:pPr>
        <w:pStyle w:val="a9"/>
        <w:numPr>
          <w:ilvl w:val="0"/>
          <w:numId w:val="1"/>
        </w:numPr>
        <w:autoSpaceDE w:val="0"/>
        <w:autoSpaceDN w:val="0"/>
        <w:adjustRightInd w:val="0"/>
        <w:ind w:hanging="644"/>
        <w:contextualSpacing w:val="0"/>
        <w:rPr>
          <w:rFonts w:ascii="Arial" w:eastAsia="Times New Roman" w:hAnsi="Arial" w:cs="Arial"/>
          <w:color w:val="000000" w:themeColor="text1"/>
          <w:sz w:val="24"/>
          <w:szCs w:val="24"/>
          <w:lang w:val="en-GB" w:eastAsia="en-US"/>
        </w:rPr>
      </w:pPr>
      <w:bookmarkStart w:id="12" w:name="_Hlk161117957"/>
      <w:r w:rsidRPr="0044150C">
        <w:rPr>
          <w:rFonts w:ascii="Arial" w:hAnsi="Arial" w:cs="Arial"/>
          <w:sz w:val="24"/>
          <w:szCs w:val="24"/>
        </w:rPr>
        <w:t>First,</w:t>
      </w:r>
      <w:r w:rsidRPr="0044150C">
        <w:rPr>
          <w:rFonts w:ascii="Arial" w:hAnsi="Arial" w:cs="Arial"/>
          <w:spacing w:val="-7"/>
          <w:sz w:val="24"/>
          <w:szCs w:val="24"/>
        </w:rPr>
        <w:t xml:space="preserve"> </w:t>
      </w:r>
      <w:r w:rsidR="00084D30" w:rsidRPr="0044150C">
        <w:rPr>
          <w:rFonts w:ascii="Arial" w:hAnsi="Arial" w:cs="Arial"/>
          <w:color w:val="000000" w:themeColor="text1"/>
          <w:sz w:val="24"/>
          <w:szCs w:val="24"/>
        </w:rPr>
        <w:t xml:space="preserve">commercial banks in China, including state-owned commercial banks, are not public bodies. </w:t>
      </w:r>
      <w:r w:rsidR="009A3AED" w:rsidRPr="0044150C">
        <w:rPr>
          <w:rFonts w:ascii="Arial" w:hAnsi="Arial" w:cs="Arial"/>
          <w:color w:val="000000" w:themeColor="text1"/>
          <w:sz w:val="24"/>
          <w:szCs w:val="24"/>
          <w:lang w:val="en-GB"/>
        </w:rPr>
        <w:t>The GOC recalls that</w:t>
      </w:r>
      <w:r w:rsidR="009A3AED" w:rsidRPr="0044150C">
        <w:rPr>
          <w:rFonts w:ascii="Arial" w:eastAsia="Times New Roman" w:hAnsi="Arial" w:cs="Arial"/>
          <w:color w:val="000000" w:themeColor="text1"/>
          <w:sz w:val="24"/>
          <w:szCs w:val="24"/>
          <w:lang w:val="en-GB" w:eastAsia="en-US"/>
        </w:rPr>
        <w:t xml:space="preserve"> the Appellate Body in </w:t>
      </w:r>
      <w:r w:rsidR="009A3AED" w:rsidRPr="0044150C">
        <w:rPr>
          <w:rFonts w:ascii="Arial" w:hAnsi="Arial" w:cs="Arial"/>
          <w:i/>
          <w:color w:val="000000" w:themeColor="text1"/>
          <w:sz w:val="24"/>
          <w:szCs w:val="24"/>
          <w:lang w:val="en-GB"/>
        </w:rPr>
        <w:t xml:space="preserve">US – Anti-Dumping and Countervailing Duties (China) </w:t>
      </w:r>
      <w:r w:rsidR="009A3AED" w:rsidRPr="0044150C">
        <w:rPr>
          <w:rFonts w:ascii="Arial" w:hAnsi="Arial" w:cs="Arial"/>
          <w:iCs/>
          <w:color w:val="000000" w:themeColor="text1"/>
          <w:sz w:val="24"/>
          <w:szCs w:val="24"/>
          <w:lang w:val="en-GB"/>
        </w:rPr>
        <w:t>held that the term</w:t>
      </w:r>
      <w:r w:rsidR="009A3AED" w:rsidRPr="0044150C">
        <w:rPr>
          <w:rFonts w:ascii="Arial" w:hAnsi="Arial" w:cs="Arial"/>
          <w:i/>
          <w:color w:val="000000" w:themeColor="text1"/>
          <w:sz w:val="24"/>
          <w:szCs w:val="24"/>
          <w:lang w:val="en-GB"/>
        </w:rPr>
        <w:t xml:space="preserve"> “</w:t>
      </w:r>
      <w:r w:rsidR="009A3AED" w:rsidRPr="0044150C">
        <w:rPr>
          <w:rFonts w:ascii="Arial" w:hAnsi="Arial" w:cs="Arial"/>
          <w:i/>
          <w:iCs/>
          <w:color w:val="000000" w:themeColor="text1"/>
          <w:sz w:val="24"/>
          <w:szCs w:val="24"/>
          <w:lang w:val="en-GB"/>
        </w:rPr>
        <w:t xml:space="preserve">public body” </w:t>
      </w:r>
      <w:r w:rsidR="009A3AED" w:rsidRPr="0044150C">
        <w:rPr>
          <w:rFonts w:ascii="Arial" w:hAnsi="Arial" w:cs="Arial"/>
          <w:color w:val="000000" w:themeColor="text1"/>
          <w:sz w:val="24"/>
          <w:szCs w:val="24"/>
          <w:lang w:val="en-GB"/>
        </w:rPr>
        <w:t>refers to an entity that “</w:t>
      </w:r>
      <w:r w:rsidR="009A3AED" w:rsidRPr="0044150C">
        <w:rPr>
          <w:rFonts w:ascii="Arial" w:hAnsi="Arial" w:cs="Arial"/>
          <w:i/>
          <w:iCs/>
          <w:color w:val="000000" w:themeColor="text1"/>
          <w:sz w:val="24"/>
          <w:szCs w:val="24"/>
          <w:lang w:val="en-GB"/>
        </w:rPr>
        <w:t>possesses, exercises or is vested with governmental authority</w:t>
      </w:r>
      <w:r w:rsidR="009A3AED" w:rsidRPr="0044150C">
        <w:rPr>
          <w:rFonts w:ascii="Arial" w:hAnsi="Arial" w:cs="Arial"/>
          <w:color w:val="000000" w:themeColor="text1"/>
          <w:sz w:val="24"/>
          <w:szCs w:val="24"/>
          <w:lang w:val="en-GB"/>
        </w:rPr>
        <w:t>.”</w:t>
      </w:r>
      <w:r w:rsidR="009A3AED" w:rsidRPr="0044150C">
        <w:rPr>
          <w:rStyle w:val="ab"/>
          <w:rFonts w:ascii="Arial" w:hAnsi="Arial" w:cs="Arial"/>
          <w:color w:val="000000" w:themeColor="text1"/>
          <w:sz w:val="24"/>
          <w:szCs w:val="24"/>
          <w:lang w:val="en-GB"/>
        </w:rPr>
        <w:footnoteReference w:id="15"/>
      </w:r>
      <w:r w:rsidR="009A3AED" w:rsidRPr="0044150C">
        <w:rPr>
          <w:rFonts w:ascii="Arial" w:hAnsi="Arial" w:cs="Arial"/>
          <w:color w:val="000000" w:themeColor="text1"/>
          <w:sz w:val="24"/>
          <w:szCs w:val="24"/>
          <w:lang w:val="en-GB"/>
        </w:rPr>
        <w:t xml:space="preserve">  In </w:t>
      </w:r>
      <w:r w:rsidR="009A3AED" w:rsidRPr="0044150C">
        <w:rPr>
          <w:rFonts w:ascii="Arial" w:eastAsia="Times New Roman" w:hAnsi="Arial" w:cs="Arial"/>
          <w:i/>
          <w:color w:val="000000" w:themeColor="text1"/>
          <w:sz w:val="24"/>
          <w:szCs w:val="24"/>
          <w:lang w:val="en-GB" w:eastAsia="en-US"/>
        </w:rPr>
        <w:t xml:space="preserve">US </w:t>
      </w:r>
      <w:r w:rsidR="009A3AED" w:rsidRPr="0044150C">
        <w:rPr>
          <w:rFonts w:ascii="Arial" w:hAnsi="Arial" w:cs="Arial"/>
          <w:i/>
          <w:color w:val="000000" w:themeColor="text1"/>
          <w:sz w:val="24"/>
          <w:szCs w:val="24"/>
          <w:lang w:val="en-GB"/>
        </w:rPr>
        <w:t>–</w:t>
      </w:r>
      <w:r w:rsidR="009A3AED" w:rsidRPr="0044150C">
        <w:rPr>
          <w:rFonts w:ascii="Arial" w:eastAsia="Times New Roman" w:hAnsi="Arial" w:cs="Arial"/>
          <w:i/>
          <w:color w:val="000000" w:themeColor="text1"/>
          <w:sz w:val="24"/>
          <w:szCs w:val="24"/>
          <w:lang w:val="en-GB" w:eastAsia="en-US"/>
        </w:rPr>
        <w:t xml:space="preserve"> Carbon Steel (India)</w:t>
      </w:r>
      <w:r w:rsidR="009A3AED" w:rsidRPr="0044150C">
        <w:rPr>
          <w:rFonts w:ascii="Arial" w:eastAsia="Times New Roman" w:hAnsi="Arial" w:cs="Arial"/>
          <w:color w:val="000000" w:themeColor="text1"/>
          <w:sz w:val="24"/>
          <w:szCs w:val="24"/>
          <w:lang w:val="en-GB" w:eastAsia="en-US"/>
        </w:rPr>
        <w:t>, the Appellate Body established the following criteria for assessing the existence of a “public body”:</w:t>
      </w:r>
    </w:p>
    <w:p w14:paraId="14D6E8AF" w14:textId="77777777" w:rsidR="009A3AED" w:rsidRPr="0044150C" w:rsidRDefault="009A3AED" w:rsidP="009A3AED">
      <w:pPr>
        <w:pStyle w:val="a9"/>
        <w:numPr>
          <w:ilvl w:val="0"/>
          <w:numId w:val="3"/>
        </w:numPr>
        <w:autoSpaceDE w:val="0"/>
        <w:autoSpaceDN w:val="0"/>
        <w:adjustRightInd w:val="0"/>
        <w:contextualSpacing w:val="0"/>
        <w:rPr>
          <w:rFonts w:ascii="Arial" w:eastAsia="Times New Roman" w:hAnsi="Arial" w:cs="Arial"/>
          <w:color w:val="000000" w:themeColor="text1"/>
          <w:sz w:val="24"/>
          <w:szCs w:val="24"/>
          <w:lang w:val="en-GB" w:eastAsia="en-US"/>
        </w:rPr>
      </w:pPr>
      <w:r w:rsidRPr="0044150C">
        <w:rPr>
          <w:rFonts w:ascii="Arial" w:eastAsia="Times New Roman" w:hAnsi="Arial" w:cs="Arial"/>
          <w:color w:val="000000" w:themeColor="text1"/>
          <w:sz w:val="24"/>
          <w:szCs w:val="24"/>
          <w:lang w:val="en-GB" w:eastAsia="en-US"/>
        </w:rPr>
        <w:t xml:space="preserve">The substantive legal standard for the demonstration of a “public body” is satisfied by establishing that an </w:t>
      </w:r>
      <w:r w:rsidRPr="0044150C">
        <w:rPr>
          <w:rFonts w:ascii="Arial" w:eastAsia="Times New Roman" w:hAnsi="Arial" w:cs="Arial"/>
          <w:i/>
          <w:iCs/>
          <w:color w:val="000000" w:themeColor="text1"/>
          <w:sz w:val="24"/>
          <w:szCs w:val="24"/>
          <w:lang w:val="en-GB" w:eastAsia="en-US"/>
        </w:rPr>
        <w:t xml:space="preserve">entity </w:t>
      </w:r>
      <w:r w:rsidRPr="0044150C">
        <w:rPr>
          <w:rFonts w:ascii="Arial" w:hAnsi="Arial" w:cs="Arial"/>
          <w:i/>
          <w:iCs/>
          <w:color w:val="000000" w:themeColor="text1"/>
          <w:sz w:val="24"/>
          <w:szCs w:val="24"/>
          <w:lang w:val="en-GB"/>
        </w:rPr>
        <w:t>possesses, exercises or is vested with governmental authority</w:t>
      </w:r>
      <w:r w:rsidRPr="0044150C">
        <w:rPr>
          <w:rFonts w:ascii="Arial" w:hAnsi="Arial" w:cs="Arial"/>
          <w:color w:val="000000" w:themeColor="text1"/>
          <w:sz w:val="24"/>
          <w:szCs w:val="24"/>
          <w:lang w:val="en-GB"/>
        </w:rPr>
        <w:t>. This standard is met only if one of these characteristics exist as regards the public body in question;</w:t>
      </w:r>
    </w:p>
    <w:p w14:paraId="13A92B2A" w14:textId="77777777" w:rsidR="009A3AED" w:rsidRPr="0044150C" w:rsidRDefault="009A3AED" w:rsidP="009A3AED">
      <w:pPr>
        <w:pStyle w:val="a9"/>
        <w:numPr>
          <w:ilvl w:val="0"/>
          <w:numId w:val="3"/>
        </w:numPr>
        <w:autoSpaceDE w:val="0"/>
        <w:autoSpaceDN w:val="0"/>
        <w:adjustRightInd w:val="0"/>
        <w:contextualSpacing w:val="0"/>
        <w:rPr>
          <w:rFonts w:ascii="Arial" w:eastAsia="Times New Roman" w:hAnsi="Arial" w:cs="Arial"/>
          <w:sz w:val="24"/>
          <w:szCs w:val="24"/>
          <w:lang w:val="en-GB" w:eastAsia="en-US"/>
        </w:rPr>
      </w:pPr>
      <w:r w:rsidRPr="0044150C">
        <w:rPr>
          <w:rFonts w:ascii="Arial" w:eastAsia="Times New Roman" w:hAnsi="Arial" w:cs="Arial"/>
          <w:sz w:val="24"/>
          <w:szCs w:val="24"/>
          <w:lang w:val="en-GB" w:eastAsia="en-US"/>
        </w:rPr>
        <w:t xml:space="preserve">An evidentiary standard further applies to establish the substantive legal standard and the evidentiary standard cannot be met by mere statements; </w:t>
      </w:r>
    </w:p>
    <w:p w14:paraId="5BE99677" w14:textId="77777777" w:rsidR="009A3AED" w:rsidRPr="0044150C" w:rsidRDefault="009A3AED" w:rsidP="009A3AED">
      <w:pPr>
        <w:pStyle w:val="a9"/>
        <w:numPr>
          <w:ilvl w:val="0"/>
          <w:numId w:val="3"/>
        </w:numPr>
        <w:autoSpaceDE w:val="0"/>
        <w:autoSpaceDN w:val="0"/>
        <w:adjustRightInd w:val="0"/>
        <w:contextualSpacing w:val="0"/>
        <w:rPr>
          <w:rFonts w:ascii="Arial" w:eastAsia="Times New Roman" w:hAnsi="Arial" w:cs="Arial"/>
          <w:sz w:val="24"/>
          <w:szCs w:val="24"/>
          <w:lang w:val="en-GB" w:eastAsia="en-US"/>
        </w:rPr>
      </w:pPr>
      <w:r w:rsidRPr="0044150C">
        <w:rPr>
          <w:rFonts w:ascii="Arial" w:eastAsia="Times New Roman" w:hAnsi="Arial" w:cs="Arial"/>
          <w:sz w:val="24"/>
          <w:szCs w:val="24"/>
          <w:lang w:val="en-GB" w:eastAsia="en-US"/>
        </w:rPr>
        <w:t>In addition to government ownership, meaningful control over an entity by a government does not make an entity a public body. The Appellate Body noted that the Indian government’s</w:t>
      </w:r>
      <w:r w:rsidRPr="0044150C">
        <w:rPr>
          <w:rFonts w:ascii="Arial" w:hAnsi="Arial" w:cs="Arial"/>
          <w:sz w:val="24"/>
          <w:szCs w:val="24"/>
          <w:lang w:val="en-GB"/>
        </w:rPr>
        <w:t xml:space="preserve"> ability to control the </w:t>
      </w:r>
      <w:r w:rsidRPr="0044150C">
        <w:rPr>
          <w:rFonts w:ascii="Arial" w:hAnsi="Arial" w:cs="Arial"/>
          <w:iCs/>
          <w:sz w:val="24"/>
          <w:szCs w:val="24"/>
          <w:lang w:val="en-GB"/>
        </w:rPr>
        <w:t xml:space="preserve">National Mining Development Corporation [“NMDC”] </w:t>
      </w:r>
      <w:r w:rsidRPr="0044150C">
        <w:rPr>
          <w:rFonts w:ascii="Arial" w:hAnsi="Arial" w:cs="Arial"/>
          <w:sz w:val="24"/>
          <w:szCs w:val="24"/>
          <w:lang w:val="en-GB"/>
        </w:rPr>
        <w:t>on account of shareholding and the fact that NMDC was under the administrative control of the Indian government was not determinative of whether NMDC constituted a public body;</w:t>
      </w:r>
    </w:p>
    <w:p w14:paraId="2B3E3384" w14:textId="77777777" w:rsidR="009A3AED" w:rsidRPr="0044150C" w:rsidRDefault="009A3AED" w:rsidP="009A3AED">
      <w:pPr>
        <w:pStyle w:val="a9"/>
        <w:numPr>
          <w:ilvl w:val="0"/>
          <w:numId w:val="3"/>
        </w:numPr>
        <w:autoSpaceDE w:val="0"/>
        <w:autoSpaceDN w:val="0"/>
        <w:adjustRightInd w:val="0"/>
        <w:contextualSpacing w:val="0"/>
        <w:rPr>
          <w:rFonts w:ascii="Arial" w:eastAsia="Times New Roman" w:hAnsi="Arial" w:cs="Arial"/>
          <w:sz w:val="24"/>
          <w:szCs w:val="24"/>
          <w:lang w:val="en-GB" w:eastAsia="en-US"/>
        </w:rPr>
      </w:pPr>
      <w:r w:rsidRPr="0044150C">
        <w:rPr>
          <w:rFonts w:ascii="Arial" w:hAnsi="Arial" w:cs="Arial"/>
          <w:sz w:val="24"/>
          <w:szCs w:val="24"/>
          <w:lang w:val="en-GB"/>
        </w:rPr>
        <w:lastRenderedPageBreak/>
        <w:t>Whether the conduct of an entity is that of a public body must in each case be determined on its own merits, with due regard to the core characteristics and functions of the relevant entity, its relationship with the government, and the legal and economic environment prevailing in the country in which the investigated entity operates.</w:t>
      </w:r>
    </w:p>
    <w:p w14:paraId="0C4B1218" w14:textId="77777777" w:rsidR="009A3AED" w:rsidRPr="0044150C" w:rsidRDefault="009A3AED" w:rsidP="009A3AED">
      <w:pPr>
        <w:autoSpaceDE w:val="0"/>
        <w:autoSpaceDN w:val="0"/>
        <w:adjustRightInd w:val="0"/>
        <w:ind w:left="720"/>
        <w:rPr>
          <w:rFonts w:ascii="Arial" w:eastAsia="Times New Roman" w:hAnsi="Arial" w:cs="Arial"/>
          <w:sz w:val="24"/>
          <w:szCs w:val="24"/>
          <w:lang w:val="en-GB" w:eastAsia="en-US"/>
        </w:rPr>
      </w:pPr>
    </w:p>
    <w:p w14:paraId="3701CC9B" w14:textId="77777777" w:rsidR="009A3AED" w:rsidRPr="0044150C" w:rsidRDefault="009A3AED" w:rsidP="00AF121C">
      <w:pPr>
        <w:pStyle w:val="a9"/>
        <w:numPr>
          <w:ilvl w:val="0"/>
          <w:numId w:val="1"/>
        </w:numPr>
        <w:autoSpaceDE w:val="0"/>
        <w:autoSpaceDN w:val="0"/>
        <w:adjustRightInd w:val="0"/>
        <w:ind w:hanging="644"/>
        <w:contextualSpacing w:val="0"/>
        <w:rPr>
          <w:rFonts w:ascii="Arial" w:eastAsia="Times New Roman" w:hAnsi="Arial" w:cs="Arial"/>
          <w:sz w:val="24"/>
          <w:szCs w:val="24"/>
          <w:lang w:val="en-GB" w:eastAsia="en-US"/>
        </w:rPr>
      </w:pPr>
      <w:r w:rsidRPr="0044150C">
        <w:rPr>
          <w:rFonts w:ascii="Arial" w:eastAsia="Times New Roman" w:hAnsi="Arial" w:cs="Arial"/>
          <w:sz w:val="24"/>
          <w:szCs w:val="24"/>
          <w:lang w:val="en-GB" w:eastAsia="en-US"/>
        </w:rPr>
        <w:t xml:space="preserve">The Appellate Body in </w:t>
      </w:r>
      <w:r w:rsidRPr="0044150C">
        <w:rPr>
          <w:rFonts w:ascii="Arial" w:eastAsia="Times New Roman" w:hAnsi="Arial" w:cs="Arial"/>
          <w:i/>
          <w:sz w:val="24"/>
          <w:szCs w:val="24"/>
          <w:lang w:val="en-GB" w:eastAsia="en-US"/>
        </w:rPr>
        <w:t xml:space="preserve">US </w:t>
      </w:r>
      <w:r w:rsidRPr="0044150C">
        <w:rPr>
          <w:rFonts w:ascii="Arial" w:hAnsi="Arial" w:cs="Arial"/>
          <w:i/>
          <w:sz w:val="24"/>
          <w:szCs w:val="24"/>
          <w:lang w:val="en-GB"/>
        </w:rPr>
        <w:t>–</w:t>
      </w:r>
      <w:r w:rsidRPr="0044150C">
        <w:rPr>
          <w:rFonts w:ascii="Arial" w:eastAsia="Times New Roman" w:hAnsi="Arial" w:cs="Arial"/>
          <w:i/>
          <w:sz w:val="24"/>
          <w:szCs w:val="24"/>
          <w:lang w:val="en-GB" w:eastAsia="en-US"/>
        </w:rPr>
        <w:t xml:space="preserve"> Carbon Steel (India)</w:t>
      </w:r>
      <w:r w:rsidRPr="0044150C">
        <w:rPr>
          <w:rFonts w:ascii="Arial" w:eastAsia="Times New Roman" w:hAnsi="Arial" w:cs="Arial"/>
          <w:sz w:val="24"/>
          <w:szCs w:val="24"/>
          <w:lang w:val="en-GB" w:eastAsia="en-US"/>
        </w:rPr>
        <w:t xml:space="preserve"> explained the above points as follows:</w:t>
      </w:r>
    </w:p>
    <w:p w14:paraId="459F6E36" w14:textId="77777777" w:rsidR="00576E14" w:rsidRPr="0044150C" w:rsidRDefault="009A3AED" w:rsidP="00576E14">
      <w:pPr>
        <w:ind w:left="1482" w:right="95"/>
        <w:rPr>
          <w:rFonts w:ascii="Arial" w:hAnsi="Arial" w:cs="Arial"/>
          <w:i/>
          <w:sz w:val="24"/>
          <w:szCs w:val="24"/>
        </w:rPr>
      </w:pPr>
      <w:r w:rsidRPr="0044150C">
        <w:rPr>
          <w:rFonts w:ascii="Arial" w:hAnsi="Arial" w:cs="Arial"/>
          <w:i/>
          <w:sz w:val="24"/>
          <w:szCs w:val="24"/>
          <w:lang w:val="en-GB"/>
        </w:rPr>
        <w:t>“</w:t>
      </w:r>
      <w:r w:rsidR="00576E14" w:rsidRPr="0044150C">
        <w:rPr>
          <w:rFonts w:ascii="Arial" w:hAnsi="Arial" w:cs="Arial"/>
          <w:i/>
          <w:sz w:val="24"/>
          <w:szCs w:val="24"/>
        </w:rPr>
        <w:t>4.36.</w:t>
      </w:r>
      <w:r w:rsidR="00576E14" w:rsidRPr="0044150C">
        <w:rPr>
          <w:rFonts w:ascii="Arial" w:hAnsi="Arial" w:cs="Arial"/>
          <w:i/>
          <w:spacing w:val="-11"/>
          <w:sz w:val="24"/>
          <w:szCs w:val="24"/>
        </w:rPr>
        <w:t xml:space="preserve"> </w:t>
      </w:r>
      <w:r w:rsidR="00576E14" w:rsidRPr="0044150C">
        <w:rPr>
          <w:rFonts w:ascii="Arial" w:hAnsi="Arial" w:cs="Arial"/>
          <w:i/>
          <w:spacing w:val="-12"/>
          <w:sz w:val="24"/>
          <w:szCs w:val="24"/>
        </w:rPr>
        <w:t>We</w:t>
      </w:r>
      <w:r w:rsidR="00576E14" w:rsidRPr="0044150C">
        <w:rPr>
          <w:rFonts w:ascii="Arial" w:hAnsi="Arial" w:cs="Arial"/>
          <w:i/>
          <w:spacing w:val="-10"/>
          <w:sz w:val="24"/>
          <w:szCs w:val="24"/>
        </w:rPr>
        <w:t xml:space="preserve"> </w:t>
      </w:r>
      <w:r w:rsidR="00576E14" w:rsidRPr="0044150C">
        <w:rPr>
          <w:rFonts w:ascii="Arial" w:hAnsi="Arial" w:cs="Arial"/>
          <w:i/>
          <w:sz w:val="24"/>
          <w:szCs w:val="24"/>
        </w:rPr>
        <w:t>believe</w:t>
      </w:r>
      <w:r w:rsidR="00576E14" w:rsidRPr="0044150C">
        <w:rPr>
          <w:rFonts w:ascii="Arial" w:hAnsi="Arial" w:cs="Arial"/>
          <w:i/>
          <w:spacing w:val="-11"/>
          <w:sz w:val="24"/>
          <w:szCs w:val="24"/>
        </w:rPr>
        <w:t xml:space="preserve"> </w:t>
      </w:r>
      <w:r w:rsidR="00576E14" w:rsidRPr="0044150C">
        <w:rPr>
          <w:rFonts w:ascii="Arial" w:hAnsi="Arial" w:cs="Arial"/>
          <w:i/>
          <w:sz w:val="24"/>
          <w:szCs w:val="24"/>
        </w:rPr>
        <w:t>that</w:t>
      </w:r>
      <w:r w:rsidR="00576E14" w:rsidRPr="0044150C">
        <w:rPr>
          <w:rFonts w:ascii="Arial" w:hAnsi="Arial" w:cs="Arial"/>
          <w:i/>
          <w:spacing w:val="-10"/>
          <w:sz w:val="24"/>
          <w:szCs w:val="24"/>
        </w:rPr>
        <w:t xml:space="preserve"> </w:t>
      </w:r>
      <w:r w:rsidR="00576E14" w:rsidRPr="0044150C">
        <w:rPr>
          <w:rFonts w:ascii="Arial" w:hAnsi="Arial" w:cs="Arial"/>
          <w:i/>
          <w:sz w:val="24"/>
          <w:szCs w:val="24"/>
        </w:rPr>
        <w:t>the</w:t>
      </w:r>
      <w:r w:rsidR="00576E14" w:rsidRPr="0044150C">
        <w:rPr>
          <w:rFonts w:ascii="Arial" w:hAnsi="Arial" w:cs="Arial"/>
          <w:i/>
          <w:spacing w:val="-8"/>
          <w:sz w:val="24"/>
          <w:szCs w:val="24"/>
        </w:rPr>
        <w:t xml:space="preserve"> </w:t>
      </w:r>
      <w:r w:rsidR="00576E14" w:rsidRPr="0044150C">
        <w:rPr>
          <w:rFonts w:ascii="Arial" w:hAnsi="Arial" w:cs="Arial"/>
          <w:i/>
          <w:sz w:val="24"/>
          <w:szCs w:val="24"/>
        </w:rPr>
        <w:t>Panel,</w:t>
      </w:r>
      <w:r w:rsidR="00576E14" w:rsidRPr="0044150C">
        <w:rPr>
          <w:rFonts w:ascii="Arial" w:hAnsi="Arial" w:cs="Arial"/>
          <w:i/>
          <w:spacing w:val="-11"/>
          <w:sz w:val="24"/>
          <w:szCs w:val="24"/>
        </w:rPr>
        <w:t xml:space="preserve"> </w:t>
      </w:r>
      <w:r w:rsidR="00576E14" w:rsidRPr="0044150C">
        <w:rPr>
          <w:rFonts w:ascii="Arial" w:hAnsi="Arial" w:cs="Arial"/>
          <w:i/>
          <w:sz w:val="24"/>
          <w:szCs w:val="24"/>
        </w:rPr>
        <w:t>in</w:t>
      </w:r>
      <w:r w:rsidR="00576E14" w:rsidRPr="0044150C">
        <w:rPr>
          <w:rFonts w:ascii="Arial" w:hAnsi="Arial" w:cs="Arial"/>
          <w:i/>
          <w:spacing w:val="-10"/>
          <w:sz w:val="24"/>
          <w:szCs w:val="24"/>
        </w:rPr>
        <w:t xml:space="preserve"> </w:t>
      </w:r>
      <w:r w:rsidR="00576E14" w:rsidRPr="0044150C">
        <w:rPr>
          <w:rFonts w:ascii="Arial" w:hAnsi="Arial" w:cs="Arial"/>
          <w:i/>
          <w:sz w:val="24"/>
          <w:szCs w:val="24"/>
        </w:rPr>
        <w:t>grappling</w:t>
      </w:r>
      <w:r w:rsidR="00576E14" w:rsidRPr="0044150C">
        <w:rPr>
          <w:rFonts w:ascii="Arial" w:hAnsi="Arial" w:cs="Arial"/>
          <w:i/>
          <w:spacing w:val="-11"/>
          <w:sz w:val="24"/>
          <w:szCs w:val="24"/>
        </w:rPr>
        <w:t xml:space="preserve"> </w:t>
      </w:r>
      <w:r w:rsidR="00576E14" w:rsidRPr="0044150C">
        <w:rPr>
          <w:rFonts w:ascii="Arial" w:hAnsi="Arial" w:cs="Arial"/>
          <w:i/>
          <w:sz w:val="24"/>
          <w:szCs w:val="24"/>
        </w:rPr>
        <w:t>with</w:t>
      </w:r>
      <w:r w:rsidR="00576E14" w:rsidRPr="0044150C">
        <w:rPr>
          <w:rFonts w:ascii="Arial" w:hAnsi="Arial" w:cs="Arial"/>
          <w:i/>
          <w:spacing w:val="-8"/>
          <w:sz w:val="24"/>
          <w:szCs w:val="24"/>
        </w:rPr>
        <w:t xml:space="preserve"> </w:t>
      </w:r>
      <w:r w:rsidR="00576E14" w:rsidRPr="0044150C">
        <w:rPr>
          <w:rFonts w:ascii="Arial" w:hAnsi="Arial" w:cs="Arial"/>
          <w:i/>
          <w:sz w:val="24"/>
          <w:szCs w:val="24"/>
        </w:rPr>
        <w:t>the</w:t>
      </w:r>
      <w:r w:rsidR="00576E14" w:rsidRPr="0044150C">
        <w:rPr>
          <w:rFonts w:ascii="Arial" w:hAnsi="Arial" w:cs="Arial"/>
          <w:i/>
          <w:spacing w:val="-11"/>
          <w:sz w:val="24"/>
          <w:szCs w:val="24"/>
        </w:rPr>
        <w:t xml:space="preserve"> </w:t>
      </w:r>
      <w:r w:rsidR="00576E14" w:rsidRPr="0044150C">
        <w:rPr>
          <w:rFonts w:ascii="Arial" w:hAnsi="Arial" w:cs="Arial"/>
          <w:i/>
          <w:sz w:val="24"/>
          <w:szCs w:val="24"/>
        </w:rPr>
        <w:t>case-by-case</w:t>
      </w:r>
      <w:r w:rsidR="00576E14" w:rsidRPr="0044150C">
        <w:rPr>
          <w:rFonts w:ascii="Arial" w:hAnsi="Arial" w:cs="Arial"/>
          <w:i/>
          <w:spacing w:val="-12"/>
          <w:sz w:val="24"/>
          <w:szCs w:val="24"/>
        </w:rPr>
        <w:t xml:space="preserve"> </w:t>
      </w:r>
      <w:r w:rsidR="00576E14" w:rsidRPr="0044150C">
        <w:rPr>
          <w:rFonts w:ascii="Arial" w:hAnsi="Arial" w:cs="Arial"/>
          <w:i/>
          <w:sz w:val="24"/>
          <w:szCs w:val="24"/>
        </w:rPr>
        <w:t>nature</w:t>
      </w:r>
      <w:r w:rsidR="00576E14" w:rsidRPr="0044150C">
        <w:rPr>
          <w:rFonts w:ascii="Arial" w:hAnsi="Arial" w:cs="Arial"/>
          <w:i/>
          <w:spacing w:val="-11"/>
          <w:sz w:val="24"/>
          <w:szCs w:val="24"/>
        </w:rPr>
        <w:t xml:space="preserve"> </w:t>
      </w:r>
      <w:r w:rsidR="00576E14" w:rsidRPr="0044150C">
        <w:rPr>
          <w:rFonts w:ascii="Arial" w:hAnsi="Arial" w:cs="Arial"/>
          <w:i/>
          <w:sz w:val="24"/>
          <w:szCs w:val="24"/>
        </w:rPr>
        <w:t>of</w:t>
      </w:r>
      <w:r w:rsidR="00576E14" w:rsidRPr="0044150C">
        <w:rPr>
          <w:rFonts w:ascii="Arial" w:hAnsi="Arial" w:cs="Arial"/>
          <w:i/>
          <w:spacing w:val="-11"/>
          <w:sz w:val="24"/>
          <w:szCs w:val="24"/>
        </w:rPr>
        <w:t xml:space="preserve"> </w:t>
      </w:r>
      <w:r w:rsidR="00576E14" w:rsidRPr="0044150C">
        <w:rPr>
          <w:rFonts w:ascii="Arial" w:hAnsi="Arial" w:cs="Arial"/>
          <w:i/>
          <w:sz w:val="24"/>
          <w:szCs w:val="24"/>
        </w:rPr>
        <w:t>public</w:t>
      </w:r>
      <w:r w:rsidR="00576E14" w:rsidRPr="0044150C">
        <w:rPr>
          <w:rFonts w:ascii="Arial" w:hAnsi="Arial" w:cs="Arial"/>
          <w:i/>
          <w:spacing w:val="-11"/>
          <w:sz w:val="24"/>
          <w:szCs w:val="24"/>
        </w:rPr>
        <w:t xml:space="preserve"> </w:t>
      </w:r>
      <w:r w:rsidR="00576E14" w:rsidRPr="0044150C">
        <w:rPr>
          <w:rFonts w:ascii="Arial" w:hAnsi="Arial" w:cs="Arial"/>
          <w:i/>
          <w:sz w:val="24"/>
          <w:szCs w:val="24"/>
        </w:rPr>
        <w:t xml:space="preserve">body determinations, </w:t>
      </w:r>
      <w:r w:rsidR="00576E14" w:rsidRPr="0044150C">
        <w:rPr>
          <w:rFonts w:ascii="Arial" w:hAnsi="Arial" w:cs="Arial"/>
          <w:i/>
          <w:sz w:val="24"/>
          <w:szCs w:val="24"/>
          <w:u w:val="single"/>
        </w:rPr>
        <w:t>correctly articulated the appropriate standard when it observed that</w:t>
      </w:r>
      <w:r w:rsidR="00576E14" w:rsidRPr="0044150C">
        <w:rPr>
          <w:rFonts w:ascii="Arial" w:hAnsi="Arial" w:cs="Arial"/>
          <w:i/>
          <w:sz w:val="24"/>
          <w:szCs w:val="24"/>
        </w:rPr>
        <w:t xml:space="preserve"> </w:t>
      </w:r>
      <w:r w:rsidR="00576E14" w:rsidRPr="0044150C">
        <w:rPr>
          <w:rFonts w:ascii="Arial" w:hAnsi="Arial" w:cs="Arial"/>
          <w:i/>
          <w:sz w:val="24"/>
          <w:szCs w:val="24"/>
          <w:u w:val="single"/>
        </w:rPr>
        <w:t>“evidence</w:t>
      </w:r>
      <w:r w:rsidR="00576E14" w:rsidRPr="0044150C">
        <w:rPr>
          <w:rFonts w:ascii="Arial" w:hAnsi="Arial" w:cs="Arial"/>
          <w:i/>
          <w:spacing w:val="-6"/>
          <w:sz w:val="24"/>
          <w:szCs w:val="24"/>
          <w:u w:val="single"/>
        </w:rPr>
        <w:t xml:space="preserve"> </w:t>
      </w:r>
      <w:r w:rsidR="00576E14" w:rsidRPr="0044150C">
        <w:rPr>
          <w:rFonts w:ascii="Arial" w:hAnsi="Arial" w:cs="Arial"/>
          <w:i/>
          <w:sz w:val="24"/>
          <w:szCs w:val="24"/>
          <w:u w:val="single"/>
        </w:rPr>
        <w:t>that</w:t>
      </w:r>
      <w:r w:rsidR="00576E14" w:rsidRPr="0044150C">
        <w:rPr>
          <w:rFonts w:ascii="Arial" w:hAnsi="Arial" w:cs="Arial"/>
          <w:i/>
          <w:spacing w:val="-7"/>
          <w:sz w:val="24"/>
          <w:szCs w:val="24"/>
          <w:u w:val="single"/>
        </w:rPr>
        <w:t xml:space="preserve"> </w:t>
      </w:r>
      <w:r w:rsidR="00576E14" w:rsidRPr="0044150C">
        <w:rPr>
          <w:rFonts w:ascii="Arial" w:hAnsi="Arial" w:cs="Arial"/>
          <w:i/>
          <w:sz w:val="24"/>
          <w:szCs w:val="24"/>
          <w:u w:val="single"/>
        </w:rPr>
        <w:t>a</w:t>
      </w:r>
      <w:r w:rsidR="00576E14" w:rsidRPr="0044150C">
        <w:rPr>
          <w:rFonts w:ascii="Arial" w:hAnsi="Arial" w:cs="Arial"/>
          <w:i/>
          <w:spacing w:val="-6"/>
          <w:sz w:val="24"/>
          <w:szCs w:val="24"/>
          <w:u w:val="single"/>
        </w:rPr>
        <w:t xml:space="preserve"> </w:t>
      </w:r>
      <w:r w:rsidR="00576E14" w:rsidRPr="0044150C">
        <w:rPr>
          <w:rFonts w:ascii="Arial" w:hAnsi="Arial" w:cs="Arial"/>
          <w:i/>
          <w:sz w:val="24"/>
          <w:szCs w:val="24"/>
          <w:u w:val="single"/>
        </w:rPr>
        <w:t>government</w:t>
      </w:r>
      <w:r w:rsidR="00576E14" w:rsidRPr="0044150C">
        <w:rPr>
          <w:rFonts w:ascii="Arial" w:hAnsi="Arial" w:cs="Arial"/>
          <w:i/>
          <w:spacing w:val="-5"/>
          <w:sz w:val="24"/>
          <w:szCs w:val="24"/>
          <w:u w:val="single"/>
        </w:rPr>
        <w:t xml:space="preserve"> </w:t>
      </w:r>
      <w:r w:rsidR="00576E14" w:rsidRPr="0044150C">
        <w:rPr>
          <w:rFonts w:ascii="Arial" w:hAnsi="Arial" w:cs="Arial"/>
          <w:i/>
          <w:sz w:val="24"/>
          <w:szCs w:val="24"/>
          <w:u w:val="single"/>
        </w:rPr>
        <w:t>exercises</w:t>
      </w:r>
      <w:r w:rsidR="00576E14" w:rsidRPr="0044150C">
        <w:rPr>
          <w:rFonts w:ascii="Arial" w:hAnsi="Arial" w:cs="Arial"/>
          <w:i/>
          <w:spacing w:val="-5"/>
          <w:sz w:val="24"/>
          <w:szCs w:val="24"/>
          <w:u w:val="single"/>
        </w:rPr>
        <w:t xml:space="preserve"> </w:t>
      </w:r>
      <w:r w:rsidR="00576E14" w:rsidRPr="0044150C">
        <w:rPr>
          <w:rFonts w:ascii="Arial" w:hAnsi="Arial" w:cs="Arial"/>
          <w:i/>
          <w:sz w:val="24"/>
          <w:szCs w:val="24"/>
          <w:u w:val="single"/>
        </w:rPr>
        <w:t>meaningful</w:t>
      </w:r>
      <w:r w:rsidR="00576E14" w:rsidRPr="0044150C">
        <w:rPr>
          <w:rFonts w:ascii="Arial" w:hAnsi="Arial" w:cs="Arial"/>
          <w:i/>
          <w:spacing w:val="-7"/>
          <w:sz w:val="24"/>
          <w:szCs w:val="24"/>
          <w:u w:val="single"/>
        </w:rPr>
        <w:t xml:space="preserve"> </w:t>
      </w:r>
      <w:r w:rsidR="00576E14" w:rsidRPr="0044150C">
        <w:rPr>
          <w:rFonts w:ascii="Arial" w:hAnsi="Arial" w:cs="Arial"/>
          <w:i/>
          <w:sz w:val="24"/>
          <w:szCs w:val="24"/>
          <w:u w:val="single"/>
        </w:rPr>
        <w:t>control</w:t>
      </w:r>
      <w:r w:rsidR="00576E14" w:rsidRPr="0044150C">
        <w:rPr>
          <w:rFonts w:ascii="Arial" w:hAnsi="Arial" w:cs="Arial"/>
          <w:i/>
          <w:spacing w:val="-6"/>
          <w:sz w:val="24"/>
          <w:szCs w:val="24"/>
          <w:u w:val="single"/>
        </w:rPr>
        <w:t xml:space="preserve"> </w:t>
      </w:r>
      <w:r w:rsidR="00576E14" w:rsidRPr="0044150C">
        <w:rPr>
          <w:rFonts w:ascii="Arial" w:hAnsi="Arial" w:cs="Arial"/>
          <w:i/>
          <w:sz w:val="24"/>
          <w:szCs w:val="24"/>
          <w:u w:val="single"/>
        </w:rPr>
        <w:t>over</w:t>
      </w:r>
      <w:r w:rsidR="00576E14" w:rsidRPr="0044150C">
        <w:rPr>
          <w:rFonts w:ascii="Arial" w:hAnsi="Arial" w:cs="Arial"/>
          <w:i/>
          <w:spacing w:val="-7"/>
          <w:sz w:val="24"/>
          <w:szCs w:val="24"/>
          <w:u w:val="single"/>
        </w:rPr>
        <w:t xml:space="preserve"> </w:t>
      </w:r>
      <w:r w:rsidR="00576E14" w:rsidRPr="0044150C">
        <w:rPr>
          <w:rFonts w:ascii="Arial" w:hAnsi="Arial" w:cs="Arial"/>
          <w:i/>
          <w:sz w:val="24"/>
          <w:szCs w:val="24"/>
          <w:u w:val="single"/>
        </w:rPr>
        <w:t>an</w:t>
      </w:r>
      <w:r w:rsidR="00576E14" w:rsidRPr="0044150C">
        <w:rPr>
          <w:rFonts w:ascii="Arial" w:hAnsi="Arial" w:cs="Arial"/>
          <w:i/>
          <w:spacing w:val="-5"/>
          <w:sz w:val="24"/>
          <w:szCs w:val="24"/>
          <w:u w:val="single"/>
        </w:rPr>
        <w:t xml:space="preserve"> </w:t>
      </w:r>
      <w:r w:rsidR="00576E14" w:rsidRPr="0044150C">
        <w:rPr>
          <w:rFonts w:ascii="Arial" w:hAnsi="Arial" w:cs="Arial"/>
          <w:i/>
          <w:sz w:val="24"/>
          <w:szCs w:val="24"/>
          <w:u w:val="single"/>
        </w:rPr>
        <w:t>entity</w:t>
      </w:r>
      <w:r w:rsidR="00576E14" w:rsidRPr="0044150C">
        <w:rPr>
          <w:rFonts w:ascii="Arial" w:hAnsi="Arial" w:cs="Arial"/>
          <w:i/>
          <w:spacing w:val="-4"/>
          <w:sz w:val="24"/>
          <w:szCs w:val="24"/>
          <w:u w:val="single"/>
        </w:rPr>
        <w:t xml:space="preserve"> </w:t>
      </w:r>
      <w:r w:rsidR="00576E14" w:rsidRPr="0044150C">
        <w:rPr>
          <w:rFonts w:ascii="Arial" w:hAnsi="Arial" w:cs="Arial"/>
          <w:i/>
          <w:sz w:val="24"/>
          <w:szCs w:val="24"/>
          <w:u w:val="single"/>
        </w:rPr>
        <w:t>and</w:t>
      </w:r>
      <w:r w:rsidR="00576E14" w:rsidRPr="0044150C">
        <w:rPr>
          <w:rFonts w:ascii="Arial" w:hAnsi="Arial" w:cs="Arial"/>
          <w:i/>
          <w:spacing w:val="-7"/>
          <w:sz w:val="24"/>
          <w:szCs w:val="24"/>
          <w:u w:val="single"/>
        </w:rPr>
        <w:t xml:space="preserve"> </w:t>
      </w:r>
      <w:r w:rsidR="00576E14" w:rsidRPr="0044150C">
        <w:rPr>
          <w:rFonts w:ascii="Arial" w:hAnsi="Arial" w:cs="Arial"/>
          <w:i/>
          <w:sz w:val="24"/>
          <w:szCs w:val="24"/>
          <w:u w:val="single"/>
        </w:rPr>
        <w:t>its</w:t>
      </w:r>
      <w:r w:rsidR="00576E14" w:rsidRPr="0044150C">
        <w:rPr>
          <w:rFonts w:ascii="Arial" w:hAnsi="Arial" w:cs="Arial"/>
          <w:i/>
          <w:spacing w:val="-5"/>
          <w:sz w:val="24"/>
          <w:szCs w:val="24"/>
          <w:u w:val="single"/>
        </w:rPr>
        <w:t xml:space="preserve"> </w:t>
      </w:r>
      <w:r w:rsidR="00576E14" w:rsidRPr="0044150C">
        <w:rPr>
          <w:rFonts w:ascii="Arial" w:hAnsi="Arial" w:cs="Arial"/>
          <w:i/>
          <w:sz w:val="24"/>
          <w:szCs w:val="24"/>
          <w:u w:val="single"/>
        </w:rPr>
        <w:t>conduct</w:t>
      </w:r>
      <w:r w:rsidR="00576E14" w:rsidRPr="0044150C">
        <w:rPr>
          <w:rFonts w:ascii="Arial" w:hAnsi="Arial" w:cs="Arial"/>
          <w:i/>
          <w:sz w:val="24"/>
          <w:szCs w:val="24"/>
        </w:rPr>
        <w:t xml:space="preserve"> </w:t>
      </w:r>
      <w:r w:rsidR="00576E14" w:rsidRPr="0044150C">
        <w:rPr>
          <w:rFonts w:ascii="Arial" w:hAnsi="Arial" w:cs="Arial"/>
          <w:i/>
          <w:sz w:val="24"/>
          <w:szCs w:val="24"/>
          <w:u w:val="single"/>
        </w:rPr>
        <w:t>may serve, in certain circumstances, as evidence that the relevant entity possesses</w:t>
      </w:r>
      <w:r w:rsidR="00576E14" w:rsidRPr="0044150C">
        <w:rPr>
          <w:rFonts w:ascii="Arial" w:hAnsi="Arial" w:cs="Arial"/>
          <w:i/>
          <w:sz w:val="24"/>
          <w:szCs w:val="24"/>
        </w:rPr>
        <w:t xml:space="preserve"> </w:t>
      </w:r>
      <w:r w:rsidR="00576E14" w:rsidRPr="0044150C">
        <w:rPr>
          <w:rFonts w:ascii="Arial" w:hAnsi="Arial" w:cs="Arial"/>
          <w:i/>
          <w:sz w:val="24"/>
          <w:szCs w:val="24"/>
          <w:u w:val="single"/>
        </w:rPr>
        <w:t>governmental</w:t>
      </w:r>
      <w:r w:rsidR="00576E14" w:rsidRPr="0044150C">
        <w:rPr>
          <w:rFonts w:ascii="Arial" w:hAnsi="Arial" w:cs="Arial"/>
          <w:i/>
          <w:spacing w:val="-9"/>
          <w:sz w:val="24"/>
          <w:szCs w:val="24"/>
          <w:u w:val="single"/>
        </w:rPr>
        <w:t xml:space="preserve"> </w:t>
      </w:r>
      <w:r w:rsidR="00576E14" w:rsidRPr="0044150C">
        <w:rPr>
          <w:rFonts w:ascii="Arial" w:hAnsi="Arial" w:cs="Arial"/>
          <w:i/>
          <w:sz w:val="24"/>
          <w:szCs w:val="24"/>
          <w:u w:val="single"/>
        </w:rPr>
        <w:t>authority</w:t>
      </w:r>
      <w:r w:rsidR="00576E14" w:rsidRPr="0044150C">
        <w:rPr>
          <w:rFonts w:ascii="Arial" w:hAnsi="Arial" w:cs="Arial"/>
          <w:i/>
          <w:spacing w:val="-10"/>
          <w:sz w:val="24"/>
          <w:szCs w:val="24"/>
          <w:u w:val="single"/>
        </w:rPr>
        <w:t xml:space="preserve"> </w:t>
      </w:r>
      <w:r w:rsidR="00576E14" w:rsidRPr="0044150C">
        <w:rPr>
          <w:rFonts w:ascii="Arial" w:hAnsi="Arial" w:cs="Arial"/>
          <w:i/>
          <w:sz w:val="24"/>
          <w:szCs w:val="24"/>
          <w:u w:val="single"/>
        </w:rPr>
        <w:t>and</w:t>
      </w:r>
      <w:r w:rsidR="00576E14" w:rsidRPr="0044150C">
        <w:rPr>
          <w:rFonts w:ascii="Arial" w:hAnsi="Arial" w:cs="Arial"/>
          <w:i/>
          <w:spacing w:val="-8"/>
          <w:sz w:val="24"/>
          <w:szCs w:val="24"/>
          <w:u w:val="single"/>
        </w:rPr>
        <w:t xml:space="preserve"> </w:t>
      </w:r>
      <w:r w:rsidR="00576E14" w:rsidRPr="0044150C">
        <w:rPr>
          <w:rFonts w:ascii="Arial" w:hAnsi="Arial" w:cs="Arial"/>
          <w:i/>
          <w:sz w:val="24"/>
          <w:szCs w:val="24"/>
          <w:u w:val="single"/>
        </w:rPr>
        <w:t>exercises</w:t>
      </w:r>
      <w:r w:rsidR="00576E14" w:rsidRPr="0044150C">
        <w:rPr>
          <w:rFonts w:ascii="Arial" w:hAnsi="Arial" w:cs="Arial"/>
          <w:i/>
          <w:spacing w:val="-9"/>
          <w:sz w:val="24"/>
          <w:szCs w:val="24"/>
          <w:u w:val="single"/>
        </w:rPr>
        <w:t xml:space="preserve"> </w:t>
      </w:r>
      <w:r w:rsidR="00576E14" w:rsidRPr="0044150C">
        <w:rPr>
          <w:rFonts w:ascii="Arial" w:hAnsi="Arial" w:cs="Arial"/>
          <w:i/>
          <w:sz w:val="24"/>
          <w:szCs w:val="24"/>
          <w:u w:val="single"/>
        </w:rPr>
        <w:t>such</w:t>
      </w:r>
      <w:r w:rsidR="00576E14" w:rsidRPr="0044150C">
        <w:rPr>
          <w:rFonts w:ascii="Arial" w:hAnsi="Arial" w:cs="Arial"/>
          <w:i/>
          <w:spacing w:val="-9"/>
          <w:sz w:val="24"/>
          <w:szCs w:val="24"/>
          <w:u w:val="single"/>
        </w:rPr>
        <w:t xml:space="preserve"> </w:t>
      </w:r>
      <w:r w:rsidR="00576E14" w:rsidRPr="0044150C">
        <w:rPr>
          <w:rFonts w:ascii="Arial" w:hAnsi="Arial" w:cs="Arial"/>
          <w:i/>
          <w:sz w:val="24"/>
          <w:szCs w:val="24"/>
          <w:u w:val="single"/>
        </w:rPr>
        <w:t>authority</w:t>
      </w:r>
      <w:r w:rsidR="00576E14" w:rsidRPr="0044150C">
        <w:rPr>
          <w:rFonts w:ascii="Arial" w:hAnsi="Arial" w:cs="Arial"/>
          <w:i/>
          <w:spacing w:val="-9"/>
          <w:sz w:val="24"/>
          <w:szCs w:val="24"/>
          <w:u w:val="single"/>
        </w:rPr>
        <w:t xml:space="preserve"> </w:t>
      </w:r>
      <w:r w:rsidR="00576E14" w:rsidRPr="0044150C">
        <w:rPr>
          <w:rFonts w:ascii="Arial" w:hAnsi="Arial" w:cs="Arial"/>
          <w:i/>
          <w:sz w:val="24"/>
          <w:szCs w:val="24"/>
          <w:u w:val="single"/>
        </w:rPr>
        <w:t>in</w:t>
      </w:r>
      <w:r w:rsidR="00576E14" w:rsidRPr="0044150C">
        <w:rPr>
          <w:rFonts w:ascii="Arial" w:hAnsi="Arial" w:cs="Arial"/>
          <w:i/>
          <w:spacing w:val="-9"/>
          <w:sz w:val="24"/>
          <w:szCs w:val="24"/>
          <w:u w:val="single"/>
        </w:rPr>
        <w:t xml:space="preserve"> </w:t>
      </w:r>
      <w:r w:rsidR="00576E14" w:rsidRPr="0044150C">
        <w:rPr>
          <w:rFonts w:ascii="Arial" w:hAnsi="Arial" w:cs="Arial"/>
          <w:i/>
          <w:sz w:val="24"/>
          <w:szCs w:val="24"/>
          <w:u w:val="single"/>
        </w:rPr>
        <w:t>the</w:t>
      </w:r>
      <w:r w:rsidR="00576E14" w:rsidRPr="0044150C">
        <w:rPr>
          <w:rFonts w:ascii="Arial" w:hAnsi="Arial" w:cs="Arial"/>
          <w:i/>
          <w:spacing w:val="-10"/>
          <w:sz w:val="24"/>
          <w:szCs w:val="24"/>
          <w:u w:val="single"/>
        </w:rPr>
        <w:t xml:space="preserve"> </w:t>
      </w:r>
      <w:r w:rsidR="00576E14" w:rsidRPr="0044150C">
        <w:rPr>
          <w:rFonts w:ascii="Arial" w:hAnsi="Arial" w:cs="Arial"/>
          <w:i/>
          <w:sz w:val="24"/>
          <w:szCs w:val="24"/>
          <w:u w:val="single"/>
        </w:rPr>
        <w:t>performance</w:t>
      </w:r>
      <w:r w:rsidR="00576E14" w:rsidRPr="0044150C">
        <w:rPr>
          <w:rFonts w:ascii="Arial" w:hAnsi="Arial" w:cs="Arial"/>
          <w:i/>
          <w:spacing w:val="-9"/>
          <w:sz w:val="24"/>
          <w:szCs w:val="24"/>
          <w:u w:val="single"/>
        </w:rPr>
        <w:t xml:space="preserve"> </w:t>
      </w:r>
      <w:r w:rsidR="00576E14" w:rsidRPr="0044150C">
        <w:rPr>
          <w:rFonts w:ascii="Arial" w:hAnsi="Arial" w:cs="Arial"/>
          <w:i/>
          <w:sz w:val="24"/>
          <w:szCs w:val="24"/>
          <w:u w:val="single"/>
        </w:rPr>
        <w:t>of</w:t>
      </w:r>
      <w:r w:rsidR="00576E14" w:rsidRPr="0044150C">
        <w:rPr>
          <w:rFonts w:ascii="Arial" w:hAnsi="Arial" w:cs="Arial"/>
          <w:i/>
          <w:spacing w:val="-11"/>
          <w:sz w:val="24"/>
          <w:szCs w:val="24"/>
          <w:u w:val="single"/>
        </w:rPr>
        <w:t xml:space="preserve"> </w:t>
      </w:r>
      <w:r w:rsidR="00576E14" w:rsidRPr="0044150C">
        <w:rPr>
          <w:rFonts w:ascii="Arial" w:hAnsi="Arial" w:cs="Arial"/>
          <w:i/>
          <w:sz w:val="24"/>
          <w:szCs w:val="24"/>
          <w:u w:val="single"/>
        </w:rPr>
        <w:t>governmental</w:t>
      </w:r>
      <w:r w:rsidR="00576E14" w:rsidRPr="0044150C">
        <w:rPr>
          <w:rFonts w:ascii="Arial" w:hAnsi="Arial" w:cs="Arial"/>
          <w:i/>
          <w:sz w:val="24"/>
          <w:szCs w:val="24"/>
        </w:rPr>
        <w:t xml:space="preserve"> </w:t>
      </w:r>
      <w:r w:rsidR="00576E14" w:rsidRPr="0044150C">
        <w:rPr>
          <w:rFonts w:ascii="Arial" w:hAnsi="Arial" w:cs="Arial"/>
          <w:i/>
          <w:sz w:val="24"/>
          <w:szCs w:val="24"/>
          <w:u w:val="single"/>
        </w:rPr>
        <w:t xml:space="preserve">functions.” </w:t>
      </w:r>
      <w:r w:rsidR="00576E14" w:rsidRPr="0044150C">
        <w:rPr>
          <w:rFonts w:ascii="Arial" w:hAnsi="Arial" w:cs="Arial"/>
          <w:i/>
          <w:spacing w:val="-5"/>
          <w:sz w:val="24"/>
          <w:szCs w:val="24"/>
          <w:u w:val="single"/>
        </w:rPr>
        <w:t xml:space="preserve">However, </w:t>
      </w:r>
      <w:r w:rsidR="00576E14" w:rsidRPr="0044150C">
        <w:rPr>
          <w:rFonts w:ascii="Arial" w:hAnsi="Arial" w:cs="Arial"/>
          <w:i/>
          <w:sz w:val="24"/>
          <w:szCs w:val="24"/>
          <w:u w:val="single"/>
        </w:rPr>
        <w:t xml:space="preserve">the Panel </w:t>
      </w:r>
      <w:r w:rsidR="00576E14" w:rsidRPr="0044150C">
        <w:rPr>
          <w:rFonts w:ascii="Arial" w:hAnsi="Arial" w:cs="Arial"/>
          <w:i/>
          <w:spacing w:val="-3"/>
          <w:sz w:val="24"/>
          <w:szCs w:val="24"/>
          <w:u w:val="single"/>
        </w:rPr>
        <w:t xml:space="preserve">erred </w:t>
      </w:r>
      <w:r w:rsidR="00576E14" w:rsidRPr="0044150C">
        <w:rPr>
          <w:rFonts w:ascii="Arial" w:hAnsi="Arial" w:cs="Arial"/>
          <w:i/>
          <w:sz w:val="24"/>
          <w:szCs w:val="24"/>
          <w:u w:val="single"/>
        </w:rPr>
        <w:t>in its substantive interpretation of Article 1.1(a)(1)</w:t>
      </w:r>
      <w:r w:rsidR="00576E14" w:rsidRPr="0044150C">
        <w:rPr>
          <w:rFonts w:ascii="Arial" w:hAnsi="Arial" w:cs="Arial"/>
          <w:i/>
          <w:sz w:val="24"/>
          <w:szCs w:val="24"/>
        </w:rPr>
        <w:t xml:space="preserve"> </w:t>
      </w:r>
      <w:r w:rsidR="00576E14" w:rsidRPr="0044150C">
        <w:rPr>
          <w:rFonts w:ascii="Arial" w:hAnsi="Arial" w:cs="Arial"/>
          <w:i/>
          <w:sz w:val="24"/>
          <w:szCs w:val="24"/>
          <w:u w:val="single"/>
        </w:rPr>
        <w:t>by construing the term “public body” to mean any entity that is “meaningfully</w:t>
      </w:r>
      <w:r w:rsidR="00576E14" w:rsidRPr="0044150C">
        <w:rPr>
          <w:rFonts w:ascii="Arial" w:hAnsi="Arial" w:cs="Arial"/>
          <w:i/>
          <w:sz w:val="24"/>
          <w:szCs w:val="24"/>
        </w:rPr>
        <w:t xml:space="preserve"> </w:t>
      </w:r>
      <w:r w:rsidR="00576E14" w:rsidRPr="0044150C">
        <w:rPr>
          <w:rFonts w:ascii="Arial" w:hAnsi="Arial" w:cs="Arial"/>
          <w:i/>
          <w:sz w:val="24"/>
          <w:szCs w:val="24"/>
          <w:u w:val="single"/>
        </w:rPr>
        <w:t>controlled” by a government.</w:t>
      </w:r>
      <w:r w:rsidR="00576E14" w:rsidRPr="0044150C">
        <w:rPr>
          <w:rFonts w:ascii="Arial" w:hAnsi="Arial" w:cs="Arial"/>
          <w:i/>
          <w:sz w:val="24"/>
          <w:szCs w:val="24"/>
        </w:rPr>
        <w:t xml:space="preserve"> Consequently, </w:t>
      </w:r>
      <w:r w:rsidR="00576E14" w:rsidRPr="0044150C">
        <w:rPr>
          <w:rFonts w:ascii="Arial" w:hAnsi="Arial" w:cs="Arial"/>
          <w:i/>
          <w:sz w:val="24"/>
          <w:szCs w:val="24"/>
          <w:u w:val="single"/>
        </w:rPr>
        <w:t xml:space="preserve">the Panel </w:t>
      </w:r>
      <w:r w:rsidR="00576E14" w:rsidRPr="0044150C">
        <w:rPr>
          <w:rFonts w:ascii="Arial" w:hAnsi="Arial" w:cs="Arial"/>
          <w:i/>
          <w:spacing w:val="-3"/>
          <w:sz w:val="24"/>
          <w:szCs w:val="24"/>
          <w:u w:val="single"/>
        </w:rPr>
        <w:t xml:space="preserve">erred </w:t>
      </w:r>
      <w:r w:rsidR="00576E14" w:rsidRPr="0044150C">
        <w:rPr>
          <w:rFonts w:ascii="Arial" w:hAnsi="Arial" w:cs="Arial"/>
          <w:i/>
          <w:sz w:val="24"/>
          <w:szCs w:val="24"/>
          <w:u w:val="single"/>
        </w:rPr>
        <w:t>in its application of Article</w:t>
      </w:r>
      <w:r w:rsidR="00576E14" w:rsidRPr="0044150C">
        <w:rPr>
          <w:rFonts w:ascii="Arial" w:hAnsi="Arial" w:cs="Arial"/>
          <w:i/>
          <w:sz w:val="24"/>
          <w:szCs w:val="24"/>
        </w:rPr>
        <w:t xml:space="preserve"> </w:t>
      </w:r>
      <w:r w:rsidR="00576E14" w:rsidRPr="0044150C">
        <w:rPr>
          <w:rFonts w:ascii="Arial" w:hAnsi="Arial" w:cs="Arial"/>
          <w:i/>
          <w:sz w:val="24"/>
          <w:szCs w:val="24"/>
          <w:u w:val="single"/>
        </w:rPr>
        <w:t>1.1(a)(1) to the USDOC's public body determination in the underlying investigation, in</w:t>
      </w:r>
      <w:r w:rsidR="00576E14" w:rsidRPr="0044150C">
        <w:rPr>
          <w:rFonts w:ascii="Arial" w:hAnsi="Arial" w:cs="Arial"/>
          <w:i/>
          <w:sz w:val="24"/>
          <w:szCs w:val="24"/>
        </w:rPr>
        <w:t xml:space="preserve"> </w:t>
      </w:r>
      <w:r w:rsidR="00576E14" w:rsidRPr="0044150C">
        <w:rPr>
          <w:rFonts w:ascii="Arial" w:hAnsi="Arial" w:cs="Arial"/>
          <w:i/>
          <w:sz w:val="24"/>
          <w:szCs w:val="24"/>
          <w:u w:val="single"/>
        </w:rPr>
        <w:t>effect treating the GOI's ability to control the NMDC as determinative for purposes of</w:t>
      </w:r>
      <w:r w:rsidR="00576E14" w:rsidRPr="0044150C">
        <w:rPr>
          <w:rFonts w:ascii="Arial" w:hAnsi="Arial" w:cs="Arial"/>
          <w:i/>
          <w:sz w:val="24"/>
          <w:szCs w:val="24"/>
        </w:rPr>
        <w:t xml:space="preserve"> </w:t>
      </w:r>
      <w:r w:rsidR="00576E14" w:rsidRPr="0044150C">
        <w:rPr>
          <w:rFonts w:ascii="Arial" w:hAnsi="Arial" w:cs="Arial"/>
          <w:i/>
          <w:sz w:val="24"/>
          <w:szCs w:val="24"/>
          <w:u w:val="single"/>
        </w:rPr>
        <w:t>establishing whether the NMDC constitutes a public body</w:t>
      </w:r>
      <w:r w:rsidR="00576E14" w:rsidRPr="0044150C">
        <w:rPr>
          <w:rFonts w:ascii="Arial" w:hAnsi="Arial" w:cs="Arial"/>
          <w:i/>
          <w:sz w:val="24"/>
          <w:szCs w:val="24"/>
        </w:rPr>
        <w:t xml:space="preserve">. </w:t>
      </w:r>
      <w:r w:rsidR="00576E14" w:rsidRPr="0044150C">
        <w:rPr>
          <w:rFonts w:ascii="Arial" w:hAnsi="Arial" w:cs="Arial"/>
          <w:i/>
          <w:spacing w:val="-5"/>
          <w:sz w:val="24"/>
          <w:szCs w:val="24"/>
        </w:rPr>
        <w:t xml:space="preserve">Moreover, </w:t>
      </w:r>
      <w:r w:rsidR="00576E14" w:rsidRPr="0044150C">
        <w:rPr>
          <w:rFonts w:ascii="Arial" w:hAnsi="Arial" w:cs="Arial"/>
          <w:i/>
          <w:sz w:val="24"/>
          <w:szCs w:val="24"/>
        </w:rPr>
        <w:t>the Panel failed properly</w:t>
      </w:r>
      <w:r w:rsidR="00576E14" w:rsidRPr="0044150C">
        <w:rPr>
          <w:rFonts w:ascii="Arial" w:hAnsi="Arial" w:cs="Arial"/>
          <w:i/>
          <w:spacing w:val="-8"/>
          <w:sz w:val="24"/>
          <w:szCs w:val="24"/>
        </w:rPr>
        <w:t xml:space="preserve"> </w:t>
      </w:r>
      <w:r w:rsidR="00576E14" w:rsidRPr="0044150C">
        <w:rPr>
          <w:rFonts w:ascii="Arial" w:hAnsi="Arial" w:cs="Arial"/>
          <w:i/>
          <w:sz w:val="24"/>
          <w:szCs w:val="24"/>
        </w:rPr>
        <w:t>to</w:t>
      </w:r>
      <w:r w:rsidR="00576E14" w:rsidRPr="0044150C">
        <w:rPr>
          <w:rFonts w:ascii="Arial" w:hAnsi="Arial" w:cs="Arial"/>
          <w:i/>
          <w:spacing w:val="-7"/>
          <w:sz w:val="24"/>
          <w:szCs w:val="24"/>
        </w:rPr>
        <w:t xml:space="preserve"> </w:t>
      </w:r>
      <w:r w:rsidR="00576E14" w:rsidRPr="0044150C">
        <w:rPr>
          <w:rFonts w:ascii="Arial" w:hAnsi="Arial" w:cs="Arial"/>
          <w:i/>
          <w:sz w:val="24"/>
          <w:szCs w:val="24"/>
        </w:rPr>
        <w:t>consider</w:t>
      </w:r>
      <w:r w:rsidR="00576E14" w:rsidRPr="0044150C">
        <w:rPr>
          <w:rFonts w:ascii="Arial" w:hAnsi="Arial" w:cs="Arial"/>
          <w:i/>
          <w:spacing w:val="-4"/>
          <w:sz w:val="24"/>
          <w:szCs w:val="24"/>
        </w:rPr>
        <w:t xml:space="preserve"> </w:t>
      </w:r>
      <w:r w:rsidR="00576E14" w:rsidRPr="0044150C">
        <w:rPr>
          <w:rFonts w:ascii="Arial" w:hAnsi="Arial" w:cs="Arial"/>
          <w:i/>
          <w:sz w:val="24"/>
          <w:szCs w:val="24"/>
        </w:rPr>
        <w:t>whether</w:t>
      </w:r>
      <w:r w:rsidR="00576E14" w:rsidRPr="0044150C">
        <w:rPr>
          <w:rFonts w:ascii="Arial" w:hAnsi="Arial" w:cs="Arial"/>
          <w:i/>
          <w:spacing w:val="-7"/>
          <w:sz w:val="24"/>
          <w:szCs w:val="24"/>
        </w:rPr>
        <w:t xml:space="preserve"> </w:t>
      </w:r>
      <w:r w:rsidR="00576E14" w:rsidRPr="0044150C">
        <w:rPr>
          <w:rFonts w:ascii="Arial" w:hAnsi="Arial" w:cs="Arial"/>
          <w:i/>
          <w:sz w:val="24"/>
          <w:szCs w:val="24"/>
        </w:rPr>
        <w:t>the</w:t>
      </w:r>
      <w:r w:rsidR="00576E14" w:rsidRPr="0044150C">
        <w:rPr>
          <w:rFonts w:ascii="Arial" w:hAnsi="Arial" w:cs="Arial"/>
          <w:i/>
          <w:spacing w:val="-7"/>
          <w:sz w:val="24"/>
          <w:szCs w:val="24"/>
        </w:rPr>
        <w:t xml:space="preserve"> </w:t>
      </w:r>
      <w:r w:rsidR="00576E14" w:rsidRPr="0044150C">
        <w:rPr>
          <w:rFonts w:ascii="Arial" w:hAnsi="Arial" w:cs="Arial"/>
          <w:i/>
          <w:sz w:val="24"/>
          <w:szCs w:val="24"/>
        </w:rPr>
        <w:t>USDOC</w:t>
      </w:r>
      <w:r w:rsidR="00576E14" w:rsidRPr="0044150C">
        <w:rPr>
          <w:rFonts w:ascii="Arial" w:hAnsi="Arial" w:cs="Arial"/>
          <w:i/>
          <w:spacing w:val="-7"/>
          <w:sz w:val="24"/>
          <w:szCs w:val="24"/>
        </w:rPr>
        <w:t xml:space="preserve"> </w:t>
      </w:r>
      <w:r w:rsidR="00576E14" w:rsidRPr="0044150C">
        <w:rPr>
          <w:rFonts w:ascii="Arial" w:hAnsi="Arial" w:cs="Arial"/>
          <w:i/>
          <w:sz w:val="24"/>
          <w:szCs w:val="24"/>
        </w:rPr>
        <w:t>had</w:t>
      </w:r>
      <w:r w:rsidR="00576E14" w:rsidRPr="0044150C">
        <w:rPr>
          <w:rFonts w:ascii="Arial" w:hAnsi="Arial" w:cs="Arial"/>
          <w:i/>
          <w:spacing w:val="-7"/>
          <w:sz w:val="24"/>
          <w:szCs w:val="24"/>
        </w:rPr>
        <w:t xml:space="preserve"> </w:t>
      </w:r>
      <w:r w:rsidR="00576E14" w:rsidRPr="0044150C">
        <w:rPr>
          <w:rFonts w:ascii="Arial" w:hAnsi="Arial" w:cs="Arial"/>
          <w:i/>
          <w:sz w:val="24"/>
          <w:szCs w:val="24"/>
        </w:rPr>
        <w:t>adequately</w:t>
      </w:r>
      <w:r w:rsidR="00576E14" w:rsidRPr="0044150C">
        <w:rPr>
          <w:rFonts w:ascii="Arial" w:hAnsi="Arial" w:cs="Arial"/>
          <w:i/>
          <w:spacing w:val="-7"/>
          <w:sz w:val="24"/>
          <w:szCs w:val="24"/>
        </w:rPr>
        <w:t xml:space="preserve"> </w:t>
      </w:r>
      <w:r w:rsidR="00576E14" w:rsidRPr="0044150C">
        <w:rPr>
          <w:rFonts w:ascii="Arial" w:hAnsi="Arial" w:cs="Arial"/>
          <w:i/>
          <w:sz w:val="24"/>
          <w:szCs w:val="24"/>
        </w:rPr>
        <w:t>explained</w:t>
      </w:r>
      <w:r w:rsidR="00576E14" w:rsidRPr="0044150C">
        <w:rPr>
          <w:rFonts w:ascii="Arial" w:hAnsi="Arial" w:cs="Arial"/>
          <w:i/>
          <w:spacing w:val="-5"/>
          <w:sz w:val="24"/>
          <w:szCs w:val="24"/>
        </w:rPr>
        <w:t xml:space="preserve"> </w:t>
      </w:r>
      <w:r w:rsidR="00576E14" w:rsidRPr="0044150C">
        <w:rPr>
          <w:rFonts w:ascii="Arial" w:hAnsi="Arial" w:cs="Arial"/>
          <w:i/>
          <w:sz w:val="24"/>
          <w:szCs w:val="24"/>
        </w:rPr>
        <w:t>and</w:t>
      </w:r>
      <w:r w:rsidR="00576E14" w:rsidRPr="0044150C">
        <w:rPr>
          <w:rFonts w:ascii="Arial" w:hAnsi="Arial" w:cs="Arial"/>
          <w:i/>
          <w:spacing w:val="-6"/>
          <w:sz w:val="24"/>
          <w:szCs w:val="24"/>
        </w:rPr>
        <w:t xml:space="preserve"> </w:t>
      </w:r>
      <w:r w:rsidR="00576E14" w:rsidRPr="0044150C">
        <w:rPr>
          <w:rFonts w:ascii="Arial" w:hAnsi="Arial" w:cs="Arial"/>
          <w:i/>
          <w:sz w:val="24"/>
          <w:szCs w:val="24"/>
        </w:rPr>
        <w:t>supported,</w:t>
      </w:r>
      <w:r w:rsidR="00576E14" w:rsidRPr="0044150C">
        <w:rPr>
          <w:rFonts w:ascii="Arial" w:hAnsi="Arial" w:cs="Arial"/>
          <w:i/>
          <w:spacing w:val="-7"/>
          <w:sz w:val="24"/>
          <w:szCs w:val="24"/>
        </w:rPr>
        <w:t xml:space="preserve"> </w:t>
      </w:r>
      <w:r w:rsidR="00576E14" w:rsidRPr="0044150C">
        <w:rPr>
          <w:rFonts w:ascii="Arial" w:hAnsi="Arial" w:cs="Arial"/>
          <w:i/>
          <w:sz w:val="24"/>
          <w:szCs w:val="24"/>
        </w:rPr>
        <w:t>in</w:t>
      </w:r>
      <w:r w:rsidR="00576E14" w:rsidRPr="0044150C">
        <w:rPr>
          <w:rFonts w:ascii="Arial" w:hAnsi="Arial" w:cs="Arial"/>
          <w:i/>
          <w:spacing w:val="-7"/>
          <w:sz w:val="24"/>
          <w:szCs w:val="24"/>
        </w:rPr>
        <w:t xml:space="preserve"> </w:t>
      </w:r>
      <w:r w:rsidR="00576E14" w:rsidRPr="0044150C">
        <w:rPr>
          <w:rFonts w:ascii="Arial" w:hAnsi="Arial" w:cs="Arial"/>
          <w:i/>
          <w:sz w:val="24"/>
          <w:szCs w:val="24"/>
        </w:rPr>
        <w:t>its written determination, the basis for its finding that the NMDC is a public</w:t>
      </w:r>
      <w:r w:rsidR="00576E14" w:rsidRPr="0044150C">
        <w:rPr>
          <w:rFonts w:ascii="Arial" w:hAnsi="Arial" w:cs="Arial"/>
          <w:i/>
          <w:spacing w:val="-13"/>
          <w:sz w:val="24"/>
          <w:szCs w:val="24"/>
        </w:rPr>
        <w:t xml:space="preserve"> </w:t>
      </w:r>
      <w:r w:rsidR="00576E14" w:rsidRPr="0044150C">
        <w:rPr>
          <w:rFonts w:ascii="Arial" w:hAnsi="Arial" w:cs="Arial"/>
          <w:i/>
          <w:spacing w:val="-3"/>
          <w:sz w:val="24"/>
          <w:szCs w:val="24"/>
        </w:rPr>
        <w:t>body.</w:t>
      </w:r>
    </w:p>
    <w:p w14:paraId="1053E151" w14:textId="77777777" w:rsidR="00576E14" w:rsidRPr="0044150C" w:rsidRDefault="00576E14" w:rsidP="00576E14">
      <w:pPr>
        <w:pStyle w:val="a7"/>
        <w:ind w:right="95"/>
        <w:rPr>
          <w:rFonts w:ascii="Arial" w:hAnsi="Arial" w:cs="Arial"/>
          <w:i/>
          <w:sz w:val="24"/>
          <w:szCs w:val="24"/>
        </w:rPr>
      </w:pPr>
    </w:p>
    <w:p w14:paraId="5B131E63" w14:textId="2755857B" w:rsidR="009A3AED" w:rsidRPr="0044150C" w:rsidRDefault="00576E14" w:rsidP="00576E14">
      <w:pPr>
        <w:ind w:left="1440" w:right="95"/>
        <w:rPr>
          <w:rFonts w:ascii="Arial" w:hAnsi="Arial" w:cs="Arial"/>
          <w:sz w:val="24"/>
          <w:szCs w:val="24"/>
        </w:rPr>
      </w:pPr>
      <w:r w:rsidRPr="0044150C">
        <w:rPr>
          <w:rFonts w:ascii="Arial" w:hAnsi="Arial" w:cs="Arial"/>
          <w:i/>
          <w:sz w:val="24"/>
          <w:szCs w:val="24"/>
        </w:rPr>
        <w:t xml:space="preserve">4.37. </w:t>
      </w:r>
      <w:r w:rsidRPr="0044150C">
        <w:rPr>
          <w:rFonts w:ascii="Arial" w:hAnsi="Arial" w:cs="Arial"/>
          <w:i/>
          <w:sz w:val="24"/>
          <w:szCs w:val="24"/>
          <w:u w:val="single"/>
        </w:rPr>
        <w:t>As noted above, the Appellate Body has explained that the term public body in</w:t>
      </w:r>
      <w:r w:rsidRPr="0044150C">
        <w:rPr>
          <w:rFonts w:ascii="Arial" w:hAnsi="Arial" w:cs="Arial"/>
          <w:i/>
          <w:sz w:val="24"/>
          <w:szCs w:val="24"/>
        </w:rPr>
        <w:t xml:space="preserve"> </w:t>
      </w:r>
      <w:r w:rsidRPr="0044150C">
        <w:rPr>
          <w:rFonts w:ascii="Arial" w:hAnsi="Arial" w:cs="Arial"/>
          <w:i/>
          <w:sz w:val="24"/>
          <w:szCs w:val="24"/>
          <w:u w:val="single"/>
        </w:rPr>
        <w:t>Article</w:t>
      </w:r>
      <w:r w:rsidRPr="0044150C">
        <w:rPr>
          <w:rFonts w:ascii="Arial" w:hAnsi="Arial" w:cs="Arial"/>
          <w:i/>
          <w:spacing w:val="-7"/>
          <w:sz w:val="24"/>
          <w:szCs w:val="24"/>
          <w:u w:val="single"/>
        </w:rPr>
        <w:t xml:space="preserve"> </w:t>
      </w:r>
      <w:r w:rsidRPr="0044150C">
        <w:rPr>
          <w:rFonts w:ascii="Arial" w:hAnsi="Arial" w:cs="Arial"/>
          <w:i/>
          <w:sz w:val="24"/>
          <w:szCs w:val="24"/>
          <w:u w:val="single"/>
        </w:rPr>
        <w:t>1.1(a)(1)</w:t>
      </w:r>
      <w:r w:rsidRPr="0044150C">
        <w:rPr>
          <w:rFonts w:ascii="Arial" w:hAnsi="Arial" w:cs="Arial"/>
          <w:i/>
          <w:spacing w:val="-6"/>
          <w:sz w:val="24"/>
          <w:szCs w:val="24"/>
          <w:u w:val="single"/>
        </w:rPr>
        <w:t xml:space="preserve"> </w:t>
      </w:r>
      <w:r w:rsidRPr="0044150C">
        <w:rPr>
          <w:rFonts w:ascii="Arial" w:hAnsi="Arial" w:cs="Arial"/>
          <w:i/>
          <w:sz w:val="24"/>
          <w:szCs w:val="24"/>
          <w:u w:val="single"/>
        </w:rPr>
        <w:t>of</w:t>
      </w:r>
      <w:r w:rsidRPr="0044150C">
        <w:rPr>
          <w:rFonts w:ascii="Arial" w:hAnsi="Arial" w:cs="Arial"/>
          <w:i/>
          <w:spacing w:val="-5"/>
          <w:sz w:val="24"/>
          <w:szCs w:val="24"/>
          <w:u w:val="single"/>
        </w:rPr>
        <w:t xml:space="preserve"> </w:t>
      </w:r>
      <w:r w:rsidRPr="0044150C">
        <w:rPr>
          <w:rFonts w:ascii="Arial" w:hAnsi="Arial" w:cs="Arial"/>
          <w:i/>
          <w:sz w:val="24"/>
          <w:szCs w:val="24"/>
          <w:u w:val="single"/>
        </w:rPr>
        <w:t>the</w:t>
      </w:r>
      <w:r w:rsidRPr="0044150C">
        <w:rPr>
          <w:rFonts w:ascii="Arial" w:hAnsi="Arial" w:cs="Arial"/>
          <w:i/>
          <w:spacing w:val="-7"/>
          <w:sz w:val="24"/>
          <w:szCs w:val="24"/>
          <w:u w:val="single"/>
        </w:rPr>
        <w:t xml:space="preserve"> </w:t>
      </w:r>
      <w:r w:rsidRPr="0044150C">
        <w:rPr>
          <w:rFonts w:ascii="Arial" w:hAnsi="Arial" w:cs="Arial"/>
          <w:i/>
          <w:sz w:val="24"/>
          <w:szCs w:val="24"/>
          <w:u w:val="single"/>
        </w:rPr>
        <w:t>SCM</w:t>
      </w:r>
      <w:r w:rsidRPr="0044150C">
        <w:rPr>
          <w:rFonts w:ascii="Arial" w:hAnsi="Arial" w:cs="Arial"/>
          <w:i/>
          <w:spacing w:val="-6"/>
          <w:sz w:val="24"/>
          <w:szCs w:val="24"/>
          <w:u w:val="single"/>
        </w:rPr>
        <w:t xml:space="preserve"> </w:t>
      </w:r>
      <w:r w:rsidRPr="0044150C">
        <w:rPr>
          <w:rFonts w:ascii="Arial" w:hAnsi="Arial" w:cs="Arial"/>
          <w:i/>
          <w:sz w:val="24"/>
          <w:szCs w:val="24"/>
          <w:u w:val="single"/>
        </w:rPr>
        <w:t>Agreement</w:t>
      </w:r>
      <w:r w:rsidRPr="0044150C">
        <w:rPr>
          <w:rFonts w:ascii="Arial" w:hAnsi="Arial" w:cs="Arial"/>
          <w:i/>
          <w:spacing w:val="-6"/>
          <w:sz w:val="24"/>
          <w:szCs w:val="24"/>
          <w:u w:val="single"/>
        </w:rPr>
        <w:t xml:space="preserve"> </w:t>
      </w:r>
      <w:r w:rsidRPr="0044150C">
        <w:rPr>
          <w:rFonts w:ascii="Arial" w:hAnsi="Arial" w:cs="Arial"/>
          <w:i/>
          <w:sz w:val="24"/>
          <w:szCs w:val="24"/>
          <w:u w:val="single"/>
        </w:rPr>
        <w:t>means</w:t>
      </w:r>
      <w:r w:rsidRPr="0044150C">
        <w:rPr>
          <w:rFonts w:ascii="Arial" w:hAnsi="Arial" w:cs="Arial"/>
          <w:i/>
          <w:spacing w:val="-3"/>
          <w:sz w:val="24"/>
          <w:szCs w:val="24"/>
          <w:u w:val="single"/>
        </w:rPr>
        <w:t xml:space="preserve"> </w:t>
      </w:r>
      <w:r w:rsidRPr="0044150C">
        <w:rPr>
          <w:rFonts w:ascii="Arial" w:hAnsi="Arial" w:cs="Arial"/>
          <w:i/>
          <w:sz w:val="24"/>
          <w:szCs w:val="24"/>
          <w:u w:val="single"/>
        </w:rPr>
        <w:t>“an</w:t>
      </w:r>
      <w:r w:rsidRPr="0044150C">
        <w:rPr>
          <w:rFonts w:ascii="Arial" w:hAnsi="Arial" w:cs="Arial"/>
          <w:i/>
          <w:spacing w:val="-5"/>
          <w:sz w:val="24"/>
          <w:szCs w:val="24"/>
          <w:u w:val="single"/>
        </w:rPr>
        <w:t xml:space="preserve"> </w:t>
      </w:r>
      <w:r w:rsidRPr="0044150C">
        <w:rPr>
          <w:rFonts w:ascii="Arial" w:hAnsi="Arial" w:cs="Arial"/>
          <w:i/>
          <w:sz w:val="24"/>
          <w:szCs w:val="24"/>
          <w:u w:val="single"/>
        </w:rPr>
        <w:t>entity</w:t>
      </w:r>
      <w:r w:rsidRPr="0044150C">
        <w:rPr>
          <w:rFonts w:ascii="Arial" w:hAnsi="Arial" w:cs="Arial"/>
          <w:i/>
          <w:spacing w:val="-7"/>
          <w:sz w:val="24"/>
          <w:szCs w:val="24"/>
          <w:u w:val="single"/>
        </w:rPr>
        <w:t xml:space="preserve"> </w:t>
      </w:r>
      <w:r w:rsidRPr="0044150C">
        <w:rPr>
          <w:rFonts w:ascii="Arial" w:hAnsi="Arial" w:cs="Arial"/>
          <w:i/>
          <w:sz w:val="24"/>
          <w:szCs w:val="24"/>
          <w:u w:val="single"/>
        </w:rPr>
        <w:t>that</w:t>
      </w:r>
      <w:r w:rsidRPr="0044150C">
        <w:rPr>
          <w:rFonts w:ascii="Arial" w:hAnsi="Arial" w:cs="Arial"/>
          <w:i/>
          <w:spacing w:val="-5"/>
          <w:sz w:val="24"/>
          <w:szCs w:val="24"/>
          <w:u w:val="single"/>
        </w:rPr>
        <w:t xml:space="preserve"> </w:t>
      </w:r>
      <w:r w:rsidRPr="0044150C">
        <w:rPr>
          <w:rFonts w:ascii="Arial" w:hAnsi="Arial" w:cs="Arial"/>
          <w:i/>
          <w:sz w:val="24"/>
          <w:szCs w:val="24"/>
          <w:u w:val="single"/>
        </w:rPr>
        <w:t>possesses,</w:t>
      </w:r>
      <w:r w:rsidRPr="0044150C">
        <w:rPr>
          <w:rFonts w:ascii="Arial" w:hAnsi="Arial" w:cs="Arial"/>
          <w:i/>
          <w:spacing w:val="-5"/>
          <w:sz w:val="24"/>
          <w:szCs w:val="24"/>
          <w:u w:val="single"/>
        </w:rPr>
        <w:t xml:space="preserve"> </w:t>
      </w:r>
      <w:r w:rsidRPr="0044150C">
        <w:rPr>
          <w:rFonts w:ascii="Arial" w:hAnsi="Arial" w:cs="Arial"/>
          <w:i/>
          <w:sz w:val="24"/>
          <w:szCs w:val="24"/>
          <w:u w:val="single"/>
        </w:rPr>
        <w:t>exercises</w:t>
      </w:r>
      <w:r w:rsidRPr="0044150C">
        <w:rPr>
          <w:rFonts w:ascii="Arial" w:hAnsi="Arial" w:cs="Arial"/>
          <w:i/>
          <w:spacing w:val="-6"/>
          <w:sz w:val="24"/>
          <w:szCs w:val="24"/>
          <w:u w:val="single"/>
        </w:rPr>
        <w:t xml:space="preserve"> </w:t>
      </w:r>
      <w:r w:rsidRPr="0044150C">
        <w:rPr>
          <w:rFonts w:ascii="Arial" w:hAnsi="Arial" w:cs="Arial"/>
          <w:i/>
          <w:sz w:val="24"/>
          <w:szCs w:val="24"/>
          <w:u w:val="single"/>
        </w:rPr>
        <w:t>or</w:t>
      </w:r>
      <w:r w:rsidRPr="0044150C">
        <w:rPr>
          <w:rFonts w:ascii="Arial" w:hAnsi="Arial" w:cs="Arial"/>
          <w:i/>
          <w:spacing w:val="-5"/>
          <w:sz w:val="24"/>
          <w:szCs w:val="24"/>
          <w:u w:val="single"/>
        </w:rPr>
        <w:t xml:space="preserve"> </w:t>
      </w:r>
      <w:r w:rsidRPr="0044150C">
        <w:rPr>
          <w:rFonts w:ascii="Arial" w:hAnsi="Arial" w:cs="Arial"/>
          <w:i/>
          <w:sz w:val="24"/>
          <w:szCs w:val="24"/>
          <w:u w:val="single"/>
        </w:rPr>
        <w:t>is</w:t>
      </w:r>
      <w:r w:rsidRPr="0044150C">
        <w:rPr>
          <w:rFonts w:ascii="Arial" w:hAnsi="Arial" w:cs="Arial"/>
          <w:i/>
          <w:sz w:val="24"/>
          <w:szCs w:val="24"/>
        </w:rPr>
        <w:t xml:space="preserve"> </w:t>
      </w:r>
      <w:r w:rsidRPr="0044150C">
        <w:rPr>
          <w:rFonts w:ascii="Arial" w:hAnsi="Arial" w:cs="Arial"/>
          <w:i/>
          <w:sz w:val="24"/>
          <w:szCs w:val="24"/>
          <w:u w:val="single"/>
        </w:rPr>
        <w:t>vested with governmental authority.” The substantive legal question to be answered is</w:t>
      </w:r>
      <w:r w:rsidRPr="0044150C">
        <w:rPr>
          <w:rFonts w:ascii="Arial" w:hAnsi="Arial" w:cs="Arial"/>
          <w:i/>
          <w:sz w:val="24"/>
          <w:szCs w:val="24"/>
        </w:rPr>
        <w:t xml:space="preserve"> </w:t>
      </w:r>
      <w:r w:rsidRPr="0044150C">
        <w:rPr>
          <w:rFonts w:ascii="Arial" w:hAnsi="Arial" w:cs="Arial"/>
          <w:i/>
          <w:sz w:val="24"/>
          <w:szCs w:val="24"/>
          <w:u w:val="single"/>
        </w:rPr>
        <w:t>therefore whether one or more of these characteristics exist in a particular case. This</w:t>
      </w:r>
      <w:r w:rsidRPr="0044150C">
        <w:rPr>
          <w:rFonts w:ascii="Arial" w:hAnsi="Arial" w:cs="Arial"/>
          <w:i/>
          <w:sz w:val="24"/>
          <w:szCs w:val="24"/>
        </w:rPr>
        <w:t xml:space="preserve"> </w:t>
      </w:r>
      <w:r w:rsidRPr="0044150C">
        <w:rPr>
          <w:rFonts w:ascii="Arial" w:hAnsi="Arial" w:cs="Arial"/>
          <w:i/>
          <w:sz w:val="24"/>
          <w:szCs w:val="24"/>
          <w:u w:val="single"/>
        </w:rPr>
        <w:lastRenderedPageBreak/>
        <w:t>substantive standard should not be confused with the evidentiary standard required to</w:t>
      </w:r>
      <w:r w:rsidRPr="0044150C">
        <w:rPr>
          <w:rFonts w:ascii="Arial" w:hAnsi="Arial" w:cs="Arial"/>
          <w:i/>
          <w:sz w:val="24"/>
          <w:szCs w:val="24"/>
        </w:rPr>
        <w:t xml:space="preserve"> </w:t>
      </w:r>
      <w:r w:rsidRPr="0044150C">
        <w:rPr>
          <w:rFonts w:ascii="Arial" w:hAnsi="Arial" w:cs="Arial"/>
          <w:i/>
          <w:sz w:val="24"/>
          <w:szCs w:val="24"/>
          <w:u w:val="single"/>
        </w:rPr>
        <w:t>establish that an entity is a public body within the meaning of the SCM Agreement.</w:t>
      </w:r>
      <w:r w:rsidRPr="0044150C">
        <w:rPr>
          <w:rFonts w:ascii="Arial" w:hAnsi="Arial" w:cs="Arial"/>
          <w:i/>
          <w:sz w:val="24"/>
          <w:szCs w:val="24"/>
        </w:rPr>
        <w:t xml:space="preserve"> </w:t>
      </w:r>
      <w:r w:rsidRPr="0044150C">
        <w:rPr>
          <w:rFonts w:ascii="Arial" w:hAnsi="Arial" w:cs="Arial"/>
          <w:i/>
          <w:sz w:val="24"/>
          <w:szCs w:val="24"/>
          <w:u w:val="single"/>
        </w:rPr>
        <w:t>Although the Panel quoted extensively from the Appellate Body report in US – Anti-Dumping</w:t>
      </w:r>
      <w:r w:rsidRPr="0044150C">
        <w:rPr>
          <w:rFonts w:ascii="Arial" w:hAnsi="Arial" w:cs="Arial"/>
          <w:i/>
          <w:spacing w:val="-14"/>
          <w:sz w:val="24"/>
          <w:szCs w:val="24"/>
          <w:u w:val="single"/>
        </w:rPr>
        <w:t xml:space="preserve"> </w:t>
      </w:r>
      <w:r w:rsidRPr="0044150C">
        <w:rPr>
          <w:rFonts w:ascii="Arial" w:hAnsi="Arial" w:cs="Arial"/>
          <w:i/>
          <w:sz w:val="24"/>
          <w:szCs w:val="24"/>
          <w:u w:val="single"/>
        </w:rPr>
        <w:t>and</w:t>
      </w:r>
      <w:r w:rsidRPr="0044150C">
        <w:rPr>
          <w:rFonts w:ascii="Arial" w:hAnsi="Arial" w:cs="Arial"/>
          <w:i/>
          <w:spacing w:val="-16"/>
          <w:sz w:val="24"/>
          <w:szCs w:val="24"/>
          <w:u w:val="single"/>
        </w:rPr>
        <w:t xml:space="preserve"> </w:t>
      </w:r>
      <w:r w:rsidRPr="0044150C">
        <w:rPr>
          <w:rFonts w:ascii="Arial" w:hAnsi="Arial" w:cs="Arial"/>
          <w:i/>
          <w:sz w:val="24"/>
          <w:szCs w:val="24"/>
          <w:u w:val="single"/>
        </w:rPr>
        <w:t>Countervailing</w:t>
      </w:r>
      <w:r w:rsidRPr="0044150C">
        <w:rPr>
          <w:rFonts w:ascii="Arial" w:hAnsi="Arial" w:cs="Arial"/>
          <w:i/>
          <w:spacing w:val="-14"/>
          <w:sz w:val="24"/>
          <w:szCs w:val="24"/>
          <w:u w:val="single"/>
        </w:rPr>
        <w:t xml:space="preserve"> </w:t>
      </w:r>
      <w:r w:rsidRPr="0044150C">
        <w:rPr>
          <w:rFonts w:ascii="Arial" w:hAnsi="Arial" w:cs="Arial"/>
          <w:i/>
          <w:sz w:val="24"/>
          <w:szCs w:val="24"/>
          <w:u w:val="single"/>
        </w:rPr>
        <w:t>Duties</w:t>
      </w:r>
      <w:r w:rsidRPr="0044150C">
        <w:rPr>
          <w:rFonts w:ascii="Arial" w:hAnsi="Arial" w:cs="Arial"/>
          <w:i/>
          <w:spacing w:val="-13"/>
          <w:sz w:val="24"/>
          <w:szCs w:val="24"/>
          <w:u w:val="single"/>
        </w:rPr>
        <w:t xml:space="preserve"> </w:t>
      </w:r>
      <w:r w:rsidRPr="0044150C">
        <w:rPr>
          <w:rFonts w:ascii="Arial" w:hAnsi="Arial" w:cs="Arial"/>
          <w:i/>
          <w:sz w:val="24"/>
          <w:szCs w:val="24"/>
          <w:u w:val="single"/>
        </w:rPr>
        <w:t>(China),</w:t>
      </w:r>
      <w:r w:rsidRPr="0044150C">
        <w:rPr>
          <w:rFonts w:ascii="Arial" w:hAnsi="Arial" w:cs="Arial"/>
          <w:i/>
          <w:spacing w:val="-17"/>
          <w:sz w:val="24"/>
          <w:szCs w:val="24"/>
          <w:u w:val="single"/>
        </w:rPr>
        <w:t xml:space="preserve"> </w:t>
      </w:r>
      <w:r w:rsidRPr="0044150C">
        <w:rPr>
          <w:rFonts w:ascii="Arial" w:hAnsi="Arial" w:cs="Arial"/>
          <w:i/>
          <w:sz w:val="24"/>
          <w:szCs w:val="24"/>
          <w:u w:val="single"/>
        </w:rPr>
        <w:t>it</w:t>
      </w:r>
      <w:r w:rsidRPr="0044150C">
        <w:rPr>
          <w:rFonts w:ascii="Arial" w:hAnsi="Arial" w:cs="Arial"/>
          <w:i/>
          <w:spacing w:val="-13"/>
          <w:sz w:val="24"/>
          <w:szCs w:val="24"/>
          <w:u w:val="single"/>
        </w:rPr>
        <w:t xml:space="preserve"> </w:t>
      </w:r>
      <w:r w:rsidRPr="0044150C">
        <w:rPr>
          <w:rFonts w:ascii="Arial" w:hAnsi="Arial" w:cs="Arial"/>
          <w:i/>
          <w:sz w:val="24"/>
          <w:szCs w:val="24"/>
          <w:u w:val="single"/>
        </w:rPr>
        <w:t>appears</w:t>
      </w:r>
      <w:r w:rsidRPr="0044150C">
        <w:rPr>
          <w:rFonts w:ascii="Arial" w:hAnsi="Arial" w:cs="Arial"/>
          <w:i/>
          <w:spacing w:val="-14"/>
          <w:sz w:val="24"/>
          <w:szCs w:val="24"/>
          <w:u w:val="single"/>
        </w:rPr>
        <w:t xml:space="preserve"> </w:t>
      </w:r>
      <w:r w:rsidRPr="0044150C">
        <w:rPr>
          <w:rFonts w:ascii="Arial" w:hAnsi="Arial" w:cs="Arial"/>
          <w:i/>
          <w:sz w:val="24"/>
          <w:szCs w:val="24"/>
          <w:u w:val="single"/>
        </w:rPr>
        <w:t>to</w:t>
      </w:r>
      <w:r w:rsidRPr="0044150C">
        <w:rPr>
          <w:rFonts w:ascii="Arial" w:hAnsi="Arial" w:cs="Arial"/>
          <w:i/>
          <w:spacing w:val="-13"/>
          <w:sz w:val="24"/>
          <w:szCs w:val="24"/>
          <w:u w:val="single"/>
        </w:rPr>
        <w:t xml:space="preserve"> </w:t>
      </w:r>
      <w:r w:rsidRPr="0044150C">
        <w:rPr>
          <w:rFonts w:ascii="Arial" w:hAnsi="Arial" w:cs="Arial"/>
          <w:i/>
          <w:sz w:val="24"/>
          <w:szCs w:val="24"/>
          <w:u w:val="single"/>
        </w:rPr>
        <w:t>have</w:t>
      </w:r>
      <w:r w:rsidRPr="0044150C">
        <w:rPr>
          <w:rFonts w:ascii="Arial" w:hAnsi="Arial" w:cs="Arial"/>
          <w:i/>
          <w:spacing w:val="-15"/>
          <w:sz w:val="24"/>
          <w:szCs w:val="24"/>
          <w:u w:val="single"/>
        </w:rPr>
        <w:t xml:space="preserve"> </w:t>
      </w:r>
      <w:r w:rsidRPr="0044150C">
        <w:rPr>
          <w:rFonts w:ascii="Arial" w:hAnsi="Arial" w:cs="Arial"/>
          <w:i/>
          <w:sz w:val="24"/>
          <w:szCs w:val="24"/>
          <w:u w:val="single"/>
        </w:rPr>
        <w:t>blurred</w:t>
      </w:r>
      <w:r w:rsidRPr="0044150C">
        <w:rPr>
          <w:rFonts w:ascii="Arial" w:hAnsi="Arial" w:cs="Arial"/>
          <w:i/>
          <w:spacing w:val="-13"/>
          <w:sz w:val="24"/>
          <w:szCs w:val="24"/>
          <w:u w:val="single"/>
        </w:rPr>
        <w:t xml:space="preserve"> </w:t>
      </w:r>
      <w:r w:rsidRPr="0044150C">
        <w:rPr>
          <w:rFonts w:ascii="Arial" w:hAnsi="Arial" w:cs="Arial"/>
          <w:i/>
          <w:sz w:val="24"/>
          <w:szCs w:val="24"/>
          <w:u w:val="single"/>
        </w:rPr>
        <w:t>the</w:t>
      </w:r>
      <w:r w:rsidRPr="0044150C">
        <w:rPr>
          <w:rFonts w:ascii="Arial" w:hAnsi="Arial" w:cs="Arial"/>
          <w:i/>
          <w:spacing w:val="-15"/>
          <w:sz w:val="24"/>
          <w:szCs w:val="24"/>
          <w:u w:val="single"/>
        </w:rPr>
        <w:t xml:space="preserve"> </w:t>
      </w:r>
      <w:r w:rsidRPr="0044150C">
        <w:rPr>
          <w:rFonts w:ascii="Arial" w:hAnsi="Arial" w:cs="Arial"/>
          <w:i/>
          <w:sz w:val="24"/>
          <w:szCs w:val="24"/>
          <w:u w:val="single"/>
        </w:rPr>
        <w:t>distinction</w:t>
      </w:r>
      <w:r w:rsidRPr="0044150C">
        <w:rPr>
          <w:rFonts w:ascii="Arial" w:hAnsi="Arial" w:cs="Arial"/>
          <w:i/>
          <w:sz w:val="24"/>
          <w:szCs w:val="24"/>
        </w:rPr>
        <w:t xml:space="preserve"> </w:t>
      </w:r>
      <w:r w:rsidRPr="0044150C">
        <w:rPr>
          <w:rFonts w:ascii="Arial" w:hAnsi="Arial" w:cs="Arial"/>
          <w:i/>
          <w:sz w:val="24"/>
          <w:szCs w:val="24"/>
          <w:u w:val="single"/>
        </w:rPr>
        <w:t>drawn by the Appellate Body in that report between the existence of control by a government over an entity, on the one hand, and "meaningful control", on the other hand.</w:t>
      </w:r>
      <w:r w:rsidRPr="0044150C">
        <w:rPr>
          <w:rFonts w:ascii="Arial" w:hAnsi="Arial" w:cs="Arial"/>
          <w:i/>
          <w:sz w:val="24"/>
          <w:szCs w:val="24"/>
        </w:rPr>
        <w:t xml:space="preserve"> </w:t>
      </w:r>
      <w:r w:rsidRPr="0044150C">
        <w:rPr>
          <w:rFonts w:ascii="Arial" w:hAnsi="Arial" w:cs="Arial"/>
          <w:i/>
          <w:sz w:val="24"/>
          <w:szCs w:val="24"/>
          <w:u w:val="single"/>
        </w:rPr>
        <w:t>Thus,</w:t>
      </w:r>
      <w:r w:rsidRPr="0044150C">
        <w:rPr>
          <w:rFonts w:ascii="Arial" w:hAnsi="Arial" w:cs="Arial"/>
          <w:i/>
          <w:spacing w:val="15"/>
          <w:sz w:val="24"/>
          <w:szCs w:val="24"/>
          <w:u w:val="single"/>
        </w:rPr>
        <w:t xml:space="preserve"> </w:t>
      </w:r>
      <w:r w:rsidRPr="0044150C">
        <w:rPr>
          <w:rFonts w:ascii="Arial" w:hAnsi="Arial" w:cs="Arial"/>
          <w:i/>
          <w:sz w:val="24"/>
          <w:szCs w:val="24"/>
          <w:u w:val="single"/>
        </w:rPr>
        <w:t>the</w:t>
      </w:r>
      <w:r w:rsidRPr="0044150C">
        <w:rPr>
          <w:rFonts w:ascii="Arial" w:hAnsi="Arial" w:cs="Arial"/>
          <w:i/>
          <w:spacing w:val="15"/>
          <w:sz w:val="24"/>
          <w:szCs w:val="24"/>
          <w:u w:val="single"/>
        </w:rPr>
        <w:t xml:space="preserve"> </w:t>
      </w:r>
      <w:r w:rsidRPr="0044150C">
        <w:rPr>
          <w:rFonts w:ascii="Arial" w:hAnsi="Arial" w:cs="Arial"/>
          <w:i/>
          <w:sz w:val="24"/>
          <w:szCs w:val="24"/>
          <w:u w:val="single"/>
        </w:rPr>
        <w:t>Panel</w:t>
      </w:r>
      <w:r w:rsidRPr="0044150C">
        <w:rPr>
          <w:rFonts w:ascii="Arial" w:hAnsi="Arial" w:cs="Arial"/>
          <w:i/>
          <w:spacing w:val="17"/>
          <w:sz w:val="24"/>
          <w:szCs w:val="24"/>
          <w:u w:val="single"/>
        </w:rPr>
        <w:t xml:space="preserve"> </w:t>
      </w:r>
      <w:r w:rsidRPr="0044150C">
        <w:rPr>
          <w:rFonts w:ascii="Arial" w:hAnsi="Arial" w:cs="Arial"/>
          <w:i/>
          <w:sz w:val="24"/>
          <w:szCs w:val="24"/>
          <w:u w:val="single"/>
        </w:rPr>
        <w:t>did</w:t>
      </w:r>
      <w:r w:rsidRPr="0044150C">
        <w:rPr>
          <w:rFonts w:ascii="Arial" w:hAnsi="Arial" w:cs="Arial"/>
          <w:i/>
          <w:spacing w:val="16"/>
          <w:sz w:val="24"/>
          <w:szCs w:val="24"/>
          <w:u w:val="single"/>
        </w:rPr>
        <w:t xml:space="preserve"> </w:t>
      </w:r>
      <w:r w:rsidRPr="0044150C">
        <w:rPr>
          <w:rFonts w:ascii="Arial" w:hAnsi="Arial" w:cs="Arial"/>
          <w:i/>
          <w:sz w:val="24"/>
          <w:szCs w:val="24"/>
          <w:u w:val="single"/>
        </w:rPr>
        <w:t>not</w:t>
      </w:r>
      <w:r w:rsidRPr="0044150C">
        <w:rPr>
          <w:rFonts w:ascii="Arial" w:hAnsi="Arial" w:cs="Arial"/>
          <w:i/>
          <w:spacing w:val="14"/>
          <w:sz w:val="24"/>
          <w:szCs w:val="24"/>
          <w:u w:val="single"/>
        </w:rPr>
        <w:t xml:space="preserve"> </w:t>
      </w:r>
      <w:r w:rsidRPr="0044150C">
        <w:rPr>
          <w:rFonts w:ascii="Arial" w:hAnsi="Arial" w:cs="Arial"/>
          <w:i/>
          <w:sz w:val="24"/>
          <w:szCs w:val="24"/>
          <w:u w:val="single"/>
        </w:rPr>
        <w:t>analyse,</w:t>
      </w:r>
      <w:r w:rsidRPr="0044150C">
        <w:rPr>
          <w:rFonts w:ascii="Arial" w:hAnsi="Arial" w:cs="Arial"/>
          <w:i/>
          <w:spacing w:val="15"/>
          <w:sz w:val="24"/>
          <w:szCs w:val="24"/>
          <w:u w:val="single"/>
        </w:rPr>
        <w:t xml:space="preserve"> </w:t>
      </w:r>
      <w:r w:rsidRPr="0044150C">
        <w:rPr>
          <w:rFonts w:ascii="Arial" w:hAnsi="Arial" w:cs="Arial"/>
          <w:i/>
          <w:sz w:val="24"/>
          <w:szCs w:val="24"/>
          <w:u w:val="single"/>
        </w:rPr>
        <w:t>in</w:t>
      </w:r>
      <w:r w:rsidRPr="0044150C">
        <w:rPr>
          <w:rFonts w:ascii="Arial" w:hAnsi="Arial" w:cs="Arial"/>
          <w:i/>
          <w:spacing w:val="17"/>
          <w:sz w:val="24"/>
          <w:szCs w:val="24"/>
          <w:u w:val="single"/>
        </w:rPr>
        <w:t xml:space="preserve"> </w:t>
      </w:r>
      <w:r w:rsidRPr="0044150C">
        <w:rPr>
          <w:rFonts w:ascii="Arial" w:hAnsi="Arial" w:cs="Arial"/>
          <w:i/>
          <w:sz w:val="24"/>
          <w:szCs w:val="24"/>
          <w:u w:val="single"/>
        </w:rPr>
        <w:t>our</w:t>
      </w:r>
      <w:r w:rsidRPr="0044150C">
        <w:rPr>
          <w:rFonts w:ascii="Arial" w:hAnsi="Arial" w:cs="Arial"/>
          <w:i/>
          <w:spacing w:val="15"/>
          <w:sz w:val="24"/>
          <w:szCs w:val="24"/>
          <w:u w:val="single"/>
        </w:rPr>
        <w:t xml:space="preserve"> </w:t>
      </w:r>
      <w:r w:rsidRPr="0044150C">
        <w:rPr>
          <w:rFonts w:ascii="Arial" w:hAnsi="Arial" w:cs="Arial"/>
          <w:i/>
          <w:sz w:val="24"/>
          <w:szCs w:val="24"/>
          <w:u w:val="single"/>
        </w:rPr>
        <w:t>view,</w:t>
      </w:r>
      <w:r w:rsidRPr="0044150C">
        <w:rPr>
          <w:rFonts w:ascii="Arial" w:hAnsi="Arial" w:cs="Arial"/>
          <w:i/>
          <w:spacing w:val="16"/>
          <w:sz w:val="24"/>
          <w:szCs w:val="24"/>
          <w:u w:val="single"/>
        </w:rPr>
        <w:t xml:space="preserve"> </w:t>
      </w:r>
      <w:r w:rsidRPr="0044150C">
        <w:rPr>
          <w:rFonts w:ascii="Arial" w:hAnsi="Arial" w:cs="Arial"/>
          <w:i/>
          <w:sz w:val="24"/>
          <w:szCs w:val="24"/>
          <w:u w:val="single"/>
        </w:rPr>
        <w:t>the</w:t>
      </w:r>
      <w:r w:rsidRPr="0044150C">
        <w:rPr>
          <w:rFonts w:ascii="Arial" w:hAnsi="Arial" w:cs="Arial"/>
          <w:i/>
          <w:spacing w:val="15"/>
          <w:sz w:val="24"/>
          <w:szCs w:val="24"/>
          <w:u w:val="single"/>
        </w:rPr>
        <w:t xml:space="preserve"> </w:t>
      </w:r>
      <w:r w:rsidRPr="0044150C">
        <w:rPr>
          <w:rFonts w:ascii="Arial" w:hAnsi="Arial" w:cs="Arial"/>
          <w:i/>
          <w:sz w:val="24"/>
          <w:szCs w:val="24"/>
          <w:u w:val="single"/>
        </w:rPr>
        <w:t>question</w:t>
      </w:r>
      <w:r w:rsidRPr="0044150C">
        <w:rPr>
          <w:rFonts w:ascii="Arial" w:hAnsi="Arial" w:cs="Arial"/>
          <w:i/>
          <w:spacing w:val="16"/>
          <w:sz w:val="24"/>
          <w:szCs w:val="24"/>
          <w:u w:val="single"/>
        </w:rPr>
        <w:t xml:space="preserve"> </w:t>
      </w:r>
      <w:r w:rsidRPr="0044150C">
        <w:rPr>
          <w:rFonts w:ascii="Arial" w:hAnsi="Arial" w:cs="Arial"/>
          <w:i/>
          <w:sz w:val="24"/>
          <w:szCs w:val="24"/>
          <w:u w:val="single"/>
        </w:rPr>
        <w:t>of</w:t>
      </w:r>
      <w:r w:rsidRPr="0044150C">
        <w:rPr>
          <w:rFonts w:ascii="Arial" w:hAnsi="Arial" w:cs="Arial"/>
          <w:i/>
          <w:spacing w:val="16"/>
          <w:sz w:val="24"/>
          <w:szCs w:val="24"/>
          <w:u w:val="single"/>
        </w:rPr>
        <w:t xml:space="preserve"> </w:t>
      </w:r>
      <w:r w:rsidRPr="0044150C">
        <w:rPr>
          <w:rFonts w:ascii="Arial" w:hAnsi="Arial" w:cs="Arial"/>
          <w:i/>
          <w:sz w:val="24"/>
          <w:szCs w:val="24"/>
          <w:u w:val="single"/>
        </w:rPr>
        <w:t>whether</w:t>
      </w:r>
      <w:r w:rsidRPr="0044150C">
        <w:rPr>
          <w:rFonts w:ascii="Arial" w:hAnsi="Arial" w:cs="Arial"/>
          <w:i/>
          <w:spacing w:val="16"/>
          <w:sz w:val="24"/>
          <w:szCs w:val="24"/>
          <w:u w:val="single"/>
        </w:rPr>
        <w:t xml:space="preserve"> </w:t>
      </w:r>
      <w:r w:rsidRPr="0044150C">
        <w:rPr>
          <w:rFonts w:ascii="Arial" w:hAnsi="Arial" w:cs="Arial"/>
          <w:i/>
          <w:sz w:val="24"/>
          <w:szCs w:val="24"/>
          <w:u w:val="single"/>
        </w:rPr>
        <w:t>the</w:t>
      </w:r>
      <w:r w:rsidRPr="0044150C">
        <w:rPr>
          <w:rFonts w:ascii="Arial" w:hAnsi="Arial" w:cs="Arial"/>
          <w:i/>
          <w:spacing w:val="12"/>
          <w:sz w:val="24"/>
          <w:szCs w:val="24"/>
          <w:u w:val="single"/>
        </w:rPr>
        <w:t xml:space="preserve"> </w:t>
      </w:r>
      <w:r w:rsidRPr="0044150C">
        <w:rPr>
          <w:rFonts w:ascii="Arial" w:hAnsi="Arial" w:cs="Arial"/>
          <w:i/>
          <w:sz w:val="24"/>
          <w:szCs w:val="24"/>
          <w:u w:val="single"/>
        </w:rPr>
        <w:t>GOI</w:t>
      </w:r>
      <w:r w:rsidRPr="0044150C">
        <w:rPr>
          <w:rFonts w:ascii="Arial" w:hAnsi="Arial" w:cs="Arial"/>
          <w:i/>
          <w:spacing w:val="15"/>
          <w:sz w:val="24"/>
          <w:szCs w:val="24"/>
          <w:u w:val="single"/>
        </w:rPr>
        <w:t xml:space="preserve"> </w:t>
      </w:r>
      <w:r w:rsidRPr="0044150C">
        <w:rPr>
          <w:rFonts w:ascii="Arial" w:hAnsi="Arial" w:cs="Arial"/>
          <w:i/>
          <w:sz w:val="24"/>
          <w:szCs w:val="24"/>
          <w:u w:val="single"/>
        </w:rPr>
        <w:t>in</w:t>
      </w:r>
      <w:r w:rsidRPr="0044150C">
        <w:rPr>
          <w:rFonts w:ascii="Arial" w:hAnsi="Arial" w:cs="Arial"/>
          <w:i/>
          <w:spacing w:val="16"/>
          <w:sz w:val="24"/>
          <w:szCs w:val="24"/>
          <w:u w:val="single"/>
        </w:rPr>
        <w:t xml:space="preserve"> </w:t>
      </w:r>
      <w:r w:rsidRPr="0044150C">
        <w:rPr>
          <w:rFonts w:ascii="Arial" w:hAnsi="Arial" w:cs="Arial"/>
          <w:i/>
          <w:sz w:val="24"/>
          <w:szCs w:val="24"/>
          <w:u w:val="single"/>
        </w:rPr>
        <w:t>fact exercised control over the NMDC and its conduct. Nor did the Panel assess whether the USDOC had properly established that the NMDC “possesses, exercises or is vested with governmental authority”, and is therefore a public body.”</w:t>
      </w:r>
      <w:r w:rsidRPr="0044150C">
        <w:rPr>
          <w:rStyle w:val="ab"/>
          <w:rFonts w:ascii="Arial" w:hAnsi="Arial" w:cs="Arial"/>
          <w:i/>
          <w:sz w:val="24"/>
          <w:szCs w:val="24"/>
          <w:u w:val="single"/>
        </w:rPr>
        <w:footnoteReference w:id="16"/>
      </w:r>
      <w:r w:rsidRPr="0044150C">
        <w:rPr>
          <w:rFonts w:ascii="Arial" w:hAnsi="Arial" w:cs="Arial"/>
          <w:sz w:val="24"/>
          <w:szCs w:val="24"/>
        </w:rPr>
        <w:t>(Underlining</w:t>
      </w:r>
      <w:r w:rsidRPr="0044150C">
        <w:rPr>
          <w:rFonts w:ascii="Arial" w:hAnsi="Arial" w:cs="Arial"/>
          <w:spacing w:val="-2"/>
          <w:sz w:val="24"/>
          <w:szCs w:val="24"/>
        </w:rPr>
        <w:t xml:space="preserve"> </w:t>
      </w:r>
      <w:r w:rsidRPr="0044150C">
        <w:rPr>
          <w:rFonts w:ascii="Arial" w:hAnsi="Arial" w:cs="Arial"/>
          <w:sz w:val="24"/>
          <w:szCs w:val="24"/>
        </w:rPr>
        <w:t>added)</w:t>
      </w:r>
    </w:p>
    <w:p w14:paraId="0781B221" w14:textId="77777777" w:rsidR="009A3AED" w:rsidRPr="0044150C" w:rsidRDefault="009A3AED" w:rsidP="009A3AED">
      <w:pPr>
        <w:autoSpaceDE w:val="0"/>
        <w:autoSpaceDN w:val="0"/>
        <w:adjustRightInd w:val="0"/>
        <w:ind w:left="1440"/>
        <w:rPr>
          <w:rFonts w:ascii="Arial" w:eastAsia="Times New Roman" w:hAnsi="Arial" w:cs="Arial"/>
          <w:sz w:val="24"/>
          <w:szCs w:val="24"/>
          <w:lang w:val="en-GB" w:eastAsia="en-US"/>
        </w:rPr>
      </w:pPr>
    </w:p>
    <w:p w14:paraId="159B60A0" w14:textId="77777777" w:rsidR="009A3AED" w:rsidRPr="0044150C" w:rsidRDefault="009A3AED" w:rsidP="00AF121C">
      <w:pPr>
        <w:pStyle w:val="a9"/>
        <w:numPr>
          <w:ilvl w:val="0"/>
          <w:numId w:val="1"/>
        </w:numPr>
        <w:autoSpaceDE w:val="0"/>
        <w:autoSpaceDN w:val="0"/>
        <w:adjustRightInd w:val="0"/>
        <w:ind w:hanging="644"/>
        <w:contextualSpacing w:val="0"/>
        <w:rPr>
          <w:rFonts w:ascii="Arial" w:hAnsi="Arial" w:cs="Arial"/>
          <w:sz w:val="24"/>
          <w:szCs w:val="24"/>
          <w:lang w:val="en-GB"/>
        </w:rPr>
      </w:pPr>
      <w:r w:rsidRPr="0044150C">
        <w:rPr>
          <w:rFonts w:ascii="Arial" w:eastAsia="Times New Roman" w:hAnsi="Arial" w:cs="Arial"/>
          <w:sz w:val="24"/>
          <w:szCs w:val="24"/>
          <w:lang w:val="en-GB" w:eastAsia="en-US"/>
        </w:rPr>
        <w:t xml:space="preserve">The above criteria for establishing the existence of a public body were also upheld by the Appellate Body in </w:t>
      </w:r>
      <w:r w:rsidRPr="0044150C">
        <w:rPr>
          <w:rFonts w:ascii="Arial" w:eastAsia="Times New Roman" w:hAnsi="Arial" w:cs="Arial"/>
          <w:i/>
          <w:sz w:val="24"/>
          <w:szCs w:val="24"/>
          <w:lang w:val="en-GB" w:eastAsia="en-US"/>
        </w:rPr>
        <w:t xml:space="preserve">US </w:t>
      </w:r>
      <w:r w:rsidRPr="0044150C">
        <w:rPr>
          <w:rFonts w:ascii="Arial" w:hAnsi="Arial" w:cs="Arial"/>
          <w:i/>
          <w:sz w:val="24"/>
          <w:szCs w:val="24"/>
          <w:lang w:val="en-GB"/>
        </w:rPr>
        <w:t>– Countervailing Measures</w:t>
      </w:r>
      <w:r w:rsidRPr="0044150C">
        <w:rPr>
          <w:rFonts w:ascii="Arial" w:eastAsia="Times New Roman" w:hAnsi="Arial" w:cs="Arial"/>
          <w:i/>
          <w:sz w:val="24"/>
          <w:szCs w:val="24"/>
          <w:lang w:val="en-GB" w:eastAsia="en-US"/>
        </w:rPr>
        <w:t xml:space="preserve"> (China) (Article 21.5).</w:t>
      </w:r>
      <w:r w:rsidRPr="0044150C">
        <w:rPr>
          <w:rStyle w:val="ab"/>
          <w:rFonts w:ascii="Arial" w:eastAsia="Times New Roman" w:hAnsi="Arial" w:cs="Arial"/>
          <w:iCs/>
          <w:sz w:val="24"/>
          <w:szCs w:val="24"/>
          <w:lang w:val="en-GB" w:eastAsia="en-US"/>
        </w:rPr>
        <w:footnoteReference w:id="17"/>
      </w:r>
    </w:p>
    <w:p w14:paraId="04D69C4A" w14:textId="77777777" w:rsidR="009A3AED" w:rsidRPr="0044150C" w:rsidRDefault="009A3AED" w:rsidP="009A3AED">
      <w:pPr>
        <w:pStyle w:val="a9"/>
        <w:autoSpaceDE w:val="0"/>
        <w:autoSpaceDN w:val="0"/>
        <w:adjustRightInd w:val="0"/>
        <w:contextualSpacing w:val="0"/>
        <w:rPr>
          <w:rFonts w:ascii="Arial" w:hAnsi="Arial" w:cs="Arial"/>
          <w:sz w:val="24"/>
          <w:szCs w:val="24"/>
          <w:lang w:val="en-GB"/>
        </w:rPr>
      </w:pPr>
    </w:p>
    <w:p w14:paraId="38368545" w14:textId="77777777" w:rsidR="009A3AED" w:rsidRPr="0044150C" w:rsidRDefault="009A3AED" w:rsidP="00AF121C">
      <w:pPr>
        <w:pStyle w:val="a9"/>
        <w:numPr>
          <w:ilvl w:val="0"/>
          <w:numId w:val="1"/>
        </w:numPr>
        <w:autoSpaceDE w:val="0"/>
        <w:autoSpaceDN w:val="0"/>
        <w:adjustRightInd w:val="0"/>
        <w:ind w:hanging="644"/>
        <w:contextualSpacing w:val="0"/>
        <w:rPr>
          <w:rFonts w:ascii="Arial" w:hAnsi="Arial" w:cs="Arial"/>
          <w:sz w:val="24"/>
          <w:szCs w:val="24"/>
          <w:lang w:val="en-GB"/>
        </w:rPr>
      </w:pPr>
      <w:r w:rsidRPr="0044150C">
        <w:rPr>
          <w:rFonts w:ascii="Arial" w:eastAsia="Times New Roman" w:hAnsi="Arial" w:cs="Arial"/>
          <w:sz w:val="24"/>
          <w:szCs w:val="24"/>
          <w:lang w:val="en-GB" w:eastAsia="en-US"/>
        </w:rPr>
        <w:t>Applying the above criteria, according to the Appellate Body</w:t>
      </w:r>
      <w:r w:rsidRPr="0044150C">
        <w:rPr>
          <w:rFonts w:ascii="Arial" w:hAnsi="Arial" w:cs="Arial"/>
          <w:sz w:val="24"/>
          <w:szCs w:val="24"/>
          <w:lang w:val="en-GB"/>
        </w:rPr>
        <w:t xml:space="preserve"> in </w:t>
      </w:r>
      <w:r w:rsidRPr="0044150C">
        <w:rPr>
          <w:rFonts w:ascii="Arial" w:hAnsi="Arial" w:cs="Arial"/>
          <w:i/>
          <w:sz w:val="24"/>
          <w:szCs w:val="24"/>
          <w:lang w:val="en-GB"/>
        </w:rPr>
        <w:t>US – Carbon Steel (India)</w:t>
      </w:r>
      <w:r w:rsidRPr="0044150C">
        <w:rPr>
          <w:rFonts w:ascii="Arial" w:eastAsia="Times New Roman" w:hAnsi="Arial" w:cs="Arial"/>
          <w:sz w:val="24"/>
          <w:szCs w:val="24"/>
          <w:lang w:val="en-GB" w:eastAsia="en-US"/>
        </w:rPr>
        <w:t xml:space="preserve">, the </w:t>
      </w:r>
      <w:r w:rsidRPr="0044150C">
        <w:rPr>
          <w:rFonts w:ascii="Arial" w:hAnsi="Arial" w:cs="Arial"/>
          <w:sz w:val="24"/>
          <w:szCs w:val="24"/>
          <w:lang w:val="en-GB"/>
        </w:rPr>
        <w:t xml:space="preserve">Panel in that case had specifically erred in the application of Article 1.1(a)(1) of the SCM Agreement to the USDOC’s public body determination in the underlying investigation by </w:t>
      </w:r>
      <w:r w:rsidRPr="0044150C">
        <w:rPr>
          <w:rFonts w:ascii="Arial" w:hAnsi="Arial" w:cs="Arial"/>
          <w:iCs/>
          <w:sz w:val="24"/>
          <w:szCs w:val="24"/>
          <w:lang w:val="en-GB"/>
        </w:rPr>
        <w:t>“</w:t>
      </w:r>
      <w:r w:rsidRPr="0044150C">
        <w:rPr>
          <w:rFonts w:ascii="Arial" w:hAnsi="Arial" w:cs="Arial"/>
          <w:i/>
          <w:sz w:val="24"/>
          <w:szCs w:val="24"/>
          <w:u w:val="single"/>
          <w:lang w:val="en-GB"/>
        </w:rPr>
        <w:t>treating the GOI’s ability to control the NMDC as determinative for purposes of establishing whether the NMDC constitutes a public body</w:t>
      </w:r>
      <w:r w:rsidRPr="0044150C">
        <w:rPr>
          <w:rFonts w:ascii="Arial" w:hAnsi="Arial" w:cs="Arial"/>
          <w:i/>
          <w:sz w:val="24"/>
          <w:szCs w:val="24"/>
          <w:lang w:val="en-GB"/>
        </w:rPr>
        <w:t>.</w:t>
      </w:r>
      <w:r w:rsidRPr="0044150C">
        <w:rPr>
          <w:rFonts w:ascii="Arial" w:hAnsi="Arial" w:cs="Arial"/>
          <w:iCs/>
          <w:sz w:val="24"/>
          <w:szCs w:val="24"/>
          <w:lang w:val="en-GB"/>
        </w:rPr>
        <w:t>”</w:t>
      </w:r>
      <w:r w:rsidRPr="0044150C">
        <w:rPr>
          <w:rStyle w:val="ab"/>
          <w:rFonts w:ascii="Arial" w:hAnsi="Arial" w:cs="Arial"/>
          <w:sz w:val="24"/>
          <w:szCs w:val="24"/>
          <w:lang w:val="en-GB"/>
        </w:rPr>
        <w:footnoteReference w:id="18"/>
      </w:r>
      <w:r w:rsidRPr="0044150C">
        <w:rPr>
          <w:rFonts w:ascii="Arial" w:hAnsi="Arial" w:cs="Arial"/>
          <w:i/>
          <w:sz w:val="24"/>
          <w:szCs w:val="24"/>
          <w:lang w:val="en-GB"/>
        </w:rPr>
        <w:t xml:space="preserve"> </w:t>
      </w:r>
      <w:r w:rsidRPr="0044150C">
        <w:rPr>
          <w:rFonts w:ascii="Arial" w:hAnsi="Arial" w:cs="Arial"/>
          <w:iCs/>
          <w:sz w:val="24"/>
          <w:szCs w:val="24"/>
          <w:lang w:val="en-GB"/>
        </w:rPr>
        <w:t xml:space="preserve"> The Appellate Body in that case also held that the fact that </w:t>
      </w:r>
      <w:r w:rsidRPr="0044150C">
        <w:rPr>
          <w:rFonts w:ascii="Arial" w:hAnsi="Arial" w:cs="Arial"/>
          <w:sz w:val="24"/>
          <w:szCs w:val="24"/>
          <w:lang w:val="en-GB"/>
        </w:rPr>
        <w:t>the Government of India’s ownership interest in</w:t>
      </w:r>
      <w:r w:rsidRPr="0044150C">
        <w:rPr>
          <w:rFonts w:ascii="Arial" w:hAnsi="Arial" w:cs="Arial"/>
          <w:iCs/>
          <w:sz w:val="24"/>
          <w:szCs w:val="24"/>
          <w:lang w:val="en-GB"/>
        </w:rPr>
        <w:t xml:space="preserve"> NMDC, </w:t>
      </w:r>
      <w:r w:rsidRPr="0044150C">
        <w:rPr>
          <w:rFonts w:ascii="Arial" w:hAnsi="Arial" w:cs="Arial"/>
          <w:sz w:val="24"/>
          <w:szCs w:val="24"/>
          <w:lang w:val="en-GB"/>
        </w:rPr>
        <w:t>the Government of India’s power to appoint and nominate the directors of NMDC and the reference on the NMDC’s website indicating that it is under the “administrative control” of the Government of India, did not provide a sufficient basis for finding the NMDC to be a public body.</w:t>
      </w:r>
      <w:r w:rsidRPr="0044150C">
        <w:rPr>
          <w:rStyle w:val="ab"/>
          <w:rFonts w:ascii="Arial" w:hAnsi="Arial" w:cs="Arial"/>
          <w:sz w:val="24"/>
          <w:szCs w:val="24"/>
          <w:lang w:val="en-GB"/>
        </w:rPr>
        <w:footnoteReference w:id="19"/>
      </w:r>
    </w:p>
    <w:bookmarkEnd w:id="12"/>
    <w:p w14:paraId="74827D7D" w14:textId="32496B20" w:rsidR="0017259C" w:rsidRPr="0044150C" w:rsidRDefault="0017259C" w:rsidP="00576E14">
      <w:pPr>
        <w:ind w:left="1482" w:right="95"/>
        <w:rPr>
          <w:rFonts w:ascii="Arial" w:hAnsi="Arial" w:cs="Arial"/>
          <w:i/>
          <w:sz w:val="24"/>
          <w:szCs w:val="24"/>
          <w:u w:val="single"/>
        </w:rPr>
      </w:pPr>
    </w:p>
    <w:p w14:paraId="337AB4DE" w14:textId="315D11B7" w:rsidR="0017259C" w:rsidRPr="0044150C" w:rsidRDefault="000E5CEB" w:rsidP="00AF121C">
      <w:pPr>
        <w:pStyle w:val="a9"/>
        <w:widowControl w:val="0"/>
        <w:numPr>
          <w:ilvl w:val="0"/>
          <w:numId w:val="1"/>
        </w:numPr>
        <w:tabs>
          <w:tab w:val="left" w:pos="917"/>
        </w:tabs>
        <w:autoSpaceDE w:val="0"/>
        <w:autoSpaceDN w:val="0"/>
        <w:spacing w:before="1"/>
        <w:ind w:right="95" w:hanging="644"/>
        <w:rPr>
          <w:rFonts w:ascii="Arial" w:hAnsi="Arial" w:cs="Arial"/>
          <w:sz w:val="24"/>
          <w:szCs w:val="24"/>
        </w:rPr>
      </w:pPr>
      <w:r w:rsidRPr="0044150C">
        <w:rPr>
          <w:rFonts w:ascii="Arial" w:hAnsi="Arial" w:cs="Arial"/>
          <w:sz w:val="24"/>
          <w:szCs w:val="24"/>
        </w:rPr>
        <w:t xml:space="preserve">Loans issued by Chinese commercial banks, whether </w:t>
      </w:r>
      <w:r w:rsidR="0022140B" w:rsidRPr="0044150C">
        <w:rPr>
          <w:rFonts w:ascii="Arial" w:hAnsi="Arial" w:cs="Arial"/>
          <w:sz w:val="24"/>
          <w:szCs w:val="24"/>
        </w:rPr>
        <w:t>state-owned or private commercial banks,</w:t>
      </w:r>
      <w:r w:rsidRPr="0044150C">
        <w:rPr>
          <w:rFonts w:ascii="Arial" w:hAnsi="Arial" w:cs="Arial"/>
          <w:sz w:val="24"/>
          <w:szCs w:val="24"/>
        </w:rPr>
        <w:t xml:space="preserve"> are all based on market-oriented and commercial operations. </w:t>
      </w:r>
      <w:r w:rsidR="00043EBF" w:rsidRPr="0044150C">
        <w:rPr>
          <w:rFonts w:ascii="Arial" w:hAnsi="Arial" w:cs="Arial"/>
          <w:sz w:val="24"/>
          <w:szCs w:val="24"/>
        </w:rPr>
        <w:t xml:space="preserve">Chinese state-owned commercial banks are established and operate pursuant to the Commercial Bank Law of the People's Republic of China, </w:t>
      </w:r>
      <w:r w:rsidR="002645F4" w:rsidRPr="0044150C">
        <w:rPr>
          <w:rFonts w:ascii="Arial" w:hAnsi="Arial" w:cs="Arial"/>
          <w:sz w:val="24"/>
          <w:szCs w:val="24"/>
        </w:rPr>
        <w:t>same as any other commercial banks in China</w:t>
      </w:r>
      <w:r w:rsidR="00043EBF" w:rsidRPr="0044150C">
        <w:rPr>
          <w:rFonts w:ascii="Arial" w:hAnsi="Arial" w:cs="Arial"/>
          <w:sz w:val="24"/>
          <w:szCs w:val="24"/>
        </w:rPr>
        <w:t xml:space="preserve">. </w:t>
      </w:r>
      <w:r w:rsidR="0017259C" w:rsidRPr="0044150C">
        <w:rPr>
          <w:rFonts w:ascii="Arial" w:hAnsi="Arial" w:cs="Arial"/>
          <w:sz w:val="24"/>
          <w:szCs w:val="24"/>
        </w:rPr>
        <w:t>The GOC</w:t>
      </w:r>
      <w:r w:rsidR="00480488" w:rsidRPr="0044150C">
        <w:rPr>
          <w:rFonts w:ascii="Arial" w:hAnsi="Arial" w:cs="Arial"/>
          <w:sz w:val="24"/>
          <w:szCs w:val="24"/>
        </w:rPr>
        <w:t xml:space="preserve"> notes</w:t>
      </w:r>
      <w:r w:rsidR="0017259C" w:rsidRPr="0044150C">
        <w:rPr>
          <w:rFonts w:ascii="Arial" w:hAnsi="Arial" w:cs="Arial"/>
          <w:sz w:val="24"/>
          <w:szCs w:val="24"/>
        </w:rPr>
        <w:t xml:space="preserve"> </w:t>
      </w:r>
      <w:r w:rsidR="00084D30" w:rsidRPr="0044150C">
        <w:rPr>
          <w:rFonts w:ascii="Arial" w:hAnsi="Arial" w:cs="Arial"/>
          <w:sz w:val="24"/>
          <w:szCs w:val="24"/>
        </w:rPr>
        <w:t xml:space="preserve">Chinese </w:t>
      </w:r>
      <w:r w:rsidR="0017259C" w:rsidRPr="0044150C">
        <w:rPr>
          <w:rFonts w:ascii="Arial" w:hAnsi="Arial" w:cs="Arial"/>
          <w:sz w:val="24"/>
          <w:szCs w:val="24"/>
        </w:rPr>
        <w:t>law prohibits any government or government department from interfering in the lending decisions of commercial banks. Article 4 of the Law on Commercial Banks stipulates that commercial banks shall conduct their business in accordance with the law and shall not be subject to interference by any organization or individual.</w:t>
      </w:r>
      <w:r w:rsidR="00043EBF" w:rsidRPr="0044150C">
        <w:rPr>
          <w:rFonts w:ascii="Arial" w:hAnsi="Arial" w:cs="Arial"/>
          <w:sz w:val="24"/>
          <w:szCs w:val="24"/>
        </w:rPr>
        <w:t xml:space="preserve"> </w:t>
      </w:r>
      <w:r w:rsidR="0017259C" w:rsidRPr="0044150C">
        <w:rPr>
          <w:rFonts w:ascii="Arial" w:hAnsi="Arial" w:cs="Arial"/>
          <w:sz w:val="24"/>
          <w:szCs w:val="24"/>
        </w:rPr>
        <w:t>In addition, article 5 of the Law stipulates that local governments and government departments at all levels, public institutions and individuals are prohibited from interfering in bank operations.</w:t>
      </w:r>
      <w:r w:rsidR="00043EBF" w:rsidRPr="0044150C">
        <w:rPr>
          <w:rFonts w:ascii="Arial" w:hAnsi="Arial" w:cs="Arial"/>
          <w:sz w:val="24"/>
          <w:szCs w:val="24"/>
        </w:rPr>
        <w:t xml:space="preserve"> Th</w:t>
      </w:r>
      <w:r w:rsidR="00636E41" w:rsidRPr="0044150C">
        <w:rPr>
          <w:rFonts w:ascii="Arial" w:hAnsi="Arial" w:cs="Arial"/>
          <w:sz w:val="24"/>
          <w:szCs w:val="24"/>
        </w:rPr>
        <w:t>e</w:t>
      </w:r>
      <w:r w:rsidR="00043EBF" w:rsidRPr="0044150C">
        <w:rPr>
          <w:rFonts w:ascii="Arial" w:hAnsi="Arial" w:cs="Arial"/>
          <w:sz w:val="24"/>
          <w:szCs w:val="24"/>
        </w:rPr>
        <w:t>s</w:t>
      </w:r>
      <w:r w:rsidR="00636E41" w:rsidRPr="0044150C">
        <w:rPr>
          <w:rFonts w:ascii="Arial" w:hAnsi="Arial" w:cs="Arial"/>
          <w:sz w:val="24"/>
          <w:szCs w:val="24"/>
        </w:rPr>
        <w:t>e</w:t>
      </w:r>
      <w:r w:rsidR="00043EBF" w:rsidRPr="0044150C">
        <w:rPr>
          <w:rFonts w:ascii="Arial" w:hAnsi="Arial" w:cs="Arial"/>
          <w:sz w:val="24"/>
          <w:szCs w:val="24"/>
        </w:rPr>
        <w:t xml:space="preserve"> </w:t>
      </w:r>
      <w:r w:rsidR="00636E41" w:rsidRPr="0044150C">
        <w:rPr>
          <w:rFonts w:ascii="Arial" w:hAnsi="Arial" w:cs="Arial"/>
          <w:sz w:val="24"/>
          <w:szCs w:val="24"/>
        </w:rPr>
        <w:t>rules</w:t>
      </w:r>
      <w:r w:rsidR="00043EBF" w:rsidRPr="0044150C">
        <w:rPr>
          <w:rFonts w:ascii="Arial" w:hAnsi="Arial" w:cs="Arial"/>
          <w:sz w:val="24"/>
          <w:szCs w:val="24"/>
        </w:rPr>
        <w:t xml:space="preserve"> appl</w:t>
      </w:r>
      <w:r w:rsidR="00636E41" w:rsidRPr="0044150C">
        <w:rPr>
          <w:rFonts w:ascii="Arial" w:hAnsi="Arial" w:cs="Arial"/>
          <w:sz w:val="24"/>
          <w:szCs w:val="24"/>
        </w:rPr>
        <w:t>y</w:t>
      </w:r>
      <w:r w:rsidR="00043EBF" w:rsidRPr="0044150C">
        <w:rPr>
          <w:rFonts w:ascii="Arial" w:hAnsi="Arial" w:cs="Arial"/>
          <w:sz w:val="24"/>
          <w:szCs w:val="24"/>
        </w:rPr>
        <w:t xml:space="preserve"> to </w:t>
      </w:r>
      <w:r w:rsidR="00636E41" w:rsidRPr="0044150C">
        <w:rPr>
          <w:rFonts w:ascii="Arial" w:hAnsi="Arial" w:cs="Arial"/>
          <w:sz w:val="24"/>
          <w:szCs w:val="24"/>
        </w:rPr>
        <w:t>commercial</w:t>
      </w:r>
      <w:r w:rsidR="00043EBF" w:rsidRPr="0044150C">
        <w:rPr>
          <w:rFonts w:ascii="Arial" w:hAnsi="Arial" w:cs="Arial"/>
          <w:sz w:val="24"/>
          <w:szCs w:val="24"/>
        </w:rPr>
        <w:t xml:space="preserve"> banks' investment and lending decisions, that is to say, commercial banks' day-to-day operations are free from any interference.</w:t>
      </w:r>
      <w:r w:rsidR="00636E41" w:rsidRPr="0044150C">
        <w:rPr>
          <w:rFonts w:ascii="Arial" w:hAnsi="Arial" w:cs="Arial"/>
          <w:sz w:val="24"/>
          <w:szCs w:val="24"/>
        </w:rPr>
        <w:t xml:space="preserve"> The appointment and dismissal of senior management personnel of commercial banks are decided by the banks themselves according to their articles of association.</w:t>
      </w:r>
    </w:p>
    <w:p w14:paraId="4BBFB25E" w14:textId="77777777" w:rsidR="00184152" w:rsidRPr="0044150C" w:rsidRDefault="00184152" w:rsidP="00184152">
      <w:pPr>
        <w:pStyle w:val="a9"/>
        <w:widowControl w:val="0"/>
        <w:tabs>
          <w:tab w:val="left" w:pos="917"/>
        </w:tabs>
        <w:autoSpaceDE w:val="0"/>
        <w:autoSpaceDN w:val="0"/>
        <w:spacing w:before="1"/>
        <w:ind w:right="95"/>
        <w:rPr>
          <w:rFonts w:ascii="Arial" w:hAnsi="Arial" w:cs="Arial"/>
          <w:sz w:val="24"/>
          <w:szCs w:val="24"/>
        </w:rPr>
      </w:pPr>
    </w:p>
    <w:p w14:paraId="05796857" w14:textId="4D256D88" w:rsidR="0017259C" w:rsidRPr="0044150C" w:rsidRDefault="0017259C" w:rsidP="00AF121C">
      <w:pPr>
        <w:pStyle w:val="a9"/>
        <w:widowControl w:val="0"/>
        <w:numPr>
          <w:ilvl w:val="0"/>
          <w:numId w:val="1"/>
        </w:numPr>
        <w:tabs>
          <w:tab w:val="left" w:pos="917"/>
        </w:tabs>
        <w:autoSpaceDE w:val="0"/>
        <w:autoSpaceDN w:val="0"/>
        <w:spacing w:before="1"/>
        <w:ind w:right="95" w:hanging="644"/>
        <w:rPr>
          <w:rFonts w:ascii="Arial" w:hAnsi="Arial" w:cs="Arial"/>
          <w:sz w:val="24"/>
          <w:szCs w:val="24"/>
        </w:rPr>
      </w:pPr>
      <w:r w:rsidRPr="0044150C">
        <w:rPr>
          <w:rFonts w:ascii="Arial" w:hAnsi="Arial" w:cs="Arial"/>
          <w:sz w:val="24"/>
          <w:szCs w:val="24"/>
        </w:rPr>
        <w:t>Secondly, all banks must strictly abide by the Commercial Banks Law and operate on the basis of the principles of safety, liquidity and efficiency, practicing autonomous operation, bearing their own risks, being responsible for their own profits and losses and exercising self-restraint. As noted above, commercial banks in China are incorporated under the Company Law and most are listed on the stock exchange; are governed by a board of directors; disclose information in accordance with the Securities Law; are subject to scrutiny by public investors; and are profit-oriented, maintaining and increasing the value of their shares. Therefore, the Chinese Government cannot and will not interfere in the lending decisions and operations of financial institutions.</w:t>
      </w:r>
    </w:p>
    <w:p w14:paraId="6A9B5402" w14:textId="77777777" w:rsidR="00636E41" w:rsidRPr="0044150C" w:rsidRDefault="00636E41" w:rsidP="002645F4">
      <w:pPr>
        <w:pStyle w:val="a9"/>
        <w:rPr>
          <w:rFonts w:ascii="Arial" w:hAnsi="Arial" w:cs="Arial"/>
          <w:sz w:val="24"/>
          <w:szCs w:val="24"/>
        </w:rPr>
      </w:pPr>
    </w:p>
    <w:p w14:paraId="2FE7CC74" w14:textId="5C515B3B" w:rsidR="00636E41" w:rsidRPr="0044150C" w:rsidRDefault="00636E41" w:rsidP="00AF121C">
      <w:pPr>
        <w:pStyle w:val="a9"/>
        <w:widowControl w:val="0"/>
        <w:numPr>
          <w:ilvl w:val="0"/>
          <w:numId w:val="1"/>
        </w:numPr>
        <w:tabs>
          <w:tab w:val="left" w:pos="917"/>
        </w:tabs>
        <w:autoSpaceDE w:val="0"/>
        <w:autoSpaceDN w:val="0"/>
        <w:spacing w:before="1"/>
        <w:ind w:right="95" w:hanging="644"/>
        <w:rPr>
          <w:rFonts w:ascii="Arial" w:hAnsi="Arial" w:cs="Arial"/>
          <w:sz w:val="24"/>
          <w:szCs w:val="24"/>
        </w:rPr>
      </w:pPr>
      <w:r w:rsidRPr="0044150C">
        <w:rPr>
          <w:rFonts w:ascii="Arial" w:hAnsi="Arial" w:cs="Arial"/>
          <w:sz w:val="24"/>
          <w:szCs w:val="24"/>
        </w:rPr>
        <w:t xml:space="preserve">Chinese commercial banks, including state-owned commercial banks, issue loans based on market and commercial principles, same as any other practices </w:t>
      </w:r>
      <w:r w:rsidRPr="0044150C">
        <w:rPr>
          <w:rFonts w:ascii="Arial" w:hAnsi="Arial" w:cs="Arial"/>
          <w:sz w:val="24"/>
          <w:szCs w:val="24"/>
        </w:rPr>
        <w:lastRenderedPageBreak/>
        <w:t>in other countries. When assessing a loan, commercial banks consider factors such as the borrower's overall business operations, management, creditworthiness, intended use of funds, repayment ability, collateral, and existing cooperation with the bank. National plans</w:t>
      </w:r>
      <w:r w:rsidR="002645F4" w:rsidRPr="0044150C">
        <w:rPr>
          <w:rFonts w:ascii="Arial" w:hAnsi="Arial" w:cs="Arial"/>
          <w:sz w:val="24"/>
          <w:szCs w:val="24"/>
        </w:rPr>
        <w:t xml:space="preserve"> or policies</w:t>
      </w:r>
      <w:r w:rsidRPr="0044150C">
        <w:rPr>
          <w:rFonts w:ascii="Arial" w:hAnsi="Arial" w:cs="Arial"/>
          <w:sz w:val="24"/>
          <w:szCs w:val="24"/>
        </w:rPr>
        <w:t xml:space="preserve"> are macroeconomic documents and have no direct connection to banks' lending activities.</w:t>
      </w:r>
    </w:p>
    <w:p w14:paraId="02E73705" w14:textId="77777777" w:rsidR="00DF2611" w:rsidRPr="0044150C" w:rsidRDefault="00DF2611" w:rsidP="00DF2611">
      <w:pPr>
        <w:pStyle w:val="a9"/>
        <w:rPr>
          <w:rFonts w:ascii="Arial" w:hAnsi="Arial" w:cs="Arial"/>
          <w:sz w:val="24"/>
          <w:szCs w:val="24"/>
        </w:rPr>
      </w:pPr>
    </w:p>
    <w:p w14:paraId="1DA49438" w14:textId="04894D5E" w:rsidR="0017259C" w:rsidRPr="0044150C" w:rsidRDefault="0017259C" w:rsidP="00AF121C">
      <w:pPr>
        <w:pStyle w:val="a9"/>
        <w:widowControl w:val="0"/>
        <w:numPr>
          <w:ilvl w:val="0"/>
          <w:numId w:val="1"/>
        </w:numPr>
        <w:tabs>
          <w:tab w:val="left" w:pos="917"/>
        </w:tabs>
        <w:autoSpaceDE w:val="0"/>
        <w:autoSpaceDN w:val="0"/>
        <w:spacing w:before="1"/>
        <w:ind w:right="95" w:hanging="644"/>
        <w:rPr>
          <w:rFonts w:ascii="Arial" w:hAnsi="Arial" w:cs="Arial"/>
          <w:sz w:val="24"/>
          <w:szCs w:val="24"/>
          <w:lang w:val="en-GB"/>
        </w:rPr>
      </w:pPr>
      <w:r w:rsidRPr="0044150C">
        <w:rPr>
          <w:rFonts w:ascii="Arial" w:hAnsi="Arial" w:cs="Arial"/>
          <w:sz w:val="24"/>
          <w:szCs w:val="24"/>
        </w:rPr>
        <w:t>Finally, the Government of China emphasizes that foreign banks are allowed to operate in China and to conduct lending business in China alongside Chinese banks.</w:t>
      </w:r>
      <w:r w:rsidR="0022140B" w:rsidRPr="0044150C">
        <w:rPr>
          <w:rFonts w:ascii="Arial" w:hAnsi="Arial" w:cs="Arial"/>
          <w:sz w:val="24"/>
          <w:szCs w:val="24"/>
        </w:rPr>
        <w:t xml:space="preserve"> Therefore, commercial banks in China cannot be regarded as a “public body”.</w:t>
      </w:r>
    </w:p>
    <w:p w14:paraId="50A0EBAC" w14:textId="77777777" w:rsidR="0078329D" w:rsidRPr="0044150C" w:rsidRDefault="0078329D" w:rsidP="0078329D">
      <w:pPr>
        <w:pStyle w:val="a9"/>
        <w:rPr>
          <w:rFonts w:ascii="Arial" w:hAnsi="Arial" w:cs="Arial"/>
          <w:sz w:val="24"/>
          <w:szCs w:val="24"/>
          <w:lang w:val="en-GB"/>
        </w:rPr>
      </w:pPr>
    </w:p>
    <w:p w14:paraId="123F7393" w14:textId="77777777" w:rsidR="0078329D" w:rsidRPr="0044150C" w:rsidRDefault="0078329D" w:rsidP="0078329D">
      <w:pPr>
        <w:rPr>
          <w:rFonts w:ascii="Arial" w:hAnsi="Arial" w:cs="Arial"/>
          <w:color w:val="000000" w:themeColor="text1"/>
          <w:sz w:val="24"/>
          <w:szCs w:val="24"/>
        </w:rPr>
      </w:pPr>
    </w:p>
    <w:p w14:paraId="27418181" w14:textId="1C6EFDF8" w:rsidR="0078329D" w:rsidRPr="0044150C" w:rsidRDefault="0078329D" w:rsidP="00A922DD">
      <w:pPr>
        <w:pStyle w:val="4"/>
        <w:numPr>
          <w:ilvl w:val="3"/>
          <w:numId w:val="47"/>
        </w:numPr>
        <w:rPr>
          <w:rFonts w:ascii="Arial" w:hAnsi="Arial" w:cs="Arial"/>
          <w:b/>
          <w:bCs/>
          <w:color w:val="000000" w:themeColor="text1"/>
          <w:sz w:val="24"/>
          <w:szCs w:val="24"/>
        </w:rPr>
      </w:pPr>
      <w:r w:rsidRPr="0044150C">
        <w:rPr>
          <w:rFonts w:ascii="Arial" w:hAnsi="Arial" w:cs="Arial"/>
          <w:b/>
          <w:bCs/>
          <w:color w:val="000000" w:themeColor="text1"/>
          <w:sz w:val="24"/>
          <w:szCs w:val="24"/>
        </w:rPr>
        <w:t>Loans Provided to the Respondents by Banks are Not Directed by the GOC</w:t>
      </w:r>
    </w:p>
    <w:p w14:paraId="1712070F" w14:textId="77777777" w:rsidR="0078329D" w:rsidRPr="0044150C" w:rsidRDefault="0078329D" w:rsidP="0078329D">
      <w:pPr>
        <w:rPr>
          <w:rFonts w:ascii="Arial" w:hAnsi="Arial" w:cs="Arial"/>
          <w:b/>
          <w:bCs/>
          <w:color w:val="000000" w:themeColor="text1"/>
          <w:sz w:val="24"/>
          <w:szCs w:val="24"/>
        </w:rPr>
      </w:pPr>
    </w:p>
    <w:p w14:paraId="29A59215" w14:textId="2EA179AE" w:rsidR="0078329D" w:rsidRPr="0044150C" w:rsidRDefault="0078329D" w:rsidP="0052449F">
      <w:pPr>
        <w:pStyle w:val="5"/>
        <w:ind w:hanging="15"/>
        <w:rPr>
          <w:rFonts w:ascii="Arial" w:hAnsi="Arial" w:cs="Arial"/>
          <w:b/>
          <w:bCs/>
          <w:color w:val="000000" w:themeColor="text1"/>
          <w:sz w:val="24"/>
          <w:szCs w:val="24"/>
        </w:rPr>
      </w:pPr>
      <w:r w:rsidRPr="0044150C">
        <w:rPr>
          <w:rFonts w:ascii="Arial" w:hAnsi="Arial" w:cs="Arial"/>
          <w:b/>
          <w:bCs/>
          <w:color w:val="000000" w:themeColor="text1"/>
          <w:sz w:val="24"/>
          <w:szCs w:val="24"/>
        </w:rPr>
        <w:t>General background of TRA’s finding of loans provided at the direction of the GOC</w:t>
      </w:r>
    </w:p>
    <w:p w14:paraId="4FE1FBFB" w14:textId="77777777" w:rsidR="0078329D" w:rsidRPr="0044150C" w:rsidRDefault="0078329D" w:rsidP="0078329D">
      <w:pPr>
        <w:rPr>
          <w:rFonts w:ascii="Arial" w:hAnsi="Arial" w:cs="Arial"/>
          <w:color w:val="000000" w:themeColor="text1"/>
          <w:sz w:val="24"/>
          <w:szCs w:val="24"/>
        </w:rPr>
      </w:pPr>
    </w:p>
    <w:p w14:paraId="2B8CA98C" w14:textId="73AF3D28" w:rsidR="0078329D" w:rsidRPr="0044150C" w:rsidRDefault="0078329D" w:rsidP="00AF121C">
      <w:pPr>
        <w:pStyle w:val="a9"/>
        <w:widowControl w:val="0"/>
        <w:numPr>
          <w:ilvl w:val="0"/>
          <w:numId w:val="1"/>
        </w:numPr>
        <w:tabs>
          <w:tab w:val="left" w:pos="917"/>
        </w:tabs>
        <w:autoSpaceDE w:val="0"/>
        <w:autoSpaceDN w:val="0"/>
        <w:spacing w:before="1"/>
        <w:ind w:right="95" w:hanging="644"/>
        <w:rPr>
          <w:rFonts w:ascii="Arial" w:hAnsi="Arial" w:cs="Arial"/>
          <w:color w:val="000000" w:themeColor="text1"/>
          <w:sz w:val="24"/>
          <w:szCs w:val="24"/>
        </w:rPr>
      </w:pPr>
      <w:r w:rsidRPr="0044150C">
        <w:rPr>
          <w:rFonts w:ascii="Arial" w:hAnsi="Arial" w:cs="Arial"/>
          <w:sz w:val="24"/>
          <w:szCs w:val="24"/>
        </w:rPr>
        <w:t>GOC notes that in accordance with the UK legislation, Article 20(1) of The Trade</w:t>
      </w:r>
      <w:r w:rsidRPr="0044150C">
        <w:rPr>
          <w:rFonts w:ascii="Arial" w:hAnsi="Arial" w:cs="Arial"/>
          <w:color w:val="000000" w:themeColor="text1"/>
          <w:sz w:val="24"/>
          <w:szCs w:val="24"/>
        </w:rPr>
        <w:t xml:space="preserve"> Remedies Regulations 2019 (“the Regulation”) stipulates the meaning of financial contribution by a foreign authority, which provides in relevant parts:</w:t>
      </w:r>
    </w:p>
    <w:p w14:paraId="4E511FC6" w14:textId="77777777" w:rsidR="0078329D" w:rsidRPr="0044150C" w:rsidRDefault="0078329D" w:rsidP="0078329D">
      <w:pPr>
        <w:pStyle w:val="aff1"/>
        <w:jc w:val="left"/>
        <w:rPr>
          <w:rFonts w:ascii="Arial" w:hAnsi="Arial" w:cs="Arial"/>
          <w:i w:val="0"/>
          <w:iCs w:val="0"/>
          <w:color w:val="000000" w:themeColor="text1"/>
          <w:sz w:val="24"/>
          <w:szCs w:val="24"/>
        </w:rPr>
      </w:pPr>
      <w:r w:rsidRPr="0044150C">
        <w:rPr>
          <w:rStyle w:val="legp1no"/>
          <w:rFonts w:ascii="Arial" w:hAnsi="Arial" w:cs="Arial"/>
          <w:i w:val="0"/>
          <w:iCs w:val="0"/>
          <w:color w:val="000000" w:themeColor="text1"/>
          <w:sz w:val="24"/>
          <w:szCs w:val="24"/>
        </w:rPr>
        <w:t>“20.</w:t>
      </w:r>
      <w:r w:rsidRPr="0044150C">
        <w:rPr>
          <w:rFonts w:ascii="Arial" w:hAnsi="Arial" w:cs="Arial"/>
          <w:i w:val="0"/>
          <w:iCs w:val="0"/>
          <w:color w:val="000000" w:themeColor="text1"/>
          <w:sz w:val="24"/>
          <w:szCs w:val="24"/>
        </w:rPr>
        <w:t>—(1) For the purpose of paragraph 3 of Schedule 4 to the Act, a foreign authority makes a financial contribution where—</w:t>
      </w:r>
    </w:p>
    <w:p w14:paraId="193CC673" w14:textId="77777777" w:rsidR="0078329D" w:rsidRPr="0044150C" w:rsidRDefault="0078329D" w:rsidP="0078329D">
      <w:pPr>
        <w:pStyle w:val="aff1"/>
        <w:widowControl w:val="0"/>
        <w:numPr>
          <w:ilvl w:val="0"/>
          <w:numId w:val="46"/>
        </w:numPr>
        <w:spacing w:line="240" w:lineRule="auto"/>
        <w:jc w:val="left"/>
        <w:rPr>
          <w:rStyle w:val="legds"/>
          <w:rFonts w:ascii="Arial" w:hAnsi="Arial" w:cs="Arial"/>
          <w:i w:val="0"/>
          <w:iCs w:val="0"/>
          <w:color w:val="000000" w:themeColor="text1"/>
          <w:sz w:val="24"/>
          <w:szCs w:val="24"/>
        </w:rPr>
      </w:pPr>
      <w:r w:rsidRPr="0044150C">
        <w:rPr>
          <w:rStyle w:val="legds"/>
          <w:rFonts w:ascii="Arial" w:hAnsi="Arial" w:cs="Arial"/>
          <w:i w:val="0"/>
          <w:iCs w:val="0"/>
          <w:color w:val="000000" w:themeColor="text1"/>
          <w:sz w:val="24"/>
          <w:szCs w:val="24"/>
        </w:rPr>
        <w:t>the practice of a foreign authority involves a direct or potential direct transfer of funds or liabilities;</w:t>
      </w:r>
    </w:p>
    <w:p w14:paraId="4B95E33F" w14:textId="77777777" w:rsidR="0078329D" w:rsidRPr="0044150C" w:rsidRDefault="0078329D" w:rsidP="0078329D">
      <w:pPr>
        <w:ind w:left="864"/>
        <w:rPr>
          <w:rFonts w:ascii="Arial" w:hAnsi="Arial" w:cs="Arial"/>
          <w:sz w:val="24"/>
          <w:szCs w:val="24"/>
        </w:rPr>
      </w:pPr>
      <w:r w:rsidRPr="0044150C">
        <w:rPr>
          <w:rFonts w:ascii="Arial" w:hAnsi="Arial" w:cs="Arial"/>
          <w:sz w:val="24"/>
          <w:szCs w:val="24"/>
        </w:rPr>
        <w:t>……</w:t>
      </w:r>
    </w:p>
    <w:p w14:paraId="503BCDF0" w14:textId="77777777" w:rsidR="0078329D" w:rsidRPr="0044150C" w:rsidRDefault="0078329D" w:rsidP="0078329D">
      <w:pPr>
        <w:pStyle w:val="aff1"/>
        <w:jc w:val="left"/>
        <w:rPr>
          <w:rFonts w:ascii="Arial" w:hAnsi="Arial" w:cs="Arial"/>
          <w:i w:val="0"/>
          <w:iCs w:val="0"/>
          <w:color w:val="000000" w:themeColor="text1"/>
          <w:sz w:val="24"/>
          <w:szCs w:val="24"/>
        </w:rPr>
      </w:pPr>
      <w:r w:rsidRPr="0044150C">
        <w:rPr>
          <w:rStyle w:val="legds"/>
          <w:rFonts w:ascii="Arial" w:hAnsi="Arial" w:cs="Arial"/>
          <w:i w:val="0"/>
          <w:iCs w:val="0"/>
          <w:color w:val="000000" w:themeColor="text1"/>
          <w:sz w:val="24"/>
          <w:szCs w:val="24"/>
        </w:rPr>
        <w:t>or</w:t>
      </w:r>
    </w:p>
    <w:p w14:paraId="2158592A" w14:textId="77777777" w:rsidR="0078329D" w:rsidRPr="0044150C" w:rsidRDefault="0078329D" w:rsidP="0078329D">
      <w:pPr>
        <w:pStyle w:val="aff1"/>
        <w:jc w:val="left"/>
        <w:rPr>
          <w:rFonts w:ascii="Arial" w:hAnsi="Arial" w:cs="Arial"/>
          <w:i w:val="0"/>
          <w:iCs w:val="0"/>
          <w:color w:val="000000" w:themeColor="text1"/>
          <w:sz w:val="24"/>
          <w:szCs w:val="24"/>
        </w:rPr>
      </w:pPr>
      <w:r w:rsidRPr="0044150C">
        <w:rPr>
          <w:rStyle w:val="legds"/>
          <w:rFonts w:ascii="Arial" w:hAnsi="Arial" w:cs="Arial"/>
          <w:i w:val="0"/>
          <w:iCs w:val="0"/>
          <w:color w:val="000000" w:themeColor="text1"/>
          <w:sz w:val="24"/>
          <w:szCs w:val="24"/>
        </w:rPr>
        <w:t xml:space="preserve">(e)a foreign authority makes payments to a funding mechanism or entrusts or directs a private body to undertake one or more of the </w:t>
      </w:r>
      <w:r w:rsidRPr="0044150C">
        <w:rPr>
          <w:rStyle w:val="legds"/>
          <w:rFonts w:ascii="Arial" w:hAnsi="Arial" w:cs="Arial"/>
          <w:i w:val="0"/>
          <w:iCs w:val="0"/>
          <w:color w:val="000000" w:themeColor="text1"/>
          <w:sz w:val="24"/>
          <w:szCs w:val="24"/>
        </w:rPr>
        <w:lastRenderedPageBreak/>
        <w:t>type of functions in sub-paragraphs (a) to (d), which would normally be vested in the foreign authority, and the practice in no real sense differs from practices normally followed by foreign authorities.”</w:t>
      </w:r>
    </w:p>
    <w:p w14:paraId="55616617" w14:textId="1FBC634F" w:rsidR="0078329D" w:rsidRPr="0044150C" w:rsidRDefault="0078329D" w:rsidP="00AF121C">
      <w:pPr>
        <w:pStyle w:val="a9"/>
        <w:widowControl w:val="0"/>
        <w:numPr>
          <w:ilvl w:val="0"/>
          <w:numId w:val="1"/>
        </w:numPr>
        <w:tabs>
          <w:tab w:val="left" w:pos="917"/>
        </w:tabs>
        <w:autoSpaceDE w:val="0"/>
        <w:autoSpaceDN w:val="0"/>
        <w:spacing w:before="1"/>
        <w:ind w:right="95" w:hanging="644"/>
        <w:rPr>
          <w:rFonts w:ascii="Arial" w:hAnsi="Arial" w:cs="Arial"/>
          <w:sz w:val="24"/>
          <w:szCs w:val="24"/>
        </w:rPr>
      </w:pPr>
      <w:r w:rsidRPr="0044150C">
        <w:rPr>
          <w:rFonts w:ascii="Arial" w:hAnsi="Arial" w:cs="Arial"/>
          <w:sz w:val="24"/>
          <w:szCs w:val="24"/>
        </w:rPr>
        <w:t>GOC notes that no definition or further explanation of the words “entrusts” and “directs” under this article is provided in the Regulation. GOC further notes that this article in the Regulation is in essence the same as those in Article 1.1(a)(1) of the WTO SCM agreement.</w:t>
      </w:r>
    </w:p>
    <w:p w14:paraId="193A8C44" w14:textId="77777777" w:rsidR="003A3C2A" w:rsidRPr="0044150C" w:rsidRDefault="003A3C2A" w:rsidP="0027706B">
      <w:pPr>
        <w:pStyle w:val="a9"/>
        <w:widowControl w:val="0"/>
        <w:tabs>
          <w:tab w:val="left" w:pos="917"/>
        </w:tabs>
        <w:autoSpaceDE w:val="0"/>
        <w:autoSpaceDN w:val="0"/>
        <w:spacing w:before="1"/>
        <w:ind w:left="644" w:right="95"/>
        <w:rPr>
          <w:rFonts w:ascii="Arial" w:hAnsi="Arial" w:cs="Arial"/>
          <w:sz w:val="24"/>
          <w:szCs w:val="24"/>
        </w:rPr>
      </w:pPr>
    </w:p>
    <w:p w14:paraId="14966549" w14:textId="33058D5B" w:rsidR="0078329D" w:rsidRPr="0044150C" w:rsidRDefault="0078329D" w:rsidP="00AF121C">
      <w:pPr>
        <w:pStyle w:val="a9"/>
        <w:widowControl w:val="0"/>
        <w:numPr>
          <w:ilvl w:val="0"/>
          <w:numId w:val="1"/>
        </w:numPr>
        <w:tabs>
          <w:tab w:val="left" w:pos="917"/>
        </w:tabs>
        <w:autoSpaceDE w:val="0"/>
        <w:autoSpaceDN w:val="0"/>
        <w:spacing w:before="1"/>
        <w:ind w:right="95" w:hanging="644"/>
        <w:rPr>
          <w:rFonts w:ascii="Arial" w:hAnsi="Arial" w:cs="Arial"/>
          <w:sz w:val="24"/>
          <w:szCs w:val="24"/>
        </w:rPr>
      </w:pPr>
      <w:r w:rsidRPr="0044150C">
        <w:rPr>
          <w:rFonts w:ascii="Arial" w:hAnsi="Arial" w:cs="Arial"/>
          <w:sz w:val="24"/>
          <w:szCs w:val="24"/>
        </w:rPr>
        <w:t>TRA has determined in certain previous investigations that the commercial banks in China provide loans to the respondents under the direction of the GOC and constitute financial contribution in accordance with regulations 20(1)(a) and 20(1)(e) of the Regulations. GOC summarizes below the reasons of TRA’s determinations in Certain Excavators from China.</w:t>
      </w:r>
    </w:p>
    <w:p w14:paraId="3E999F7E" w14:textId="77777777" w:rsidR="0027706B" w:rsidRPr="0044150C" w:rsidRDefault="0027706B" w:rsidP="0027706B">
      <w:pPr>
        <w:pStyle w:val="a9"/>
        <w:rPr>
          <w:rFonts w:ascii="Arial" w:hAnsi="Arial" w:cs="Arial"/>
          <w:sz w:val="24"/>
          <w:szCs w:val="24"/>
        </w:rPr>
      </w:pPr>
    </w:p>
    <w:p w14:paraId="68B86EB2" w14:textId="719866DF" w:rsidR="0078329D" w:rsidRPr="0044150C" w:rsidRDefault="0078329D" w:rsidP="00AF121C">
      <w:pPr>
        <w:pStyle w:val="a9"/>
        <w:widowControl w:val="0"/>
        <w:numPr>
          <w:ilvl w:val="0"/>
          <w:numId w:val="1"/>
        </w:numPr>
        <w:tabs>
          <w:tab w:val="left" w:pos="917"/>
        </w:tabs>
        <w:autoSpaceDE w:val="0"/>
        <w:autoSpaceDN w:val="0"/>
        <w:spacing w:before="1"/>
        <w:ind w:right="95" w:hanging="644"/>
        <w:rPr>
          <w:rFonts w:ascii="Arial" w:hAnsi="Arial" w:cs="Arial"/>
          <w:sz w:val="24"/>
          <w:szCs w:val="24"/>
        </w:rPr>
      </w:pPr>
      <w:r w:rsidRPr="0044150C">
        <w:rPr>
          <w:rFonts w:ascii="Arial" w:hAnsi="Arial" w:cs="Arial"/>
          <w:sz w:val="24"/>
          <w:szCs w:val="24"/>
        </w:rPr>
        <w:t xml:space="preserve">In </w:t>
      </w:r>
      <w:bookmarkStart w:id="14" w:name="_Hlk219010248"/>
      <w:r w:rsidRPr="0044150C">
        <w:rPr>
          <w:rFonts w:ascii="Arial" w:hAnsi="Arial" w:cs="Arial"/>
          <w:sz w:val="24"/>
          <w:szCs w:val="24"/>
        </w:rPr>
        <w:t>Certain Excavators from China</w:t>
      </w:r>
      <w:bookmarkEnd w:id="14"/>
      <w:r w:rsidRPr="0044150C">
        <w:rPr>
          <w:rFonts w:ascii="Arial" w:hAnsi="Arial" w:cs="Arial"/>
          <w:sz w:val="24"/>
          <w:szCs w:val="24"/>
        </w:rPr>
        <w:t xml:space="preserve">, TRA found that loans are provided by commercial banks to the respondents under the direction of the GOC such that the practice in no real sense differs from the GOC performing this function itself. In reaching this conclusion, TRA considered information from different aspects, including </w:t>
      </w:r>
      <w:bookmarkStart w:id="15" w:name="OLE_LINK3"/>
      <w:r w:rsidRPr="0044150C">
        <w:rPr>
          <w:rFonts w:ascii="Arial" w:hAnsi="Arial" w:cs="Arial"/>
          <w:sz w:val="24"/>
          <w:szCs w:val="24"/>
        </w:rPr>
        <w:t>legislative and policy documents</w:t>
      </w:r>
      <w:bookmarkEnd w:id="15"/>
      <w:r w:rsidRPr="0044150C">
        <w:rPr>
          <w:rFonts w:ascii="Arial" w:hAnsi="Arial" w:cs="Arial"/>
          <w:sz w:val="24"/>
          <w:szCs w:val="24"/>
        </w:rPr>
        <w:t xml:space="preserve">, respondent-specific information such as loan contracts, and specific information of the banks which provided loans to the respondents. </w:t>
      </w:r>
    </w:p>
    <w:p w14:paraId="284F1841" w14:textId="77777777" w:rsidR="0027706B" w:rsidRPr="0044150C" w:rsidRDefault="0027706B" w:rsidP="0027706B">
      <w:pPr>
        <w:pStyle w:val="a9"/>
        <w:rPr>
          <w:rFonts w:ascii="Arial" w:hAnsi="Arial" w:cs="Arial"/>
          <w:sz w:val="24"/>
          <w:szCs w:val="24"/>
        </w:rPr>
      </w:pPr>
    </w:p>
    <w:p w14:paraId="067B7FF4" w14:textId="20CD76EA" w:rsidR="0078329D" w:rsidRPr="0044150C" w:rsidRDefault="0078329D" w:rsidP="00AF121C">
      <w:pPr>
        <w:pStyle w:val="a9"/>
        <w:widowControl w:val="0"/>
        <w:numPr>
          <w:ilvl w:val="0"/>
          <w:numId w:val="1"/>
        </w:numPr>
        <w:tabs>
          <w:tab w:val="left" w:pos="917"/>
        </w:tabs>
        <w:autoSpaceDE w:val="0"/>
        <w:autoSpaceDN w:val="0"/>
        <w:spacing w:before="1"/>
        <w:ind w:right="95" w:hanging="644"/>
        <w:rPr>
          <w:rFonts w:ascii="Arial" w:hAnsi="Arial" w:cs="Arial"/>
          <w:sz w:val="24"/>
          <w:szCs w:val="24"/>
        </w:rPr>
      </w:pPr>
      <w:r w:rsidRPr="0044150C">
        <w:rPr>
          <w:rFonts w:ascii="Arial" w:hAnsi="Arial" w:cs="Arial"/>
          <w:sz w:val="24"/>
          <w:szCs w:val="24"/>
        </w:rPr>
        <w:t xml:space="preserve">TRA found that Article 14 of the Company Law of the People's Republic of China and Article 13 of the General Rules on Loans demonstrate that the GOC possesses the authority to direct banks in their lending activities; Article 34 of the Law on Commercial Banks in China demonstrates that GOC industrial policies are a mechanism by which the GOC issues directions to commercial banks; and Decision No. 40 and its accompanying catalogue fundamentally limiting financial institutions in terms of how they may exercise free choice when making lending decisions. TRA also found provincial authorities issued Opinions to specifically direct financial institutions to provide credit support for </w:t>
      </w:r>
      <w:r w:rsidRPr="0044150C">
        <w:rPr>
          <w:rFonts w:ascii="Arial" w:hAnsi="Arial" w:cs="Arial"/>
          <w:sz w:val="24"/>
          <w:szCs w:val="24"/>
        </w:rPr>
        <w:lastRenderedPageBreak/>
        <w:t xml:space="preserve">specific industries. </w:t>
      </w:r>
    </w:p>
    <w:p w14:paraId="0FAAAD95" w14:textId="77777777" w:rsidR="0027706B" w:rsidRPr="0044150C" w:rsidRDefault="0027706B" w:rsidP="0027706B">
      <w:pPr>
        <w:pStyle w:val="a9"/>
        <w:rPr>
          <w:rFonts w:ascii="Arial" w:hAnsi="Arial" w:cs="Arial"/>
          <w:sz w:val="24"/>
          <w:szCs w:val="24"/>
        </w:rPr>
      </w:pPr>
    </w:p>
    <w:p w14:paraId="4AE86C96" w14:textId="5454BE45" w:rsidR="0078329D" w:rsidRPr="0044150C" w:rsidRDefault="0078329D" w:rsidP="00AF121C">
      <w:pPr>
        <w:pStyle w:val="a9"/>
        <w:widowControl w:val="0"/>
        <w:numPr>
          <w:ilvl w:val="0"/>
          <w:numId w:val="1"/>
        </w:numPr>
        <w:tabs>
          <w:tab w:val="left" w:pos="917"/>
        </w:tabs>
        <w:autoSpaceDE w:val="0"/>
        <w:autoSpaceDN w:val="0"/>
        <w:spacing w:before="1"/>
        <w:ind w:right="95" w:hanging="644"/>
        <w:rPr>
          <w:rFonts w:ascii="Arial" w:hAnsi="Arial" w:cs="Arial"/>
          <w:sz w:val="24"/>
          <w:szCs w:val="24"/>
        </w:rPr>
      </w:pPr>
      <w:r w:rsidRPr="0044150C">
        <w:rPr>
          <w:rFonts w:ascii="Arial" w:hAnsi="Arial" w:cs="Arial"/>
          <w:sz w:val="24"/>
          <w:szCs w:val="24"/>
        </w:rPr>
        <w:t>In addition, TRA found respondents’ loan contracts or loan applications without reference to government policies is not conclusive whether government policy is considered in granting the loans by the banks. Further, TRA found that, based on various types of banks’ documents, CCP committee are present in the banks and with the role to implement the government policies by the banks, and the committee’s right to select and control bank’s management, and also directing the operational decisions of the banks, facilitate its role in implementing government policies.</w:t>
      </w:r>
    </w:p>
    <w:p w14:paraId="700EEB79" w14:textId="77777777" w:rsidR="0027706B" w:rsidRPr="0044150C" w:rsidRDefault="0027706B" w:rsidP="0027706B">
      <w:pPr>
        <w:pStyle w:val="a9"/>
        <w:rPr>
          <w:rFonts w:ascii="Arial" w:hAnsi="Arial" w:cs="Arial"/>
          <w:sz w:val="24"/>
          <w:szCs w:val="24"/>
        </w:rPr>
      </w:pPr>
    </w:p>
    <w:p w14:paraId="519A9221" w14:textId="3D1B05C9" w:rsidR="0078329D" w:rsidRPr="0044150C" w:rsidRDefault="0078329D" w:rsidP="00AF121C">
      <w:pPr>
        <w:pStyle w:val="a9"/>
        <w:widowControl w:val="0"/>
        <w:numPr>
          <w:ilvl w:val="0"/>
          <w:numId w:val="1"/>
        </w:numPr>
        <w:tabs>
          <w:tab w:val="left" w:pos="917"/>
        </w:tabs>
        <w:autoSpaceDE w:val="0"/>
        <w:autoSpaceDN w:val="0"/>
        <w:spacing w:before="1"/>
        <w:ind w:right="95" w:hanging="644"/>
        <w:rPr>
          <w:rFonts w:ascii="Arial" w:hAnsi="Arial" w:cs="Arial"/>
          <w:sz w:val="24"/>
          <w:szCs w:val="24"/>
        </w:rPr>
      </w:pPr>
      <w:r w:rsidRPr="0044150C">
        <w:rPr>
          <w:rFonts w:ascii="Arial" w:hAnsi="Arial" w:cs="Arial"/>
          <w:sz w:val="24"/>
          <w:szCs w:val="24"/>
        </w:rPr>
        <w:t xml:space="preserve">GOC would continue to analyze the legal concepts of “direction” in WTO jurisprudence and how TRA’s findings are not consistent with the legal principles established in the jurisprudence. </w:t>
      </w:r>
    </w:p>
    <w:p w14:paraId="50B9D3AC" w14:textId="77777777" w:rsidR="0068683A" w:rsidRPr="0044150C" w:rsidRDefault="0068683A" w:rsidP="0068683A">
      <w:pPr>
        <w:pStyle w:val="a9"/>
        <w:widowControl w:val="0"/>
        <w:tabs>
          <w:tab w:val="left" w:pos="917"/>
        </w:tabs>
        <w:autoSpaceDE w:val="0"/>
        <w:autoSpaceDN w:val="0"/>
        <w:spacing w:before="1"/>
        <w:ind w:left="360" w:right="95"/>
        <w:rPr>
          <w:rFonts w:ascii="Arial" w:hAnsi="Arial" w:cs="Arial"/>
          <w:color w:val="000000" w:themeColor="text1"/>
          <w:sz w:val="24"/>
          <w:szCs w:val="24"/>
        </w:rPr>
      </w:pPr>
    </w:p>
    <w:p w14:paraId="33C38DFD" w14:textId="31747802" w:rsidR="0078329D" w:rsidRPr="0044150C" w:rsidRDefault="005D4DCD" w:rsidP="0052449F">
      <w:pPr>
        <w:pStyle w:val="5"/>
        <w:ind w:hanging="15"/>
        <w:rPr>
          <w:rFonts w:ascii="Arial" w:hAnsi="Arial" w:cs="Arial"/>
          <w:b/>
          <w:bCs/>
          <w:i/>
          <w:iCs/>
          <w:color w:val="000000" w:themeColor="text1"/>
          <w:sz w:val="24"/>
          <w:szCs w:val="24"/>
        </w:rPr>
      </w:pPr>
      <w:r w:rsidRPr="0044150C">
        <w:rPr>
          <w:rFonts w:ascii="Arial" w:hAnsi="Arial" w:cs="Arial"/>
          <w:b/>
          <w:bCs/>
          <w:i/>
          <w:iCs/>
          <w:color w:val="000000" w:themeColor="text1"/>
          <w:sz w:val="24"/>
          <w:szCs w:val="24"/>
        </w:rPr>
        <w:t xml:space="preserve"> </w:t>
      </w:r>
      <w:r w:rsidR="0078329D" w:rsidRPr="0044150C">
        <w:rPr>
          <w:rFonts w:ascii="Arial" w:hAnsi="Arial" w:cs="Arial"/>
          <w:b/>
          <w:bCs/>
          <w:i/>
          <w:iCs/>
          <w:color w:val="000000" w:themeColor="text1"/>
          <w:sz w:val="24"/>
          <w:szCs w:val="24"/>
        </w:rPr>
        <w:t xml:space="preserve">Legal interpretation of the direction to private parties to provide financial contribution </w:t>
      </w:r>
    </w:p>
    <w:p w14:paraId="702AFA20" w14:textId="77777777" w:rsidR="0078329D" w:rsidRPr="0044150C" w:rsidRDefault="0078329D" w:rsidP="0078329D">
      <w:pPr>
        <w:tabs>
          <w:tab w:val="left" w:pos="917"/>
        </w:tabs>
        <w:autoSpaceDE w:val="0"/>
        <w:autoSpaceDN w:val="0"/>
        <w:spacing w:before="1"/>
        <w:ind w:right="95"/>
        <w:rPr>
          <w:rFonts w:ascii="Arial" w:hAnsi="Arial" w:cs="Arial"/>
          <w:color w:val="000000" w:themeColor="text1"/>
          <w:sz w:val="24"/>
          <w:szCs w:val="24"/>
        </w:rPr>
      </w:pPr>
    </w:p>
    <w:p w14:paraId="3BCA87F3" w14:textId="26E66A56" w:rsidR="0078329D" w:rsidRPr="0044150C" w:rsidRDefault="0078329D" w:rsidP="0027706B">
      <w:pPr>
        <w:pStyle w:val="a9"/>
        <w:widowControl w:val="0"/>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The concept of “direct” or “direction” under Article 1.1(a)(1)(iv) of the SCM agreement has been extensively interpreted by WTO panels and Appellate Body. Since Article 20(1) of the UK Regulation is in essence the same as Article 1.1(a)(1) of the WTO SCM agreement, such WTO jurisprudence should be applicable in principle in TRA’s investigation and analysis. </w:t>
      </w:r>
    </w:p>
    <w:p w14:paraId="708A39D5" w14:textId="77777777" w:rsidR="0027706B" w:rsidRPr="0044150C" w:rsidRDefault="0027706B" w:rsidP="0027706B">
      <w:pPr>
        <w:pStyle w:val="a9"/>
        <w:widowControl w:val="0"/>
        <w:tabs>
          <w:tab w:val="left" w:pos="917"/>
        </w:tabs>
        <w:autoSpaceDE w:val="0"/>
        <w:autoSpaceDN w:val="0"/>
        <w:spacing w:before="1"/>
        <w:ind w:left="709" w:right="95"/>
        <w:rPr>
          <w:rFonts w:ascii="Arial" w:hAnsi="Arial" w:cs="Arial"/>
          <w:color w:val="000000" w:themeColor="text1"/>
          <w:sz w:val="24"/>
          <w:szCs w:val="24"/>
        </w:rPr>
      </w:pPr>
    </w:p>
    <w:p w14:paraId="63CE4586" w14:textId="1AA46D09" w:rsidR="0078329D" w:rsidRPr="0044150C" w:rsidRDefault="0078329D" w:rsidP="0027706B">
      <w:pPr>
        <w:pStyle w:val="a9"/>
        <w:widowControl w:val="0"/>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The Appellate Body in </w:t>
      </w:r>
      <w:r w:rsidRPr="0044150C">
        <w:rPr>
          <w:rFonts w:ascii="Arial" w:hAnsi="Arial" w:cs="Arial"/>
          <w:i/>
          <w:iCs/>
          <w:color w:val="000000" w:themeColor="text1"/>
          <w:sz w:val="24"/>
          <w:szCs w:val="24"/>
        </w:rPr>
        <w:t>US – Countervailing Duty Investigation on DRAMs</w:t>
      </w:r>
      <w:r w:rsidRPr="0044150C">
        <w:rPr>
          <w:rFonts w:ascii="Arial" w:hAnsi="Arial" w:cs="Arial"/>
          <w:color w:val="000000" w:themeColor="text1"/>
          <w:sz w:val="24"/>
          <w:szCs w:val="24"/>
        </w:rPr>
        <w:t xml:space="preserve"> interpreted that “direction” refers to situations where the government exercises its authority over a private body (and “entrustment” occurs where a government gives responsibility to a private body).</w:t>
      </w:r>
      <w:r w:rsidRPr="0044150C">
        <w:rPr>
          <w:rFonts w:ascii="Arial" w:hAnsi="Arial" w:cs="Arial"/>
          <w:color w:val="000000" w:themeColor="text1"/>
          <w:sz w:val="24"/>
          <w:szCs w:val="24"/>
          <w:vertAlign w:val="superscript"/>
        </w:rPr>
        <w:footnoteReference w:id="20"/>
      </w:r>
    </w:p>
    <w:p w14:paraId="30F7A0F3" w14:textId="77777777" w:rsidR="0027706B" w:rsidRPr="0044150C" w:rsidRDefault="0027706B" w:rsidP="0027706B">
      <w:pPr>
        <w:pStyle w:val="a9"/>
        <w:widowControl w:val="0"/>
        <w:tabs>
          <w:tab w:val="left" w:pos="917"/>
        </w:tabs>
        <w:autoSpaceDE w:val="0"/>
        <w:autoSpaceDN w:val="0"/>
        <w:spacing w:before="1"/>
        <w:ind w:left="709" w:right="95"/>
        <w:rPr>
          <w:rFonts w:ascii="Arial" w:hAnsi="Arial" w:cs="Arial"/>
          <w:color w:val="000000" w:themeColor="text1"/>
          <w:sz w:val="24"/>
          <w:szCs w:val="24"/>
        </w:rPr>
      </w:pPr>
    </w:p>
    <w:p w14:paraId="7B4E141F" w14:textId="01D9A35C" w:rsidR="0078329D" w:rsidRPr="0044150C" w:rsidRDefault="0078329D" w:rsidP="0027706B">
      <w:pPr>
        <w:pStyle w:val="a9"/>
        <w:widowControl w:val="0"/>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Unlike the conducts of government or public body, all of which would be </w:t>
      </w:r>
      <w:r w:rsidRPr="0044150C">
        <w:rPr>
          <w:rFonts w:ascii="Arial" w:hAnsi="Arial" w:cs="Arial"/>
          <w:color w:val="000000" w:themeColor="text1"/>
          <w:sz w:val="24"/>
          <w:szCs w:val="24"/>
        </w:rPr>
        <w:lastRenderedPageBreak/>
        <w:t>attributable to the broader concept of “government”, not all conducts of a “private body” would be attributable to the government. In this respect, the Appellate Body found that in order to find direction or attribution there must be a demonstrable link between the government and the conduct of the private body.</w:t>
      </w:r>
      <w:r w:rsidRPr="0044150C">
        <w:rPr>
          <w:rFonts w:ascii="Arial" w:hAnsi="Arial" w:cs="Arial"/>
          <w:color w:val="000000" w:themeColor="text1"/>
          <w:sz w:val="24"/>
          <w:szCs w:val="24"/>
          <w:vertAlign w:val="superscript"/>
        </w:rPr>
        <w:footnoteReference w:id="21"/>
      </w:r>
      <w:r w:rsidRPr="0044150C">
        <w:rPr>
          <w:rFonts w:ascii="Arial" w:hAnsi="Arial" w:cs="Arial"/>
          <w:color w:val="000000" w:themeColor="text1"/>
          <w:sz w:val="24"/>
          <w:szCs w:val="24"/>
        </w:rPr>
        <w:t xml:space="preserve"> Consistently, </w:t>
      </w:r>
      <w:bookmarkStart w:id="16" w:name="OLE_LINK7"/>
      <w:r w:rsidRPr="0044150C">
        <w:rPr>
          <w:rFonts w:ascii="Arial" w:hAnsi="Arial" w:cs="Arial"/>
          <w:color w:val="000000" w:themeColor="text1"/>
          <w:sz w:val="24"/>
          <w:szCs w:val="24"/>
        </w:rPr>
        <w:t xml:space="preserve">the Appellate Body also found that “a finding of entrustment or direction, by itself, does not establish the existence of a financial contribution,” </w:t>
      </w:r>
      <w:bookmarkStart w:id="17" w:name="_Hlk219103420"/>
      <w:r w:rsidRPr="0044150C">
        <w:rPr>
          <w:rFonts w:ascii="Arial" w:hAnsi="Arial" w:cs="Arial"/>
          <w:color w:val="000000" w:themeColor="text1"/>
          <w:sz w:val="24"/>
          <w:szCs w:val="24"/>
        </w:rPr>
        <w:t>the government directed actions need “indeed be carried out”, and “if the private body has not carried out the function allegedly entrusted or directed to it,” “there is no financial contribution and, consequently, there would be no right to apply countervailing measures.</w:t>
      </w:r>
      <w:bookmarkEnd w:id="17"/>
      <w:r w:rsidRPr="0044150C">
        <w:rPr>
          <w:rFonts w:ascii="Arial" w:hAnsi="Arial" w:cs="Arial"/>
          <w:color w:val="000000" w:themeColor="text1"/>
          <w:sz w:val="24"/>
          <w:szCs w:val="24"/>
        </w:rPr>
        <w:t>”</w:t>
      </w:r>
      <w:bookmarkEnd w:id="16"/>
      <w:r w:rsidRPr="0044150C">
        <w:rPr>
          <w:rStyle w:val="ab"/>
          <w:rFonts w:ascii="Arial" w:hAnsi="Arial" w:cs="Arial"/>
          <w:color w:val="000000" w:themeColor="text1"/>
          <w:sz w:val="24"/>
          <w:szCs w:val="24"/>
        </w:rPr>
        <w:footnoteReference w:id="22"/>
      </w:r>
    </w:p>
    <w:p w14:paraId="1D99F0D2" w14:textId="77777777" w:rsidR="0027706B" w:rsidRPr="0044150C" w:rsidRDefault="0027706B" w:rsidP="0027706B">
      <w:pPr>
        <w:pStyle w:val="a9"/>
        <w:rPr>
          <w:rFonts w:ascii="Arial" w:hAnsi="Arial" w:cs="Arial"/>
          <w:color w:val="000000" w:themeColor="text1"/>
          <w:sz w:val="24"/>
          <w:szCs w:val="24"/>
        </w:rPr>
      </w:pPr>
    </w:p>
    <w:p w14:paraId="7D66DF6C" w14:textId="7645EABB" w:rsidR="0078329D" w:rsidRPr="0044150C" w:rsidRDefault="0078329D" w:rsidP="0027706B">
      <w:pPr>
        <w:pStyle w:val="a9"/>
        <w:widowControl w:val="0"/>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The legal interpretations on “direction” in the finding of financial contribution established by the Appellate Body thus focus not on the general relationship between government and the private body in question, but on the particular “conduct” by the private body in question under investigation. The correct issue to be resolved in an investigation is whether such particular “conduct”, in our case the loans from the commercial banks to the respondents, is indeed carried out by the private party under government direction, or instead is carried out in the private party’s own initiative or by its own freedom of choice. </w:t>
      </w:r>
    </w:p>
    <w:p w14:paraId="1CD802AE" w14:textId="77777777" w:rsidR="0027706B" w:rsidRPr="0044150C" w:rsidRDefault="0027706B" w:rsidP="0027706B">
      <w:pPr>
        <w:pStyle w:val="a9"/>
        <w:rPr>
          <w:rFonts w:ascii="Arial" w:hAnsi="Arial" w:cs="Arial"/>
          <w:color w:val="000000" w:themeColor="text1"/>
          <w:sz w:val="24"/>
          <w:szCs w:val="24"/>
        </w:rPr>
      </w:pPr>
    </w:p>
    <w:p w14:paraId="6E961D4E" w14:textId="54B591AE" w:rsidR="0078329D" w:rsidRPr="0044150C" w:rsidRDefault="0078329D" w:rsidP="0027706B">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WTO panels and Appellate Body emphasized the importance of the “freedom of choice” by private body in analyzing whether a particular conduct of a private party is under government direction. The Appellate Body found that </w:t>
      </w:r>
      <w:bookmarkStart w:id="18" w:name="OLE_LINK5"/>
      <w:r w:rsidRPr="0044150C">
        <w:rPr>
          <w:rFonts w:ascii="Arial" w:hAnsi="Arial" w:cs="Arial"/>
          <w:color w:val="000000" w:themeColor="text1"/>
          <w:sz w:val="24"/>
          <w:szCs w:val="24"/>
        </w:rPr>
        <w:t>entrustment and direction do not cover government intervention "which may or may not have a particular result simply based on the given factual circumstances and the exercise of free choice by the actors in that market"</w:t>
      </w:r>
      <w:bookmarkEnd w:id="18"/>
      <w:r w:rsidRPr="0044150C">
        <w:rPr>
          <w:rFonts w:ascii="Arial" w:hAnsi="Arial" w:cs="Arial"/>
          <w:color w:val="000000" w:themeColor="text1"/>
          <w:sz w:val="24"/>
          <w:szCs w:val="24"/>
        </w:rPr>
        <w:t>.</w:t>
      </w:r>
      <w:r w:rsidRPr="0044150C">
        <w:rPr>
          <w:rStyle w:val="ab"/>
          <w:rFonts w:ascii="Arial" w:hAnsi="Arial" w:cs="Arial"/>
          <w:color w:val="000000" w:themeColor="text1"/>
          <w:sz w:val="24"/>
          <w:szCs w:val="24"/>
        </w:rPr>
        <w:footnoteReference w:id="23"/>
      </w:r>
      <w:r w:rsidRPr="0044150C">
        <w:rPr>
          <w:rFonts w:ascii="Arial" w:hAnsi="Arial" w:cs="Arial"/>
          <w:color w:val="000000" w:themeColor="text1"/>
          <w:sz w:val="24"/>
          <w:szCs w:val="24"/>
        </w:rPr>
        <w:t xml:space="preserve"> More specifically, in</w:t>
      </w:r>
      <w:bookmarkStart w:id="19" w:name="_Hlk219105367"/>
      <w:r w:rsidRPr="0044150C">
        <w:rPr>
          <w:rFonts w:ascii="Arial" w:hAnsi="Arial" w:cs="Arial"/>
          <w:color w:val="000000" w:themeColor="text1"/>
          <w:sz w:val="24"/>
          <w:szCs w:val="24"/>
        </w:rPr>
        <w:t xml:space="preserve"> </w:t>
      </w:r>
      <w:r w:rsidRPr="0044150C">
        <w:rPr>
          <w:rFonts w:ascii="Arial" w:hAnsi="Arial" w:cs="Arial"/>
          <w:i/>
          <w:iCs/>
          <w:color w:val="000000" w:themeColor="text1"/>
          <w:sz w:val="24"/>
          <w:szCs w:val="24"/>
        </w:rPr>
        <w:t>US — Supercalendered Paper</w:t>
      </w:r>
      <w:r w:rsidRPr="0044150C">
        <w:rPr>
          <w:rFonts w:ascii="Arial" w:hAnsi="Arial" w:cs="Arial"/>
          <w:color w:val="000000" w:themeColor="text1"/>
          <w:sz w:val="24"/>
          <w:szCs w:val="24"/>
        </w:rPr>
        <w:t>,</w:t>
      </w:r>
      <w:bookmarkEnd w:id="19"/>
      <w:r w:rsidRPr="0044150C">
        <w:rPr>
          <w:rFonts w:ascii="Arial" w:hAnsi="Arial" w:cs="Arial"/>
          <w:color w:val="000000" w:themeColor="text1"/>
          <w:sz w:val="24"/>
          <w:szCs w:val="24"/>
        </w:rPr>
        <w:t xml:space="preserve"> the Panel found that when the government law provides for </w:t>
      </w:r>
      <w:bookmarkStart w:id="20" w:name="_Hlk219103249"/>
      <w:r w:rsidRPr="0044150C">
        <w:rPr>
          <w:rFonts w:ascii="Arial" w:hAnsi="Arial" w:cs="Arial"/>
          <w:color w:val="000000" w:themeColor="text1"/>
          <w:sz w:val="24"/>
          <w:szCs w:val="24"/>
        </w:rPr>
        <w:t xml:space="preserve">general obligation for a private party to serve electricity to its customers, since such obligation to serve does not necessarily </w:t>
      </w:r>
      <w:r w:rsidRPr="0044150C">
        <w:rPr>
          <w:rFonts w:ascii="Arial" w:hAnsi="Arial" w:cs="Arial"/>
          <w:color w:val="000000" w:themeColor="text1"/>
          <w:sz w:val="24"/>
          <w:szCs w:val="24"/>
        </w:rPr>
        <w:lastRenderedPageBreak/>
        <w:t>result in the provision of electricity to any customer, “no matter the terms or conditions”, i.e., the private party still has and could exercise its “free choice”, there should not be an entrustment or direction finding</w:t>
      </w:r>
      <w:bookmarkEnd w:id="20"/>
      <w:r w:rsidRPr="0044150C">
        <w:rPr>
          <w:rFonts w:ascii="Arial" w:hAnsi="Arial" w:cs="Arial"/>
          <w:color w:val="000000" w:themeColor="text1"/>
          <w:sz w:val="24"/>
          <w:szCs w:val="24"/>
        </w:rPr>
        <w:t>.</w:t>
      </w:r>
      <w:r w:rsidRPr="0044150C">
        <w:rPr>
          <w:rStyle w:val="ab"/>
          <w:rFonts w:ascii="Arial" w:hAnsi="Arial" w:cs="Arial"/>
          <w:color w:val="000000" w:themeColor="text1"/>
          <w:sz w:val="24"/>
          <w:szCs w:val="24"/>
        </w:rPr>
        <w:footnoteReference w:id="24"/>
      </w:r>
    </w:p>
    <w:p w14:paraId="54A290D5" w14:textId="77777777" w:rsidR="005D4DCD" w:rsidRPr="0044150C" w:rsidRDefault="005D4DCD" w:rsidP="005D4DCD">
      <w:pPr>
        <w:pStyle w:val="a9"/>
        <w:tabs>
          <w:tab w:val="left" w:pos="917"/>
        </w:tabs>
        <w:autoSpaceDE w:val="0"/>
        <w:autoSpaceDN w:val="0"/>
        <w:spacing w:before="1"/>
        <w:ind w:left="360" w:right="95"/>
        <w:rPr>
          <w:rFonts w:ascii="Arial" w:hAnsi="Arial" w:cs="Arial"/>
          <w:color w:val="000000" w:themeColor="text1"/>
          <w:sz w:val="24"/>
          <w:szCs w:val="24"/>
        </w:rPr>
      </w:pPr>
    </w:p>
    <w:p w14:paraId="65011197" w14:textId="5F6DA2EB" w:rsidR="0078329D" w:rsidRPr="0044150C" w:rsidRDefault="0078329D" w:rsidP="0052449F">
      <w:pPr>
        <w:pStyle w:val="5"/>
        <w:ind w:hanging="15"/>
        <w:rPr>
          <w:rFonts w:ascii="Arial" w:hAnsi="Arial" w:cs="Arial"/>
          <w:b/>
          <w:bCs/>
          <w:i/>
          <w:iCs/>
          <w:color w:val="000000" w:themeColor="text1"/>
          <w:sz w:val="24"/>
          <w:szCs w:val="24"/>
        </w:rPr>
      </w:pPr>
      <w:r w:rsidRPr="0044150C">
        <w:rPr>
          <w:rFonts w:ascii="Arial" w:hAnsi="Arial" w:cs="Arial"/>
          <w:b/>
          <w:bCs/>
          <w:i/>
          <w:iCs/>
          <w:color w:val="000000" w:themeColor="text1"/>
          <w:sz w:val="24"/>
          <w:szCs w:val="24"/>
        </w:rPr>
        <w:t>Loans granted to the respondents by commercial banks are not under the direction of GOC</w:t>
      </w:r>
    </w:p>
    <w:p w14:paraId="750CA85E" w14:textId="77777777" w:rsidR="0078329D" w:rsidRPr="0044150C" w:rsidRDefault="0078329D" w:rsidP="0078329D">
      <w:pPr>
        <w:tabs>
          <w:tab w:val="left" w:pos="917"/>
        </w:tabs>
        <w:autoSpaceDE w:val="0"/>
        <w:autoSpaceDN w:val="0"/>
        <w:spacing w:before="1"/>
        <w:ind w:right="95"/>
        <w:rPr>
          <w:rFonts w:ascii="Arial" w:hAnsi="Arial" w:cs="Arial"/>
          <w:color w:val="000000" w:themeColor="text1"/>
          <w:sz w:val="24"/>
          <w:szCs w:val="24"/>
        </w:rPr>
      </w:pPr>
    </w:p>
    <w:p w14:paraId="01A4082D" w14:textId="17AC45C0" w:rsidR="0078329D" w:rsidRPr="0044150C" w:rsidRDefault="0078329D" w:rsidP="0027706B">
      <w:pPr>
        <w:pStyle w:val="a9"/>
        <w:widowControl w:val="0"/>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Applying the legal interpretations of “directions” under Article 1.1(a)(1)(iv) of the SCM agreement by the WTO panels and Appellate Body to loans granted to the respondents by the commercial banks in our case, it is clear that such loans should not be found to be under the direction of the GOC. </w:t>
      </w:r>
    </w:p>
    <w:p w14:paraId="46FC97F0" w14:textId="77777777" w:rsidR="0027706B" w:rsidRPr="0044150C" w:rsidRDefault="0027706B" w:rsidP="0027706B">
      <w:pPr>
        <w:pStyle w:val="a9"/>
        <w:widowControl w:val="0"/>
        <w:tabs>
          <w:tab w:val="left" w:pos="917"/>
        </w:tabs>
        <w:autoSpaceDE w:val="0"/>
        <w:autoSpaceDN w:val="0"/>
        <w:spacing w:before="1"/>
        <w:ind w:left="360" w:right="95"/>
        <w:rPr>
          <w:rFonts w:ascii="Arial" w:hAnsi="Arial" w:cs="Arial"/>
          <w:color w:val="000000" w:themeColor="text1"/>
          <w:sz w:val="24"/>
          <w:szCs w:val="24"/>
        </w:rPr>
      </w:pPr>
    </w:p>
    <w:p w14:paraId="0CDA5ABA" w14:textId="635DAD13" w:rsidR="0078329D" w:rsidRPr="0044150C" w:rsidRDefault="0078329D" w:rsidP="0027706B">
      <w:pPr>
        <w:pStyle w:val="a9"/>
        <w:widowControl w:val="0"/>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We first address the legislative and policy documents analyzed and relied upon by the TRA. </w:t>
      </w:r>
    </w:p>
    <w:p w14:paraId="1BC59868" w14:textId="77777777" w:rsidR="0027706B" w:rsidRPr="0044150C" w:rsidRDefault="0027706B" w:rsidP="0027706B">
      <w:pPr>
        <w:pStyle w:val="a9"/>
        <w:widowControl w:val="0"/>
        <w:tabs>
          <w:tab w:val="left" w:pos="917"/>
        </w:tabs>
        <w:autoSpaceDE w:val="0"/>
        <w:autoSpaceDN w:val="0"/>
        <w:spacing w:before="1"/>
        <w:ind w:left="360" w:right="95"/>
        <w:rPr>
          <w:rFonts w:ascii="Arial" w:hAnsi="Arial" w:cs="Arial"/>
          <w:color w:val="000000" w:themeColor="text1"/>
          <w:sz w:val="24"/>
          <w:szCs w:val="24"/>
        </w:rPr>
      </w:pPr>
    </w:p>
    <w:p w14:paraId="2FD743C6" w14:textId="5C53353C" w:rsidR="0078329D" w:rsidRPr="0044150C" w:rsidRDefault="0078329D" w:rsidP="0027706B">
      <w:pPr>
        <w:pStyle w:val="a9"/>
        <w:widowControl w:val="0"/>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TRA relied upon </w:t>
      </w:r>
      <w:bookmarkStart w:id="22" w:name="_Hlk219099426"/>
      <w:r w:rsidRPr="0044150C">
        <w:rPr>
          <w:rFonts w:ascii="Arial" w:hAnsi="Arial" w:cs="Arial"/>
          <w:color w:val="000000" w:themeColor="text1"/>
          <w:sz w:val="24"/>
          <w:szCs w:val="24"/>
        </w:rPr>
        <w:t xml:space="preserve">Article 14 of the Company Law </w:t>
      </w:r>
      <w:bookmarkEnd w:id="22"/>
      <w:r w:rsidRPr="0044150C">
        <w:rPr>
          <w:rFonts w:ascii="Arial" w:hAnsi="Arial" w:cs="Arial"/>
          <w:color w:val="000000" w:themeColor="text1"/>
          <w:sz w:val="24"/>
          <w:szCs w:val="24"/>
        </w:rPr>
        <w:t xml:space="preserve">of the People's Republic of China which provides that “A company must </w:t>
      </w:r>
      <w:r w:rsidRPr="0044150C">
        <w:rPr>
          <w:rFonts w:ascii="Arial" w:eastAsia="等线" w:hAnsi="Arial" w:cs="Arial"/>
          <w:color w:val="000000" w:themeColor="text1"/>
          <w:sz w:val="24"/>
          <w:szCs w:val="24"/>
        </w:rPr>
        <w:t>…</w:t>
      </w:r>
      <w:r w:rsidRPr="0044150C">
        <w:rPr>
          <w:rFonts w:ascii="Arial" w:hAnsi="Arial" w:cs="Arial"/>
          <w:color w:val="000000" w:themeColor="text1"/>
          <w:sz w:val="24"/>
          <w:szCs w:val="24"/>
        </w:rPr>
        <w:t xml:space="preserve">… accept supervision of the government”, and </w:t>
      </w:r>
      <w:bookmarkStart w:id="23" w:name="_Hlk219098734"/>
      <w:r w:rsidRPr="0044150C">
        <w:rPr>
          <w:rFonts w:ascii="Arial" w:hAnsi="Arial" w:cs="Arial"/>
          <w:color w:val="000000" w:themeColor="text1"/>
          <w:sz w:val="24"/>
          <w:szCs w:val="24"/>
        </w:rPr>
        <w:t>Article 13 of the General Rules on Loans</w:t>
      </w:r>
      <w:bookmarkEnd w:id="23"/>
      <w:r w:rsidRPr="0044150C">
        <w:rPr>
          <w:rFonts w:ascii="Arial" w:hAnsi="Arial" w:cs="Arial"/>
          <w:color w:val="000000" w:themeColor="text1"/>
          <w:sz w:val="24"/>
          <w:szCs w:val="24"/>
        </w:rPr>
        <w:t xml:space="preserve"> which provide “A lender shall, pursuant to the ‘ceiling’ and ‘floor’ on loan interest rates fixed by the People's Bank of China, determine the interest rate for a loan, and shall specify it in the loan contract”, to find that the GOC </w:t>
      </w:r>
      <w:bookmarkStart w:id="24" w:name="OLE_LINK4"/>
      <w:r w:rsidRPr="0044150C">
        <w:rPr>
          <w:rFonts w:ascii="Arial" w:hAnsi="Arial" w:cs="Arial"/>
          <w:color w:val="000000" w:themeColor="text1"/>
          <w:sz w:val="24"/>
          <w:szCs w:val="24"/>
        </w:rPr>
        <w:t>possesses the authority to direct banks in their lending activities</w:t>
      </w:r>
      <w:bookmarkEnd w:id="24"/>
      <w:r w:rsidRPr="0044150C">
        <w:rPr>
          <w:rFonts w:ascii="Arial" w:hAnsi="Arial" w:cs="Arial"/>
          <w:color w:val="000000" w:themeColor="text1"/>
          <w:sz w:val="24"/>
          <w:szCs w:val="24"/>
        </w:rPr>
        <w:t xml:space="preserve">. </w:t>
      </w:r>
    </w:p>
    <w:p w14:paraId="26151B28" w14:textId="77777777" w:rsidR="0027706B" w:rsidRPr="0044150C" w:rsidRDefault="0027706B" w:rsidP="0027706B">
      <w:pPr>
        <w:pStyle w:val="a9"/>
        <w:rPr>
          <w:rFonts w:ascii="Arial" w:hAnsi="Arial" w:cs="Arial"/>
          <w:color w:val="000000" w:themeColor="text1"/>
          <w:sz w:val="24"/>
          <w:szCs w:val="24"/>
        </w:rPr>
      </w:pPr>
    </w:p>
    <w:p w14:paraId="704FDCBB" w14:textId="010A0002" w:rsidR="0078329D" w:rsidRPr="0044150C" w:rsidRDefault="0078329D" w:rsidP="0027706B">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The meaning of the “supervision” by government under Article 19 (Article 14 in previous version) of the Company Law needs to read in its context. The full text of Article 19 does not only provide that a company needs to accept supervision by the government, it also provides that a company needs to accept supervision from the “general public”, and needs to abide by “social morality and business ethics” and “be honest and faithful”, and this article apply to all types of companies. It is more than clear that this article only establishes </w:t>
      </w:r>
      <w:r w:rsidRPr="0044150C">
        <w:rPr>
          <w:rFonts w:ascii="Arial" w:hAnsi="Arial" w:cs="Arial"/>
          <w:color w:val="000000" w:themeColor="text1"/>
          <w:sz w:val="24"/>
          <w:szCs w:val="24"/>
        </w:rPr>
        <w:lastRenderedPageBreak/>
        <w:t>general principles to all companies to comply with in their operations, and this article does not impose any special or particular right for the government to exercise over all companies including the lending institutions. Alternative reading would lead to unsubstantiated result that the “general public” would also possesses the authority to direct banks in their lending activities. Finding such a provision establish government authority over a private party or establish entrustment or direction is also in clear contradiction to the finding of the Appellate Body that “not all government acts necessarily amount to entrustment or direction.”</w:t>
      </w:r>
      <w:r w:rsidRPr="0044150C">
        <w:rPr>
          <w:rStyle w:val="ab"/>
          <w:rFonts w:ascii="Arial" w:hAnsi="Arial" w:cs="Arial"/>
          <w:color w:val="000000" w:themeColor="text1"/>
          <w:sz w:val="24"/>
          <w:szCs w:val="24"/>
        </w:rPr>
        <w:footnoteReference w:id="25"/>
      </w:r>
    </w:p>
    <w:p w14:paraId="77AEF1E3" w14:textId="77777777" w:rsidR="0027706B" w:rsidRPr="0044150C" w:rsidRDefault="0027706B" w:rsidP="0027706B">
      <w:pPr>
        <w:pStyle w:val="a9"/>
        <w:tabs>
          <w:tab w:val="left" w:pos="917"/>
        </w:tabs>
        <w:autoSpaceDE w:val="0"/>
        <w:autoSpaceDN w:val="0"/>
        <w:spacing w:before="1"/>
        <w:ind w:left="709" w:right="95"/>
        <w:rPr>
          <w:rFonts w:ascii="Arial" w:hAnsi="Arial" w:cs="Arial"/>
          <w:color w:val="000000" w:themeColor="text1"/>
          <w:sz w:val="24"/>
          <w:szCs w:val="24"/>
        </w:rPr>
      </w:pPr>
    </w:p>
    <w:p w14:paraId="42D3D34E" w14:textId="4B7135E5" w:rsidR="0078329D" w:rsidRPr="0044150C" w:rsidRDefault="0078329D" w:rsidP="0027706B">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The </w:t>
      </w:r>
      <w:bookmarkStart w:id="25" w:name="_Hlk219098749"/>
      <w:r w:rsidRPr="0044150C">
        <w:rPr>
          <w:rFonts w:ascii="Arial" w:hAnsi="Arial" w:cs="Arial"/>
          <w:color w:val="000000" w:themeColor="text1"/>
          <w:sz w:val="24"/>
          <w:szCs w:val="24"/>
        </w:rPr>
        <w:t>government-stipulated range of interest rates</w:t>
      </w:r>
      <w:bookmarkEnd w:id="25"/>
      <w:r w:rsidRPr="0044150C">
        <w:rPr>
          <w:rFonts w:ascii="Arial" w:hAnsi="Arial" w:cs="Arial"/>
          <w:color w:val="000000" w:themeColor="text1"/>
          <w:sz w:val="24"/>
          <w:szCs w:val="24"/>
        </w:rPr>
        <w:t xml:space="preserve"> in Article 13 of the General Rules on Loans, even assuming it is mandatory, does not establish government direction to private parties for loan nor is even relevant to such issue. In </w:t>
      </w:r>
      <w:r w:rsidRPr="0044150C">
        <w:rPr>
          <w:rFonts w:ascii="Arial" w:hAnsi="Arial" w:cs="Arial"/>
          <w:i/>
          <w:iCs/>
          <w:color w:val="000000" w:themeColor="text1"/>
          <w:sz w:val="24"/>
          <w:szCs w:val="24"/>
        </w:rPr>
        <w:t>US — Supercalendered Paper</w:t>
      </w:r>
      <w:r w:rsidRPr="0044150C">
        <w:rPr>
          <w:rFonts w:ascii="Arial" w:hAnsi="Arial" w:cs="Arial"/>
          <w:color w:val="000000" w:themeColor="text1"/>
          <w:sz w:val="24"/>
          <w:szCs w:val="24"/>
        </w:rPr>
        <w:t>, the government law includes rates, tolls, and charges of electricity set by the government to be followed by the private electricity suppliers, the government board establishes rate base for private electricity providers, and even the price, term and conditions of the below-the-line electricity rate individually negotiated between private electricity suppliers and customers need to be approved by the government board.</w:t>
      </w:r>
      <w:r w:rsidRPr="0044150C">
        <w:rPr>
          <w:rStyle w:val="ab"/>
          <w:rFonts w:ascii="Arial" w:hAnsi="Arial" w:cs="Arial"/>
          <w:color w:val="000000" w:themeColor="text1"/>
          <w:sz w:val="24"/>
          <w:szCs w:val="24"/>
        </w:rPr>
        <w:footnoteReference w:id="26"/>
      </w:r>
      <w:r w:rsidRPr="0044150C">
        <w:rPr>
          <w:rFonts w:ascii="Arial" w:hAnsi="Arial" w:cs="Arial"/>
          <w:color w:val="000000" w:themeColor="text1"/>
          <w:sz w:val="24"/>
          <w:szCs w:val="24"/>
        </w:rPr>
        <w:t xml:space="preserve"> Such stipulation in the law only sets out general requirements as to how electricity is provided, and it is not considered by the Panel as to establish or relevant to government entrustment or directions. Similarly in our case, the government-stipulated range of interest rates simply provides for general requirements as to how loans are provided, applying to all and not particular types of loans, and not directing the commercial banks as to whether to provide loans, to whom to provide loans, or on what other conditions loans should be provided, and thus should not be considered as relevant to the government direction analysis. </w:t>
      </w:r>
    </w:p>
    <w:p w14:paraId="65A52432" w14:textId="4117E312" w:rsidR="0027706B" w:rsidRPr="0044150C" w:rsidRDefault="003A2D16" w:rsidP="00552D57">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Concerning Article 15 of the General Rules on Loans, it is apparent from this provision that it is not related to the issuance of the loans by the banks per se. </w:t>
      </w:r>
      <w:r w:rsidRPr="0044150C">
        <w:rPr>
          <w:rFonts w:ascii="Arial" w:hAnsi="Arial" w:cs="Arial"/>
          <w:color w:val="000000" w:themeColor="text1"/>
          <w:sz w:val="24"/>
          <w:szCs w:val="24"/>
        </w:rPr>
        <w:lastRenderedPageBreak/>
        <w:t xml:space="preserve">It only relates to the discount interest rate on the loan. None of the banks are under any obligation to provide the loans. It is, therefore, a misperception that all banks in China provide loans without evaluation of risks and financial position of a borrower. Article 15 of the Rules on Loans speaks nothing to the allegation that the banks are required or obliged either to subsidize loan interest rates or issue the loans according to the policies for the development of certain industries and/or the regional economy. </w:t>
      </w:r>
    </w:p>
    <w:p w14:paraId="535E1FA4" w14:textId="1726742B" w:rsidR="0078329D" w:rsidRPr="0044150C" w:rsidRDefault="0078329D" w:rsidP="0027706B">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Article 34 of the Law on Commercial Banks in China provides that “[c]ommercial banks shall conduct their business of lending</w:t>
      </w:r>
      <w:r w:rsidRPr="0044150C">
        <w:rPr>
          <w:rFonts w:ascii="Arial" w:eastAsia="等线" w:hAnsi="Arial" w:cs="Arial"/>
          <w:color w:val="000000" w:themeColor="text1"/>
          <w:sz w:val="24"/>
          <w:szCs w:val="24"/>
        </w:rPr>
        <w:t>…</w:t>
      </w:r>
      <w:r w:rsidRPr="0044150C">
        <w:rPr>
          <w:rFonts w:ascii="Arial" w:hAnsi="Arial" w:cs="Arial"/>
          <w:color w:val="000000" w:themeColor="text1"/>
          <w:sz w:val="24"/>
          <w:szCs w:val="24"/>
        </w:rPr>
        <w:t xml:space="preserve">… under the guidance of the industrial policies of the State”. TRA found such provision is indicative that government industrial policies and guidance are used specifically to issue directions to commercial banks regarding lending. Further, TRA found that provisions in the Decision No. 40 and its accompanying catalogue stipulate to the financial institutions different financing policies regarding the encouraged, restricted and eliminated industry categories, and they fundamentally limiting financial institutions in terms of how they may exercise free choice when making lending decisions. </w:t>
      </w:r>
    </w:p>
    <w:p w14:paraId="659752E8" w14:textId="77777777" w:rsidR="0027706B" w:rsidRPr="0044150C" w:rsidRDefault="0027706B" w:rsidP="0027706B">
      <w:pPr>
        <w:pStyle w:val="a9"/>
        <w:rPr>
          <w:rFonts w:ascii="Arial" w:hAnsi="Arial" w:cs="Arial"/>
          <w:color w:val="000000" w:themeColor="text1"/>
          <w:sz w:val="24"/>
          <w:szCs w:val="24"/>
        </w:rPr>
      </w:pPr>
    </w:p>
    <w:p w14:paraId="43E79510" w14:textId="77777777" w:rsidR="0027706B" w:rsidRPr="0044150C" w:rsidRDefault="0078329D" w:rsidP="0027706B">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TRA rejected the arguments of GOC that Articles 4 &amp; 5 of the Law on Commercial Banks provide that commercial banks in the PRC operate without interference from any “unit or individual”, and found that these articles are overridden by Article 34 of the same law and other policies.</w:t>
      </w:r>
    </w:p>
    <w:p w14:paraId="5CF0BB48" w14:textId="3F8A9E4C" w:rsidR="0078329D" w:rsidRPr="0044150C" w:rsidRDefault="0078329D" w:rsidP="0027706B">
      <w:pPr>
        <w:pStyle w:val="a9"/>
        <w:tabs>
          <w:tab w:val="left" w:pos="917"/>
        </w:tabs>
        <w:autoSpaceDE w:val="0"/>
        <w:autoSpaceDN w:val="0"/>
        <w:spacing w:before="1"/>
        <w:ind w:left="709" w:right="95"/>
        <w:rPr>
          <w:rFonts w:ascii="Arial" w:hAnsi="Arial" w:cs="Arial"/>
          <w:color w:val="000000" w:themeColor="text1"/>
          <w:sz w:val="24"/>
          <w:szCs w:val="24"/>
        </w:rPr>
      </w:pPr>
      <w:r w:rsidRPr="0044150C">
        <w:rPr>
          <w:rFonts w:ascii="Arial" w:hAnsi="Arial" w:cs="Arial"/>
          <w:color w:val="000000" w:themeColor="text1"/>
          <w:sz w:val="24"/>
          <w:szCs w:val="24"/>
        </w:rPr>
        <w:t xml:space="preserve"> </w:t>
      </w:r>
    </w:p>
    <w:p w14:paraId="1A4D97CB" w14:textId="401F619B" w:rsidR="0078329D" w:rsidRPr="0044150C" w:rsidRDefault="0078329D" w:rsidP="0027706B">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GOC believes TRA has conflated the correct scope of the issues that, on </w:t>
      </w:r>
      <w:r w:rsidRPr="0044150C">
        <w:rPr>
          <w:rFonts w:ascii="Arial" w:hAnsi="Arial" w:cs="Arial"/>
          <w:i/>
          <w:iCs/>
          <w:color w:val="000000" w:themeColor="text1"/>
          <w:sz w:val="24"/>
          <w:szCs w:val="24"/>
        </w:rPr>
        <w:t>de jure</w:t>
      </w:r>
      <w:r w:rsidRPr="0044150C">
        <w:rPr>
          <w:rFonts w:ascii="Arial" w:hAnsi="Arial" w:cs="Arial"/>
          <w:color w:val="000000" w:themeColor="text1"/>
          <w:sz w:val="24"/>
          <w:szCs w:val="24"/>
        </w:rPr>
        <w:t xml:space="preserve"> basis, it is obliged to assess, and the methodology should be applied for its determination on government directions, and made unsubstantiated findings. </w:t>
      </w:r>
    </w:p>
    <w:p w14:paraId="0EF03E92" w14:textId="77777777" w:rsidR="0027706B" w:rsidRPr="0044150C" w:rsidRDefault="0027706B" w:rsidP="0027706B">
      <w:pPr>
        <w:pStyle w:val="a9"/>
        <w:tabs>
          <w:tab w:val="left" w:pos="917"/>
        </w:tabs>
        <w:autoSpaceDE w:val="0"/>
        <w:autoSpaceDN w:val="0"/>
        <w:spacing w:before="1"/>
        <w:ind w:left="360" w:right="95"/>
        <w:rPr>
          <w:rFonts w:ascii="Arial" w:hAnsi="Arial" w:cs="Arial"/>
          <w:color w:val="000000" w:themeColor="text1"/>
          <w:sz w:val="24"/>
          <w:szCs w:val="24"/>
        </w:rPr>
      </w:pPr>
    </w:p>
    <w:p w14:paraId="2DC50A08" w14:textId="7190BCD3" w:rsidR="0078329D" w:rsidRPr="0044150C" w:rsidRDefault="0078329D" w:rsidP="0027706B">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As summarized above, the WTO panels and Appellate Body found that entrustment and direction do not cover government intervention which may or may not have a particular result and would depend on the exercise of free choice by the private parties. When the general obligation stipulated by the </w:t>
      </w:r>
      <w:r w:rsidRPr="0044150C">
        <w:rPr>
          <w:rFonts w:ascii="Arial" w:hAnsi="Arial" w:cs="Arial"/>
          <w:color w:val="000000" w:themeColor="text1"/>
          <w:sz w:val="24"/>
          <w:szCs w:val="24"/>
        </w:rPr>
        <w:lastRenderedPageBreak/>
        <w:t xml:space="preserve">government to private parties does not require the private parties to engage in a particular conduct “no matter the terms or conditions”, i.e., the private party has and could exercise its “free choice”, there should not be an entrustment or direction finding. Thus, the correct scope of issues, on </w:t>
      </w:r>
      <w:r w:rsidRPr="0044150C">
        <w:rPr>
          <w:rFonts w:ascii="Arial" w:hAnsi="Arial" w:cs="Arial"/>
          <w:i/>
          <w:iCs/>
          <w:color w:val="000000" w:themeColor="text1"/>
          <w:sz w:val="24"/>
          <w:szCs w:val="24"/>
        </w:rPr>
        <w:t>de jure</w:t>
      </w:r>
      <w:r w:rsidRPr="0044150C">
        <w:rPr>
          <w:rFonts w:ascii="Arial" w:hAnsi="Arial" w:cs="Arial"/>
          <w:color w:val="000000" w:themeColor="text1"/>
          <w:sz w:val="24"/>
          <w:szCs w:val="24"/>
        </w:rPr>
        <w:t xml:space="preserve"> basis, for the TRA to assess is whether the government laws, regulations and policies have granted the financial institutions “freedom of choice” as to whether or not to provide loans to a particular industry or applicant. Thus, the correct methodologies that should have been applied by TRA are not to assess whether the government laws, regulations, policies encourage or require financial institutions to provide loans following the guidance of certain industry policies, but to assess whether such encouragement or requirements leave “freedom of choice” to the financial institutions themselves to make loan decisions based on their own criteria, i.e., not “no matter the terms and conditions”. In such exercise, TRA should employ holistic reading of all relevant provisions and give meaning to all provisions instead of reading some of them void. With these legal principles in mind, GOC would analyze specific law, regulation, policies relied upon by the TRA. </w:t>
      </w:r>
      <w:r w:rsidR="00C01C79" w:rsidRPr="0044150C">
        <w:rPr>
          <w:rFonts w:ascii="Arial" w:hAnsi="Arial" w:cs="Arial"/>
          <w:color w:val="000000" w:themeColor="text1"/>
          <w:sz w:val="24"/>
          <w:szCs w:val="24"/>
        </w:rPr>
        <w:t xml:space="preserve">  </w:t>
      </w:r>
    </w:p>
    <w:p w14:paraId="58A8CF0E" w14:textId="77777777" w:rsidR="0027706B" w:rsidRPr="0044150C" w:rsidRDefault="0027706B" w:rsidP="0027706B">
      <w:pPr>
        <w:pStyle w:val="a9"/>
        <w:tabs>
          <w:tab w:val="left" w:pos="917"/>
        </w:tabs>
        <w:autoSpaceDE w:val="0"/>
        <w:autoSpaceDN w:val="0"/>
        <w:spacing w:before="1"/>
        <w:ind w:left="360" w:right="95"/>
        <w:rPr>
          <w:rFonts w:ascii="Arial" w:hAnsi="Arial" w:cs="Arial"/>
          <w:color w:val="000000" w:themeColor="text1"/>
          <w:sz w:val="24"/>
          <w:szCs w:val="24"/>
        </w:rPr>
      </w:pPr>
    </w:p>
    <w:p w14:paraId="7B1EB316" w14:textId="487AB167" w:rsidR="0078329D" w:rsidRPr="0044150C" w:rsidRDefault="0078329D" w:rsidP="0027706B">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In </w:t>
      </w:r>
      <w:bookmarkStart w:id="26" w:name="OLE_LINK6"/>
      <w:r w:rsidRPr="0044150C">
        <w:rPr>
          <w:rFonts w:ascii="Arial" w:hAnsi="Arial" w:cs="Arial"/>
          <w:color w:val="000000" w:themeColor="text1"/>
          <w:sz w:val="24"/>
          <w:szCs w:val="24"/>
        </w:rPr>
        <w:t>Law on Commercial Banks</w:t>
      </w:r>
      <w:bookmarkEnd w:id="26"/>
      <w:r w:rsidRPr="0044150C">
        <w:rPr>
          <w:rFonts w:ascii="Arial" w:hAnsi="Arial" w:cs="Arial"/>
          <w:color w:val="000000" w:themeColor="text1"/>
          <w:sz w:val="24"/>
          <w:szCs w:val="24"/>
        </w:rPr>
        <w:t xml:space="preserve">, Article 4 provides that “Commercial banks shall operate on the basis of the principles of security, liquidity and benefit, exercise autonomous management, bear their own risks, assume full responsibility for profits and losses and exercise self-regulation. Commercial banks shall conduct their operations in accordance with laws and be free from interference by any organization or individual.” Article 41 provides that “No organization or individual shall compel the commercial banks to grant loans or provide guarantees. Commercial banks shall have the right to refuse the request of any organization or individual for granting of loans or provision of guarantees.” Article 35 provides that “Commercial banks shall conduct strict examination of the borrower such as the purposes of the loan, repayment ability and method etc for provision of loans.” These explicit provisions, reading together and holistically with Article 34, demonstrate that even though commercial banks are required to conduct loan business under the guidance of industry policies, </w:t>
      </w:r>
      <w:r w:rsidRPr="0044150C">
        <w:rPr>
          <w:rFonts w:ascii="Arial" w:hAnsi="Arial" w:cs="Arial"/>
          <w:color w:val="000000" w:themeColor="text1"/>
          <w:sz w:val="24"/>
          <w:szCs w:val="24"/>
        </w:rPr>
        <w:lastRenderedPageBreak/>
        <w:t xml:space="preserve">this is not required “no matter the terms or conditions”. Article 34 does not grant government or individuals the right, based on government industry policies, to compel financial institutions to provide loans to an industry or a borrower disregarding the specific situation of the borrower, such as its repayment ability, because the latter is also obligation provided for in the same law. In another word, the financial institutions are to conduct its loan business under the guidance of industry policies, but with its “freedom of choice” to make its own loan decisions based on its own assessment of the situation of a particular borrower. </w:t>
      </w:r>
    </w:p>
    <w:p w14:paraId="25F488FF" w14:textId="77777777" w:rsidR="0027706B" w:rsidRPr="0044150C" w:rsidRDefault="0027706B" w:rsidP="0027706B">
      <w:pPr>
        <w:pStyle w:val="a9"/>
        <w:tabs>
          <w:tab w:val="left" w:pos="917"/>
        </w:tabs>
        <w:autoSpaceDE w:val="0"/>
        <w:autoSpaceDN w:val="0"/>
        <w:spacing w:before="1"/>
        <w:ind w:left="709" w:right="95"/>
        <w:rPr>
          <w:rFonts w:ascii="Arial" w:hAnsi="Arial" w:cs="Arial"/>
          <w:color w:val="000000" w:themeColor="text1"/>
          <w:sz w:val="24"/>
          <w:szCs w:val="24"/>
        </w:rPr>
      </w:pPr>
    </w:p>
    <w:p w14:paraId="63C95F8E" w14:textId="222DA94C" w:rsidR="0078329D" w:rsidRPr="0044150C" w:rsidRDefault="0078329D" w:rsidP="0027706B">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This situation is very similar to those underlying the </w:t>
      </w:r>
      <w:r w:rsidRPr="0044150C">
        <w:rPr>
          <w:rFonts w:ascii="Arial" w:hAnsi="Arial" w:cs="Arial"/>
          <w:i/>
          <w:iCs/>
          <w:color w:val="000000" w:themeColor="text1"/>
          <w:sz w:val="24"/>
          <w:szCs w:val="24"/>
        </w:rPr>
        <w:t>US — Supercalendered Paper</w:t>
      </w:r>
      <w:r w:rsidRPr="0044150C">
        <w:rPr>
          <w:rFonts w:ascii="Arial" w:hAnsi="Arial" w:cs="Arial"/>
          <w:color w:val="000000" w:themeColor="text1"/>
          <w:sz w:val="24"/>
          <w:szCs w:val="24"/>
        </w:rPr>
        <w:t xml:space="preserve"> case. In that case, the government law provides for general service of electricity obligations to the private electricity suppliers, but leaves the suppliers “freedom of choice” whether to supply electricity to a particular entity depending on whether the entity satisfies or accepts government-stipulated or government-approved electricity rate and conditions, i.e., regardless of the general service obligations stipulated by law, the private suppliers are not required to supply “in all circumstances”. In our case, the financial institutions are under general guidance of industry policies in its loan business, but are also obliged to make its own assessment of the situation of a particular borrower for specific loan decisions, i.e., loans are not required to be provided to particular industry or borrower under the guidance of industry polices “in all circumstances”. It would be absurd to read Article 34 to require a financial institution to provide loans to borrower under uncreditworthy situation or even bankruptcy situation simply because it is in an encouraged industry. There is no support and it is against common sense that Articles 4, 5 and 41 are simply overridden by Article 34 or other policies and are left meaningless. </w:t>
      </w:r>
    </w:p>
    <w:p w14:paraId="4CC48527" w14:textId="77777777" w:rsidR="0027706B" w:rsidRPr="0044150C" w:rsidRDefault="0027706B" w:rsidP="0027706B">
      <w:pPr>
        <w:pStyle w:val="a9"/>
        <w:tabs>
          <w:tab w:val="left" w:pos="917"/>
        </w:tabs>
        <w:autoSpaceDE w:val="0"/>
        <w:autoSpaceDN w:val="0"/>
        <w:spacing w:before="1"/>
        <w:ind w:left="709" w:right="95"/>
        <w:rPr>
          <w:rFonts w:ascii="Arial" w:hAnsi="Arial" w:cs="Arial"/>
          <w:color w:val="000000" w:themeColor="text1"/>
          <w:sz w:val="24"/>
          <w:szCs w:val="24"/>
        </w:rPr>
      </w:pPr>
    </w:p>
    <w:p w14:paraId="3F63C17F" w14:textId="26B8576C" w:rsidR="0078329D" w:rsidRPr="0044150C" w:rsidRDefault="0078329D" w:rsidP="0027706B">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Further, for the assessment purpose, Decision 40 is part of the industry policies under Article 34 of the Law on Commercial Banks. It does not add or dimmish the legal obligations for financial institutions under the Law on Commercial Banks as explained above. Any possible limiting effects, assuming there is any, </w:t>
      </w:r>
      <w:r w:rsidRPr="0044150C">
        <w:rPr>
          <w:rFonts w:ascii="Arial" w:hAnsi="Arial" w:cs="Arial"/>
          <w:color w:val="000000" w:themeColor="text1"/>
          <w:sz w:val="24"/>
          <w:szCs w:val="24"/>
        </w:rPr>
        <w:lastRenderedPageBreak/>
        <w:t xml:space="preserve">in terms of how the financial institutions may exercise free choice, does not change the fact that the financial institutions are provided with “freedom of choice” for loan decisions regardless of the guidance of the industrial policies. </w:t>
      </w:r>
    </w:p>
    <w:p w14:paraId="27FB2BD7" w14:textId="77777777" w:rsidR="0027706B" w:rsidRPr="0044150C" w:rsidRDefault="0027706B" w:rsidP="0027706B">
      <w:pPr>
        <w:pStyle w:val="a9"/>
        <w:rPr>
          <w:rFonts w:ascii="Arial" w:hAnsi="Arial" w:cs="Arial"/>
          <w:color w:val="000000" w:themeColor="text1"/>
          <w:sz w:val="24"/>
          <w:szCs w:val="24"/>
        </w:rPr>
      </w:pPr>
    </w:p>
    <w:p w14:paraId="71030917" w14:textId="0686757D" w:rsidR="0078329D" w:rsidRPr="0044150C" w:rsidRDefault="0078329D" w:rsidP="0027706B">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Indeed, Article 34 of the Law on Commercial Banks is not intended to permit GOC to directly direct commercial banks to conduct their operation and lending business. Legislative Affairs Commission of the Standing Committee of the National People's Congress, which is in charge of the legislative work of the national legislative body, issued an Interpretation of the Law on Commercial Banks in 2004, revealing and clarifying the legislative purpose and interpretation of Article 34 thereof.</w:t>
      </w:r>
      <w:r w:rsidRPr="0044150C">
        <w:rPr>
          <w:rStyle w:val="ab"/>
          <w:rFonts w:ascii="Arial" w:hAnsi="Arial" w:cs="Arial"/>
          <w:color w:val="000000" w:themeColor="text1"/>
          <w:sz w:val="24"/>
          <w:szCs w:val="24"/>
        </w:rPr>
        <w:footnoteReference w:id="27"/>
      </w:r>
      <w:r w:rsidRPr="0044150C">
        <w:rPr>
          <w:rFonts w:ascii="Arial" w:hAnsi="Arial" w:cs="Arial"/>
          <w:color w:val="000000" w:themeColor="text1"/>
          <w:sz w:val="24"/>
          <w:szCs w:val="24"/>
        </w:rPr>
        <w:t xml:space="preserve"> This interpretation explicitly noted that the role played by the national industrial and development policies in the loan business of the commercial banks is only “guiding role”, “not directly directing the commercial banks in conducting lending business”. The Interpretation also clarifies that the guidance of the industrial policies is not in conflict with the benefit of the commercial banks and how. It is explained that, for its own benefit, the commercial banks might choose to take measures consistent with the national policies, but the commercial banks are not obliged to or directed by the government to take specific measures following the national policies, and it is for the commercial banks to make its autonomous decisions </w:t>
      </w:r>
      <w:bookmarkStart w:id="27" w:name="OLE_LINK1"/>
      <w:r w:rsidRPr="0044150C">
        <w:rPr>
          <w:rFonts w:ascii="Arial" w:hAnsi="Arial" w:cs="Arial"/>
          <w:color w:val="000000" w:themeColor="text1"/>
          <w:sz w:val="24"/>
          <w:szCs w:val="24"/>
        </w:rPr>
        <w:t xml:space="preserve">“based on the market conditions and their own interests”. </w:t>
      </w:r>
      <w:bookmarkEnd w:id="27"/>
      <w:r w:rsidRPr="0044150C">
        <w:rPr>
          <w:rFonts w:ascii="Arial" w:hAnsi="Arial" w:cs="Arial"/>
          <w:color w:val="000000" w:themeColor="text1"/>
          <w:sz w:val="24"/>
          <w:szCs w:val="24"/>
        </w:rPr>
        <w:t xml:space="preserve">The Interpretation provides official and authoritative holistic reading of Article 34 together with other articles such as Articles 4, 5 and 41. It is clear that the legal rights of autonomous loan decisions by the commercial banks in Articles 4, 5 and 41 are not overridden by Article 34, and the guidance of industrial policies under Article 34 is not mandatory in relation to specific loan decisions by the commercial banks. </w:t>
      </w:r>
    </w:p>
    <w:p w14:paraId="6F55FC8C" w14:textId="77777777" w:rsidR="0027706B" w:rsidRPr="0044150C" w:rsidRDefault="0027706B" w:rsidP="0027706B">
      <w:pPr>
        <w:pStyle w:val="a9"/>
        <w:tabs>
          <w:tab w:val="left" w:pos="917"/>
        </w:tabs>
        <w:autoSpaceDE w:val="0"/>
        <w:autoSpaceDN w:val="0"/>
        <w:spacing w:before="1"/>
        <w:ind w:left="709" w:right="95"/>
        <w:rPr>
          <w:rFonts w:ascii="Arial" w:hAnsi="Arial" w:cs="Arial"/>
          <w:color w:val="000000" w:themeColor="text1"/>
          <w:sz w:val="24"/>
          <w:szCs w:val="24"/>
        </w:rPr>
      </w:pPr>
    </w:p>
    <w:p w14:paraId="1C809D09" w14:textId="25F5C8AB" w:rsidR="0078329D" w:rsidRPr="0044150C" w:rsidRDefault="0078329D" w:rsidP="0027706B">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lastRenderedPageBreak/>
        <w:t xml:space="preserve">Similarly, in General Rule on Loan, there are multiple provisions with more detailed rules that provide for autonomous loan decisions by the banks based on strict assessment of the borrower’s situations. Such provisions include but not limited to Articles 3, 4, 10, 11 and 17. Such provisions, which provide financial institutions the “freedom of choice” to decide to provide loans to borrowers satisfying these strict conditions, are not allowed to be neglected and overridden for the reason of industry policies. </w:t>
      </w:r>
    </w:p>
    <w:p w14:paraId="2753BC98" w14:textId="77777777" w:rsidR="001A4DBD" w:rsidRPr="0044150C" w:rsidRDefault="001A4DBD" w:rsidP="001A4DBD">
      <w:pPr>
        <w:pStyle w:val="a9"/>
        <w:rPr>
          <w:rFonts w:ascii="Arial" w:hAnsi="Arial" w:cs="Arial"/>
          <w:color w:val="000000" w:themeColor="text1"/>
          <w:sz w:val="24"/>
          <w:szCs w:val="24"/>
        </w:rPr>
      </w:pPr>
    </w:p>
    <w:p w14:paraId="0D15287B" w14:textId="15376A6E" w:rsidR="0078329D" w:rsidRPr="0044150C" w:rsidRDefault="0078329D" w:rsidP="001A4DBD">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Last, TRA also ignored too arbitrarily the pre-condition, “in accordance with credit principles”, for providing credit support to encouraged industries in Article 17 of Decision 40. A holistic reading by the TRA of this provision along with the various provisions of Law on Commercial Banks and General Rule on Loan, including but not limited to those provisions referenced above, would easily show that such “credit principles” would include strict assessment of the particular situation of the borrowers such as repayment abilities and more. “In accordance with credit principles” is clearly a qualification and pre-condition applied to providing credit support under Article 17 of Decision 40, which explicitly stipulates the credit support should not be provided “no matter the terms or conditions” and “freedom of choice” is provided to the financial institutions.</w:t>
      </w:r>
    </w:p>
    <w:p w14:paraId="7524BCF0" w14:textId="77777777" w:rsidR="001A4DBD" w:rsidRPr="0044150C" w:rsidRDefault="001A4DBD" w:rsidP="001A4DBD">
      <w:pPr>
        <w:pStyle w:val="a9"/>
        <w:rPr>
          <w:rFonts w:ascii="Arial" w:hAnsi="Arial" w:cs="Arial"/>
          <w:color w:val="000000" w:themeColor="text1"/>
          <w:sz w:val="24"/>
          <w:szCs w:val="24"/>
        </w:rPr>
      </w:pPr>
    </w:p>
    <w:p w14:paraId="51B50B81" w14:textId="75066CC5" w:rsidR="0078329D" w:rsidRPr="0044150C" w:rsidRDefault="0078329D" w:rsidP="001A4DBD">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Finally, we address the documents of the relevant commercial banks that provide loans to the respondents. </w:t>
      </w:r>
    </w:p>
    <w:p w14:paraId="7D49B280" w14:textId="77777777" w:rsidR="001A4DBD" w:rsidRPr="0044150C" w:rsidRDefault="001A4DBD" w:rsidP="001A4DBD">
      <w:pPr>
        <w:pStyle w:val="a9"/>
        <w:rPr>
          <w:rFonts w:ascii="Arial" w:hAnsi="Arial" w:cs="Arial"/>
          <w:color w:val="000000" w:themeColor="text1"/>
          <w:sz w:val="24"/>
          <w:szCs w:val="24"/>
        </w:rPr>
      </w:pPr>
    </w:p>
    <w:p w14:paraId="29873319" w14:textId="6CE5A967" w:rsidR="0078329D" w:rsidRPr="0044150C" w:rsidRDefault="0078329D" w:rsidP="001A4DBD">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In previous investigations, TRA reviewed the AOA, annual report, Director’s report and public statements of the banks that provide loans to the respondents, and found Chinese Communist Party committee are present in the banks and with the role to implement the government policies by the banks, and the Committee’s right to select and control bank’s management, and also directing the operational decisions of the banks, facilitate its role in implementing government policies. </w:t>
      </w:r>
    </w:p>
    <w:p w14:paraId="4D947CED" w14:textId="77777777" w:rsidR="001A4DBD" w:rsidRPr="0044150C" w:rsidRDefault="001A4DBD" w:rsidP="001A4DBD">
      <w:pPr>
        <w:pStyle w:val="a9"/>
        <w:rPr>
          <w:rFonts w:ascii="Arial" w:hAnsi="Arial" w:cs="Arial"/>
          <w:color w:val="000000" w:themeColor="text1"/>
          <w:sz w:val="24"/>
          <w:szCs w:val="24"/>
        </w:rPr>
      </w:pPr>
    </w:p>
    <w:p w14:paraId="42C01AC0" w14:textId="0179985A" w:rsidR="0078329D" w:rsidRPr="0044150C" w:rsidRDefault="0078329D" w:rsidP="001A4DBD">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lastRenderedPageBreak/>
        <w:t xml:space="preserve">As explained and substantiated in details above, the industrial policies are only guidance for the commercials banks in their loan business, not mandatory, the government does not direct the commercial banks through industrial policies in their loan business, and the commercial banks have autonomous rights and freedom to make their own loan decisions “based on the market conditions and their own interests”. In such situation, the general government industrial policies, considered by the commercial bank or not under their own choice for their own interests for a particular loan to the respondents, would not be relevant at all for TRA’s government direction analysis. Therefore, the analysis by the TRA based on banks’ documents are redundant and unnecessary. Having said this, for </w:t>
      </w:r>
      <w:r w:rsidR="001A4DBD" w:rsidRPr="0044150C">
        <w:rPr>
          <w:rFonts w:ascii="Arial" w:hAnsi="Arial" w:cs="Arial"/>
          <w:color w:val="000000" w:themeColor="text1"/>
          <w:sz w:val="24"/>
          <w:szCs w:val="24"/>
        </w:rPr>
        <w:t xml:space="preserve">the </w:t>
      </w:r>
      <w:r w:rsidRPr="0044150C">
        <w:rPr>
          <w:rFonts w:ascii="Arial" w:hAnsi="Arial" w:cs="Arial"/>
          <w:color w:val="000000" w:themeColor="text1"/>
          <w:sz w:val="24"/>
          <w:szCs w:val="24"/>
        </w:rPr>
        <w:t>sake</w:t>
      </w:r>
      <w:r w:rsidR="001A4DBD" w:rsidRPr="0044150C">
        <w:rPr>
          <w:rFonts w:ascii="Arial" w:hAnsi="Arial" w:cs="Arial"/>
          <w:color w:val="000000" w:themeColor="text1"/>
          <w:sz w:val="24"/>
          <w:szCs w:val="24"/>
        </w:rPr>
        <w:t xml:space="preserve"> of completeness</w:t>
      </w:r>
      <w:r w:rsidRPr="0044150C">
        <w:rPr>
          <w:rFonts w:ascii="Arial" w:hAnsi="Arial" w:cs="Arial"/>
          <w:color w:val="000000" w:themeColor="text1"/>
          <w:sz w:val="24"/>
          <w:szCs w:val="24"/>
        </w:rPr>
        <w:t xml:space="preserve">, GOC would continue its discussion in this respect. </w:t>
      </w:r>
    </w:p>
    <w:p w14:paraId="2F16DDB3" w14:textId="77777777" w:rsidR="001A4DBD" w:rsidRPr="0044150C" w:rsidRDefault="001A4DBD" w:rsidP="001A4DBD">
      <w:pPr>
        <w:pStyle w:val="a9"/>
        <w:rPr>
          <w:rFonts w:ascii="Arial" w:hAnsi="Arial" w:cs="Arial"/>
          <w:color w:val="000000" w:themeColor="text1"/>
          <w:sz w:val="24"/>
          <w:szCs w:val="24"/>
        </w:rPr>
      </w:pPr>
    </w:p>
    <w:p w14:paraId="5ECF1B54" w14:textId="7FC01295" w:rsidR="0078329D" w:rsidRPr="0044150C" w:rsidRDefault="0078329D" w:rsidP="001A4DBD">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As explained above, the Appellate Body found that “a finding of entrustment or direction, by itself, does not establish the existence of a financial contribution,” the government directed actions need “indeed be carried out”, and “if the private body has not carried out the function allegedly entrusted or directed to it,” “there is no financial contribution and, consequently, there would be no right to apply countervailing measures.” Also as analyzed above, not all private body’s conducts could be attributable to the government.  Therefore, assessment on </w:t>
      </w:r>
      <w:r w:rsidRPr="0044150C">
        <w:rPr>
          <w:rFonts w:ascii="Arial" w:hAnsi="Arial" w:cs="Arial"/>
          <w:i/>
          <w:iCs/>
          <w:color w:val="000000" w:themeColor="text1"/>
          <w:sz w:val="24"/>
          <w:szCs w:val="24"/>
        </w:rPr>
        <w:t>de facto</w:t>
      </w:r>
      <w:r w:rsidRPr="0044150C">
        <w:rPr>
          <w:rFonts w:ascii="Arial" w:hAnsi="Arial" w:cs="Arial"/>
          <w:color w:val="000000" w:themeColor="text1"/>
          <w:sz w:val="24"/>
          <w:szCs w:val="24"/>
        </w:rPr>
        <w:t xml:space="preserve"> basis, or based on circumstantial evidences, would need to be focused on whether the specific loans received by the respondents, i.e., the specific conduct of providing the loans at issue, are provided by the banks based on government directions. </w:t>
      </w:r>
    </w:p>
    <w:p w14:paraId="402001CC" w14:textId="77777777" w:rsidR="001A4DBD" w:rsidRPr="0044150C" w:rsidRDefault="001A4DBD" w:rsidP="001A4DBD">
      <w:pPr>
        <w:pStyle w:val="a9"/>
        <w:rPr>
          <w:rFonts w:ascii="Arial" w:hAnsi="Arial" w:cs="Arial"/>
          <w:color w:val="000000" w:themeColor="text1"/>
          <w:sz w:val="24"/>
          <w:szCs w:val="24"/>
        </w:rPr>
      </w:pPr>
    </w:p>
    <w:p w14:paraId="38D09D38" w14:textId="59B62539" w:rsidR="0078329D" w:rsidRPr="0044150C" w:rsidRDefault="00AA20D6" w:rsidP="001A4DBD">
      <w:pPr>
        <w:pStyle w:val="a9"/>
        <w:numPr>
          <w:ilvl w:val="0"/>
          <w:numId w:val="1"/>
        </w:numPr>
        <w:tabs>
          <w:tab w:val="left" w:pos="917"/>
        </w:tabs>
        <w:autoSpaceDE w:val="0"/>
        <w:autoSpaceDN w:val="0"/>
        <w:spacing w:before="1"/>
        <w:ind w:left="709" w:right="95" w:hanging="709"/>
        <w:rPr>
          <w:rFonts w:ascii="Arial" w:hAnsi="Arial" w:cs="Arial"/>
          <w:color w:val="000000" w:themeColor="text1"/>
          <w:sz w:val="24"/>
          <w:szCs w:val="24"/>
        </w:rPr>
      </w:pPr>
      <w:r w:rsidRPr="0044150C">
        <w:rPr>
          <w:rFonts w:ascii="Arial" w:hAnsi="Arial" w:cs="Arial"/>
          <w:color w:val="000000" w:themeColor="text1"/>
          <w:sz w:val="24"/>
          <w:szCs w:val="24"/>
        </w:rPr>
        <w:t xml:space="preserve">Therefore, </w:t>
      </w:r>
      <w:r w:rsidR="00571F7C" w:rsidRPr="0044150C">
        <w:rPr>
          <w:rFonts w:ascii="Arial" w:hAnsi="Arial" w:cs="Arial"/>
          <w:color w:val="000000" w:themeColor="text1"/>
          <w:sz w:val="24"/>
          <w:szCs w:val="24"/>
        </w:rPr>
        <w:t xml:space="preserve">there is no legal basis for </w:t>
      </w:r>
      <w:r w:rsidRPr="0044150C">
        <w:rPr>
          <w:rFonts w:ascii="Arial" w:hAnsi="Arial" w:cs="Arial"/>
          <w:color w:val="000000" w:themeColor="text1"/>
          <w:sz w:val="24"/>
          <w:szCs w:val="24"/>
        </w:rPr>
        <w:t xml:space="preserve">the TRA </w:t>
      </w:r>
      <w:r w:rsidR="00571F7C" w:rsidRPr="0044150C">
        <w:rPr>
          <w:rFonts w:ascii="Arial" w:hAnsi="Arial" w:cs="Arial"/>
          <w:color w:val="000000" w:themeColor="text1"/>
          <w:sz w:val="24"/>
          <w:szCs w:val="24"/>
        </w:rPr>
        <w:t>to believe that Chinese laws allow the GOC to entrust or direct banks in China to provide loan to certain enterprises.</w:t>
      </w:r>
      <w:r w:rsidR="002B3146" w:rsidRPr="0044150C">
        <w:rPr>
          <w:rFonts w:ascii="Arial" w:hAnsi="Arial" w:cs="Arial"/>
          <w:color w:val="000000" w:themeColor="text1"/>
          <w:sz w:val="24"/>
          <w:szCs w:val="24"/>
        </w:rPr>
        <w:t xml:space="preserve"> Rather, all commercial banks are free to decide whether or not they would grant loans to its customers based on its own business assessment and judgment. If the TRA is to conduct analysis of entrustment or direction, it has</w:t>
      </w:r>
      <w:r w:rsidRPr="0044150C">
        <w:rPr>
          <w:rFonts w:ascii="Arial" w:hAnsi="Arial" w:cs="Arial"/>
          <w:color w:val="000000" w:themeColor="text1"/>
          <w:sz w:val="24"/>
          <w:szCs w:val="24"/>
        </w:rPr>
        <w:t xml:space="preserve"> to base its analysis </w:t>
      </w:r>
      <w:r w:rsidR="0078329D" w:rsidRPr="0044150C">
        <w:rPr>
          <w:rFonts w:ascii="Arial" w:hAnsi="Arial" w:cs="Arial"/>
          <w:color w:val="000000" w:themeColor="text1"/>
          <w:sz w:val="24"/>
          <w:szCs w:val="24"/>
        </w:rPr>
        <w:t xml:space="preserve">on </w:t>
      </w:r>
      <w:r w:rsidRPr="0044150C">
        <w:rPr>
          <w:rFonts w:ascii="Arial" w:hAnsi="Arial" w:cs="Arial"/>
          <w:color w:val="000000" w:themeColor="text1"/>
          <w:sz w:val="24"/>
          <w:szCs w:val="24"/>
        </w:rPr>
        <w:t>the</w:t>
      </w:r>
      <w:r w:rsidR="0078329D" w:rsidRPr="0044150C">
        <w:rPr>
          <w:rFonts w:ascii="Arial" w:hAnsi="Arial" w:cs="Arial"/>
          <w:color w:val="000000" w:themeColor="text1"/>
          <w:sz w:val="24"/>
          <w:szCs w:val="24"/>
        </w:rPr>
        <w:t xml:space="preserve"> totality of the evidences</w:t>
      </w:r>
      <w:r w:rsidR="002B3146" w:rsidRPr="0044150C">
        <w:rPr>
          <w:rFonts w:ascii="Arial" w:hAnsi="Arial" w:cs="Arial"/>
          <w:color w:val="000000" w:themeColor="text1"/>
          <w:sz w:val="24"/>
          <w:szCs w:val="24"/>
        </w:rPr>
        <w:t>, and on each specific loan provided by the banks</w:t>
      </w:r>
      <w:r w:rsidRPr="0044150C">
        <w:rPr>
          <w:rFonts w:ascii="Arial" w:hAnsi="Arial" w:cs="Arial"/>
          <w:color w:val="000000" w:themeColor="text1"/>
          <w:sz w:val="24"/>
          <w:szCs w:val="24"/>
        </w:rPr>
        <w:t>.</w:t>
      </w:r>
    </w:p>
    <w:p w14:paraId="0BBDC15A" w14:textId="77777777" w:rsidR="00985587" w:rsidRPr="0044150C" w:rsidRDefault="00985587" w:rsidP="00985587">
      <w:pPr>
        <w:pStyle w:val="a9"/>
        <w:widowControl w:val="0"/>
        <w:tabs>
          <w:tab w:val="left" w:pos="917"/>
        </w:tabs>
        <w:autoSpaceDE w:val="0"/>
        <w:autoSpaceDN w:val="0"/>
        <w:spacing w:before="1"/>
        <w:ind w:left="644" w:right="95"/>
        <w:rPr>
          <w:rFonts w:ascii="Arial" w:hAnsi="Arial" w:cs="Arial"/>
          <w:sz w:val="24"/>
          <w:szCs w:val="24"/>
          <w:lang w:val="en-GB"/>
        </w:rPr>
      </w:pPr>
    </w:p>
    <w:p w14:paraId="2170D039" w14:textId="7318A138" w:rsidR="00570BD2" w:rsidRPr="0044150C" w:rsidRDefault="00985587" w:rsidP="00985587">
      <w:pPr>
        <w:pStyle w:val="3"/>
        <w:spacing w:before="0"/>
        <w:rPr>
          <w:rFonts w:ascii="Arial" w:eastAsiaTheme="minorEastAsia" w:hAnsi="Arial" w:cs="Arial"/>
          <w:b/>
          <w:bCs/>
          <w:color w:val="auto"/>
          <w:lang w:val="en-GB"/>
        </w:rPr>
      </w:pPr>
      <w:bookmarkStart w:id="28" w:name="_Toc226652293"/>
      <w:r w:rsidRPr="0044150C">
        <w:rPr>
          <w:rFonts w:ascii="Arial" w:eastAsiaTheme="minorEastAsia" w:hAnsi="Arial" w:cs="Arial"/>
          <w:b/>
          <w:bCs/>
          <w:color w:val="auto"/>
          <w:lang w:val="en-GB"/>
        </w:rPr>
        <w:t>Alleged preferential access to export credits and financing</w:t>
      </w:r>
      <w:bookmarkEnd w:id="28"/>
    </w:p>
    <w:p w14:paraId="66507E68" w14:textId="0CA7F4A9" w:rsidR="00570BD2" w:rsidRPr="0044150C" w:rsidRDefault="00570BD2" w:rsidP="001A4DBD">
      <w:pPr>
        <w:pStyle w:val="a9"/>
        <w:widowControl w:val="0"/>
        <w:numPr>
          <w:ilvl w:val="0"/>
          <w:numId w:val="1"/>
        </w:numPr>
        <w:tabs>
          <w:tab w:val="left" w:pos="917"/>
        </w:tabs>
        <w:autoSpaceDE w:val="0"/>
        <w:autoSpaceDN w:val="0"/>
        <w:spacing w:before="1"/>
        <w:ind w:right="95" w:hanging="644"/>
        <w:rPr>
          <w:rFonts w:ascii="Arial" w:hAnsi="Arial" w:cs="Arial"/>
          <w:sz w:val="24"/>
          <w:szCs w:val="24"/>
          <w:lang w:val="en-GB"/>
        </w:rPr>
      </w:pPr>
      <w:r w:rsidRPr="0044150C">
        <w:rPr>
          <w:rFonts w:ascii="Arial" w:hAnsi="Arial" w:cs="Arial"/>
          <w:sz w:val="24"/>
          <w:szCs w:val="24"/>
          <w:lang w:val="en-GB"/>
        </w:rPr>
        <w:t>The Applicant also claims that export credit loans granted by the Export-Import Bank of China (“EXIM”)</w:t>
      </w:r>
      <w:r w:rsidR="00FD56F9" w:rsidRPr="0044150C">
        <w:rPr>
          <w:rFonts w:ascii="Arial" w:hAnsi="Arial" w:cs="Arial"/>
          <w:sz w:val="24"/>
          <w:szCs w:val="24"/>
          <w:lang w:val="en-GB"/>
        </w:rPr>
        <w:t xml:space="preserve"> and Sinosure</w:t>
      </w:r>
      <w:r w:rsidRPr="0044150C">
        <w:rPr>
          <w:rFonts w:ascii="Arial" w:hAnsi="Arial" w:cs="Arial"/>
          <w:sz w:val="24"/>
          <w:szCs w:val="24"/>
          <w:lang w:val="en-GB"/>
        </w:rPr>
        <w:t xml:space="preserve"> constitute countervailable subsidies. The GOC considers that, as regards this alleged program, the Application suffers from the same defects as discussed above in that no evidence has been provided that </w:t>
      </w:r>
      <w:r w:rsidR="009C3948" w:rsidRPr="0044150C">
        <w:rPr>
          <w:rFonts w:ascii="Arial" w:hAnsi="Arial" w:cs="Arial"/>
          <w:sz w:val="24"/>
          <w:szCs w:val="24"/>
          <w:lang w:val="en-GB"/>
        </w:rPr>
        <w:t>boom lift</w:t>
      </w:r>
      <w:r w:rsidRPr="0044150C">
        <w:rPr>
          <w:rFonts w:ascii="Arial" w:hAnsi="Arial" w:cs="Arial"/>
          <w:sz w:val="24"/>
          <w:szCs w:val="24"/>
          <w:lang w:val="en-GB"/>
        </w:rPr>
        <w:t xml:space="preserve"> producers received any preferential loans from EXIM</w:t>
      </w:r>
      <w:r w:rsidR="00FD56F9" w:rsidRPr="0044150C">
        <w:rPr>
          <w:rFonts w:ascii="Arial" w:hAnsi="Arial" w:cs="Arial"/>
          <w:sz w:val="24"/>
          <w:szCs w:val="24"/>
          <w:lang w:val="en-GB"/>
        </w:rPr>
        <w:t xml:space="preserve"> and Sinosure</w:t>
      </w:r>
      <w:r w:rsidRPr="0044150C">
        <w:rPr>
          <w:rFonts w:ascii="Arial" w:hAnsi="Arial" w:cs="Arial"/>
          <w:sz w:val="24"/>
          <w:szCs w:val="24"/>
          <w:lang w:val="en-GB"/>
        </w:rPr>
        <w:t xml:space="preserve"> in the investigation period</w:t>
      </w:r>
      <w:r w:rsidR="00FD56F9" w:rsidRPr="0044150C">
        <w:rPr>
          <w:rFonts w:ascii="Arial" w:hAnsi="Arial" w:cs="Arial"/>
          <w:sz w:val="24"/>
          <w:szCs w:val="24"/>
          <w:lang w:val="en-GB"/>
        </w:rPr>
        <w:t>, but merely referring to a previous EU investigation</w:t>
      </w:r>
      <w:r w:rsidRPr="0044150C">
        <w:rPr>
          <w:rFonts w:ascii="Arial" w:hAnsi="Arial" w:cs="Arial"/>
          <w:sz w:val="24"/>
          <w:szCs w:val="24"/>
          <w:lang w:val="en-GB"/>
        </w:rPr>
        <w:t>.</w:t>
      </w:r>
      <w:r w:rsidR="004A406B" w:rsidRPr="0044150C">
        <w:rPr>
          <w:rFonts w:ascii="Arial" w:hAnsi="Arial" w:cs="Arial"/>
          <w:sz w:val="24"/>
          <w:szCs w:val="24"/>
          <w:lang w:val="en-GB"/>
        </w:rPr>
        <w:t xml:space="preserve"> </w:t>
      </w:r>
      <w:r w:rsidRPr="0044150C">
        <w:rPr>
          <w:rFonts w:ascii="Arial" w:hAnsi="Arial" w:cs="Arial"/>
          <w:sz w:val="24"/>
          <w:szCs w:val="24"/>
          <w:lang w:val="en-GB"/>
        </w:rPr>
        <w:t>The Application, while shooting in the dark, does not meet the standards under Articles 11.2 and 11.3 of the SCM Agreement.</w:t>
      </w:r>
      <w:r w:rsidR="007D2CE2" w:rsidRPr="0044150C">
        <w:rPr>
          <w:rFonts w:ascii="Arial" w:hAnsi="Arial" w:cs="Arial"/>
          <w:sz w:val="24"/>
          <w:szCs w:val="24"/>
          <w:lang w:val="en-GB"/>
        </w:rPr>
        <w:t xml:space="preserve"> </w:t>
      </w:r>
    </w:p>
    <w:p w14:paraId="3A6A7755" w14:textId="77777777" w:rsidR="00570BD2" w:rsidRPr="0044150C" w:rsidRDefault="00570BD2" w:rsidP="00570BD2">
      <w:pPr>
        <w:widowControl w:val="0"/>
        <w:tabs>
          <w:tab w:val="left" w:pos="917"/>
        </w:tabs>
        <w:autoSpaceDE w:val="0"/>
        <w:autoSpaceDN w:val="0"/>
        <w:spacing w:before="1"/>
        <w:ind w:left="-76" w:right="95"/>
        <w:rPr>
          <w:rFonts w:ascii="Arial" w:hAnsi="Arial" w:cs="Arial"/>
          <w:sz w:val="24"/>
          <w:szCs w:val="24"/>
          <w:lang w:val="en-GB"/>
        </w:rPr>
      </w:pPr>
    </w:p>
    <w:p w14:paraId="33108199" w14:textId="3F732136" w:rsidR="000A289A" w:rsidRPr="0044150C" w:rsidRDefault="000A289A" w:rsidP="001A4DBD">
      <w:pPr>
        <w:pStyle w:val="a9"/>
        <w:widowControl w:val="0"/>
        <w:numPr>
          <w:ilvl w:val="0"/>
          <w:numId w:val="1"/>
        </w:numPr>
        <w:tabs>
          <w:tab w:val="left" w:pos="917"/>
        </w:tabs>
        <w:autoSpaceDE w:val="0"/>
        <w:autoSpaceDN w:val="0"/>
        <w:spacing w:before="1"/>
        <w:ind w:right="95" w:hanging="644"/>
        <w:rPr>
          <w:rFonts w:ascii="Arial" w:hAnsi="Arial" w:cs="Arial"/>
          <w:sz w:val="24"/>
          <w:szCs w:val="24"/>
          <w:lang w:val="en-GB"/>
        </w:rPr>
      </w:pPr>
      <w:r w:rsidRPr="0044150C">
        <w:rPr>
          <w:rFonts w:ascii="Arial" w:hAnsi="Arial" w:cs="Arial"/>
          <w:sz w:val="24"/>
          <w:szCs w:val="24"/>
          <w:lang w:val="en-GB"/>
        </w:rPr>
        <w:t>Without prejudice to the above, the GOC notes that EXIM’s mission statement published on its website is no different from the mission statements of UK export-import bank and financiers. For example, the website of the British Business Bank explicitly states the UK Export Finance “</w:t>
      </w:r>
      <w:r w:rsidRPr="0044150C">
        <w:rPr>
          <w:rFonts w:ascii="Arial" w:hAnsi="Arial" w:cs="Arial"/>
          <w:i/>
          <w:iCs/>
          <w:sz w:val="24"/>
          <w:szCs w:val="24"/>
          <w:lang w:val="en-GB"/>
        </w:rPr>
        <w:t>helps exporters access finance and insurance when there is a lack of private sector risk appetite or capacity.</w:t>
      </w:r>
      <w:r w:rsidRPr="0044150C">
        <w:rPr>
          <w:rFonts w:ascii="Arial" w:hAnsi="Arial" w:cs="Arial"/>
          <w:sz w:val="24"/>
          <w:szCs w:val="24"/>
          <w:lang w:val="en-GB"/>
        </w:rPr>
        <w:t xml:space="preserve">” </w:t>
      </w:r>
      <w:r w:rsidRPr="0044150C">
        <w:rPr>
          <w:rStyle w:val="ab"/>
          <w:rFonts w:ascii="Arial" w:hAnsi="Arial" w:cs="Arial"/>
          <w:sz w:val="24"/>
          <w:szCs w:val="24"/>
          <w:lang w:val="en-GB"/>
        </w:rPr>
        <w:footnoteReference w:id="28"/>
      </w:r>
      <w:r w:rsidRPr="0044150C">
        <w:rPr>
          <w:rFonts w:ascii="Arial" w:hAnsi="Arial" w:cs="Arial"/>
          <w:sz w:val="24"/>
          <w:szCs w:val="24"/>
          <w:lang w:val="en-GB"/>
        </w:rPr>
        <w:t xml:space="preserve"> The GOC further notes that policy banks such as EXIM exist all around the world. Examples include Export-Import Bank of the United States, and Export-Import Bank of Korea. Dozens of other examples are available on the OECD website. There is, therefore, nothing unique or irregular about loans and credits granted by EXIM.</w:t>
      </w:r>
    </w:p>
    <w:p w14:paraId="1B488960" w14:textId="77777777" w:rsidR="000A289A" w:rsidRPr="0044150C" w:rsidRDefault="000A289A" w:rsidP="000A289A">
      <w:pPr>
        <w:pStyle w:val="a9"/>
        <w:widowControl w:val="0"/>
        <w:tabs>
          <w:tab w:val="left" w:pos="917"/>
        </w:tabs>
        <w:autoSpaceDE w:val="0"/>
        <w:autoSpaceDN w:val="0"/>
        <w:spacing w:before="1"/>
        <w:ind w:left="644" w:right="95"/>
        <w:rPr>
          <w:rFonts w:ascii="Arial" w:hAnsi="Arial" w:cs="Arial"/>
          <w:sz w:val="24"/>
          <w:szCs w:val="24"/>
          <w:lang w:val="en-GB"/>
        </w:rPr>
      </w:pPr>
    </w:p>
    <w:p w14:paraId="48CAE398" w14:textId="672B5662" w:rsidR="000A289A" w:rsidRPr="0044150C" w:rsidRDefault="000A289A" w:rsidP="001A4DBD">
      <w:pPr>
        <w:pStyle w:val="a9"/>
        <w:widowControl w:val="0"/>
        <w:numPr>
          <w:ilvl w:val="0"/>
          <w:numId w:val="1"/>
        </w:numPr>
        <w:tabs>
          <w:tab w:val="left" w:pos="917"/>
        </w:tabs>
        <w:autoSpaceDE w:val="0"/>
        <w:autoSpaceDN w:val="0"/>
        <w:spacing w:before="1"/>
        <w:ind w:right="95" w:hanging="644"/>
        <w:rPr>
          <w:rFonts w:ascii="Arial" w:hAnsi="Arial" w:cs="Arial"/>
          <w:sz w:val="24"/>
          <w:szCs w:val="24"/>
          <w:lang w:val="en-GB"/>
        </w:rPr>
      </w:pPr>
      <w:r w:rsidRPr="0044150C">
        <w:rPr>
          <w:rFonts w:ascii="Arial" w:hAnsi="Arial" w:cs="Arial"/>
          <w:sz w:val="24"/>
          <w:szCs w:val="24"/>
          <w:lang w:val="en-GB"/>
        </w:rPr>
        <w:t xml:space="preserve">In any event, the Application provides no evidence as to how loans and credits granted by EXIM </w:t>
      </w:r>
      <w:r w:rsidR="00FD56F9" w:rsidRPr="0044150C">
        <w:rPr>
          <w:rFonts w:ascii="Arial" w:hAnsi="Arial" w:cs="Arial"/>
          <w:sz w:val="24"/>
          <w:szCs w:val="24"/>
          <w:lang w:val="en-GB"/>
        </w:rPr>
        <w:t xml:space="preserve">and Sinosure </w:t>
      </w:r>
      <w:r w:rsidRPr="0044150C">
        <w:rPr>
          <w:rFonts w:ascii="Arial" w:hAnsi="Arial" w:cs="Arial"/>
          <w:sz w:val="24"/>
          <w:szCs w:val="24"/>
          <w:lang w:val="en-GB"/>
        </w:rPr>
        <w:t xml:space="preserve">would constitute evidence of subsidization of the Chinese </w:t>
      </w:r>
      <w:r w:rsidR="009C3948" w:rsidRPr="0044150C">
        <w:rPr>
          <w:rFonts w:ascii="Arial" w:hAnsi="Arial" w:cs="Arial"/>
          <w:sz w:val="24"/>
          <w:szCs w:val="24"/>
          <w:lang w:val="en-GB"/>
        </w:rPr>
        <w:t>boom lift</w:t>
      </w:r>
      <w:r w:rsidRPr="0044150C">
        <w:rPr>
          <w:rFonts w:ascii="Arial" w:hAnsi="Arial" w:cs="Arial"/>
          <w:sz w:val="24"/>
          <w:szCs w:val="24"/>
          <w:lang w:val="en-GB"/>
        </w:rPr>
        <w:t xml:space="preserve"> industry.</w:t>
      </w:r>
    </w:p>
    <w:p w14:paraId="6438F501" w14:textId="77777777" w:rsidR="000A7226" w:rsidRPr="0044150C" w:rsidRDefault="000A7226" w:rsidP="000A7226">
      <w:pPr>
        <w:pStyle w:val="a9"/>
        <w:rPr>
          <w:rFonts w:ascii="Arial" w:hAnsi="Arial" w:cs="Arial"/>
          <w:sz w:val="24"/>
          <w:szCs w:val="24"/>
          <w:lang w:val="en-GB"/>
        </w:rPr>
      </w:pPr>
    </w:p>
    <w:p w14:paraId="09D34A7B" w14:textId="4D7DB61F" w:rsidR="000A7226" w:rsidRPr="0044150C" w:rsidRDefault="000A7226" w:rsidP="000A7226">
      <w:pPr>
        <w:pStyle w:val="a9"/>
        <w:widowControl w:val="0"/>
        <w:autoSpaceDE w:val="0"/>
        <w:autoSpaceDN w:val="0"/>
        <w:spacing w:before="90"/>
        <w:ind w:left="644" w:right="-46"/>
        <w:rPr>
          <w:rFonts w:ascii="Arial" w:hAnsi="Arial" w:cs="Arial"/>
          <w:sz w:val="24"/>
          <w:szCs w:val="24"/>
          <w:lang w:val="en-GB"/>
        </w:rPr>
      </w:pPr>
      <w:r w:rsidRPr="0044150C">
        <w:rPr>
          <w:rFonts w:ascii="Arial" w:hAnsi="Arial" w:cs="Arial"/>
          <w:sz w:val="24"/>
          <w:szCs w:val="24"/>
          <w:lang w:val="en-GB"/>
        </w:rPr>
        <w:t xml:space="preserve">The Applicant claims that preferential export credit insurance and guarantees are granted to boom lift producers and constitute a countervailable subsidy because of the findings of the European Commission (EC) in April 2025 regarding the imposition of countervailing duties on MAE from the PRC, where </w:t>
      </w:r>
      <w:r w:rsidRPr="0044150C">
        <w:rPr>
          <w:rFonts w:ascii="Arial" w:hAnsi="Arial" w:cs="Arial"/>
          <w:sz w:val="24"/>
          <w:szCs w:val="24"/>
          <w:lang w:val="en-GB"/>
        </w:rPr>
        <w:lastRenderedPageBreak/>
        <w:t xml:space="preserve">it found that Sinosure provided export credits and insurance at preferential terms to MAE exporters.  </w:t>
      </w:r>
    </w:p>
    <w:p w14:paraId="09DD0549" w14:textId="0EC3BCCC" w:rsidR="000A7226" w:rsidRPr="0044150C" w:rsidRDefault="000A7226" w:rsidP="001A4DBD">
      <w:pPr>
        <w:pStyle w:val="a9"/>
        <w:widowControl w:val="0"/>
        <w:numPr>
          <w:ilvl w:val="0"/>
          <w:numId w:val="1"/>
        </w:numPr>
        <w:autoSpaceDE w:val="0"/>
        <w:autoSpaceDN w:val="0"/>
        <w:spacing w:before="9"/>
        <w:ind w:right="-46" w:hanging="644"/>
        <w:contextualSpacing w:val="0"/>
        <w:rPr>
          <w:rFonts w:ascii="Arial" w:hAnsi="Arial" w:cs="Arial"/>
          <w:sz w:val="24"/>
          <w:szCs w:val="24"/>
          <w:lang w:val="en-GB"/>
        </w:rPr>
      </w:pPr>
      <w:r w:rsidRPr="0044150C">
        <w:rPr>
          <w:rFonts w:ascii="Arial" w:hAnsi="Arial" w:cs="Arial"/>
          <w:sz w:val="24"/>
          <w:szCs w:val="24"/>
          <w:lang w:val="en-GB"/>
        </w:rPr>
        <w:t xml:space="preserve">The Applicant’s reference to the TRA’s finding that Sinosure acted as a public body in that case does not </w:t>
      </w:r>
      <w:r w:rsidR="008469F1" w:rsidRPr="0044150C">
        <w:rPr>
          <w:rFonts w:ascii="Arial" w:hAnsi="Arial" w:cs="Arial"/>
          <w:sz w:val="24"/>
          <w:szCs w:val="24"/>
          <w:lang w:val="en-GB"/>
        </w:rPr>
        <w:t>justify a</w:t>
      </w:r>
      <w:r w:rsidRPr="0044150C">
        <w:rPr>
          <w:rFonts w:ascii="Arial" w:hAnsi="Arial" w:cs="Arial"/>
          <w:sz w:val="24"/>
          <w:szCs w:val="24"/>
          <w:lang w:val="en-GB"/>
        </w:rPr>
        <w:t xml:space="preserve"> conclusion that the same can be assumed for a </w:t>
      </w:r>
      <w:r w:rsidR="008469F1" w:rsidRPr="0044150C">
        <w:rPr>
          <w:rFonts w:ascii="Arial" w:hAnsi="Arial" w:cs="Arial"/>
          <w:sz w:val="24"/>
          <w:szCs w:val="24"/>
          <w:lang w:val="en-GB"/>
        </w:rPr>
        <w:t>different</w:t>
      </w:r>
      <w:r w:rsidRPr="0044150C">
        <w:rPr>
          <w:rFonts w:ascii="Arial" w:hAnsi="Arial" w:cs="Arial"/>
          <w:sz w:val="24"/>
          <w:szCs w:val="24"/>
          <w:lang w:val="en-GB"/>
        </w:rPr>
        <w:t xml:space="preserve"> industry</w:t>
      </w:r>
      <w:r w:rsidR="00547C95" w:rsidRPr="0044150C">
        <w:rPr>
          <w:rFonts w:ascii="Arial" w:hAnsi="Arial" w:cs="Arial"/>
          <w:sz w:val="24"/>
          <w:szCs w:val="24"/>
          <w:lang w:val="en-GB"/>
        </w:rPr>
        <w:t>. Moreover,</w:t>
      </w:r>
      <w:r w:rsidRPr="0044150C">
        <w:rPr>
          <w:rFonts w:ascii="Arial" w:hAnsi="Arial" w:cs="Arial"/>
          <w:sz w:val="24"/>
          <w:szCs w:val="24"/>
          <w:lang w:val="en-GB"/>
        </w:rPr>
        <w:t xml:space="preserve"> each</w:t>
      </w:r>
      <w:r w:rsidRPr="0044150C">
        <w:rPr>
          <w:rFonts w:ascii="Arial" w:hAnsi="Arial" w:cs="Arial"/>
          <w:spacing w:val="-4"/>
          <w:sz w:val="24"/>
          <w:szCs w:val="24"/>
          <w:lang w:val="en-GB"/>
        </w:rPr>
        <w:t xml:space="preserve"> </w:t>
      </w:r>
      <w:r w:rsidRPr="0044150C">
        <w:rPr>
          <w:rFonts w:ascii="Arial" w:hAnsi="Arial" w:cs="Arial"/>
          <w:sz w:val="24"/>
          <w:szCs w:val="24"/>
          <w:lang w:val="en-GB"/>
        </w:rPr>
        <w:t>export</w:t>
      </w:r>
      <w:r w:rsidRPr="0044150C">
        <w:rPr>
          <w:rFonts w:ascii="Arial" w:hAnsi="Arial" w:cs="Arial"/>
          <w:spacing w:val="-4"/>
          <w:sz w:val="24"/>
          <w:szCs w:val="24"/>
          <w:lang w:val="en-GB"/>
        </w:rPr>
        <w:t xml:space="preserve"> </w:t>
      </w:r>
      <w:r w:rsidRPr="0044150C">
        <w:rPr>
          <w:rFonts w:ascii="Arial" w:hAnsi="Arial" w:cs="Arial"/>
          <w:sz w:val="24"/>
          <w:szCs w:val="24"/>
          <w:lang w:val="en-GB"/>
        </w:rPr>
        <w:t>credit</w:t>
      </w:r>
      <w:r w:rsidRPr="0044150C">
        <w:rPr>
          <w:rFonts w:ascii="Arial" w:hAnsi="Arial" w:cs="Arial"/>
          <w:spacing w:val="-6"/>
          <w:sz w:val="24"/>
          <w:szCs w:val="24"/>
          <w:lang w:val="en-GB"/>
        </w:rPr>
        <w:t xml:space="preserve"> </w:t>
      </w:r>
      <w:r w:rsidRPr="0044150C">
        <w:rPr>
          <w:rFonts w:ascii="Arial" w:hAnsi="Arial" w:cs="Arial"/>
          <w:sz w:val="24"/>
          <w:szCs w:val="24"/>
          <w:lang w:val="en-GB"/>
        </w:rPr>
        <w:t>guarantee</w:t>
      </w:r>
      <w:r w:rsidRPr="0044150C">
        <w:rPr>
          <w:rFonts w:ascii="Arial" w:hAnsi="Arial" w:cs="Arial"/>
          <w:spacing w:val="-6"/>
          <w:sz w:val="24"/>
          <w:szCs w:val="24"/>
          <w:lang w:val="en-GB"/>
        </w:rPr>
        <w:t xml:space="preserve"> </w:t>
      </w:r>
      <w:r w:rsidRPr="0044150C">
        <w:rPr>
          <w:rFonts w:ascii="Arial" w:hAnsi="Arial" w:cs="Arial"/>
          <w:sz w:val="24"/>
          <w:szCs w:val="24"/>
          <w:lang w:val="en-GB"/>
        </w:rPr>
        <w:t>is</w:t>
      </w:r>
      <w:r w:rsidRPr="0044150C">
        <w:rPr>
          <w:rFonts w:ascii="Arial" w:hAnsi="Arial" w:cs="Arial"/>
          <w:spacing w:val="-5"/>
          <w:sz w:val="24"/>
          <w:szCs w:val="24"/>
          <w:lang w:val="en-GB"/>
        </w:rPr>
        <w:t xml:space="preserve"> </w:t>
      </w:r>
      <w:r w:rsidRPr="0044150C">
        <w:rPr>
          <w:rFonts w:ascii="Arial" w:hAnsi="Arial" w:cs="Arial"/>
          <w:sz w:val="24"/>
          <w:szCs w:val="24"/>
          <w:lang w:val="en-GB"/>
        </w:rPr>
        <w:t>case</w:t>
      </w:r>
      <w:r w:rsidR="00547C95" w:rsidRPr="0044150C">
        <w:rPr>
          <w:rFonts w:ascii="Arial" w:hAnsi="Arial" w:cs="Arial"/>
          <w:sz w:val="24"/>
          <w:szCs w:val="24"/>
          <w:lang w:val="en-GB"/>
        </w:rPr>
        <w:t>-specific</w:t>
      </w:r>
      <w:r w:rsidRPr="0044150C">
        <w:rPr>
          <w:rFonts w:ascii="Arial" w:hAnsi="Arial" w:cs="Arial"/>
          <w:spacing w:val="-5"/>
          <w:sz w:val="24"/>
          <w:szCs w:val="24"/>
          <w:lang w:val="en-GB"/>
        </w:rPr>
        <w:t xml:space="preserve"> </w:t>
      </w:r>
      <w:r w:rsidRPr="0044150C">
        <w:rPr>
          <w:rFonts w:ascii="Arial" w:hAnsi="Arial" w:cs="Arial"/>
          <w:sz w:val="24"/>
          <w:szCs w:val="24"/>
          <w:lang w:val="en-GB"/>
        </w:rPr>
        <w:t>and</w:t>
      </w:r>
      <w:r w:rsidRPr="0044150C">
        <w:rPr>
          <w:rFonts w:ascii="Arial" w:hAnsi="Arial" w:cs="Arial"/>
          <w:spacing w:val="-5"/>
          <w:sz w:val="24"/>
          <w:szCs w:val="24"/>
          <w:lang w:val="en-GB"/>
        </w:rPr>
        <w:t xml:space="preserve"> </w:t>
      </w:r>
      <w:r w:rsidRPr="0044150C">
        <w:rPr>
          <w:rFonts w:ascii="Arial" w:hAnsi="Arial" w:cs="Arial"/>
          <w:sz w:val="24"/>
          <w:szCs w:val="24"/>
          <w:lang w:val="en-GB"/>
        </w:rPr>
        <w:t>product-specific.</w:t>
      </w:r>
      <w:r w:rsidRPr="0044150C">
        <w:rPr>
          <w:rFonts w:ascii="Arial" w:hAnsi="Arial" w:cs="Arial"/>
          <w:spacing w:val="-18"/>
          <w:sz w:val="24"/>
          <w:szCs w:val="24"/>
          <w:lang w:val="en-GB"/>
        </w:rPr>
        <w:t xml:space="preserve"> </w:t>
      </w:r>
      <w:r w:rsidRPr="0044150C">
        <w:rPr>
          <w:rFonts w:ascii="Arial" w:hAnsi="Arial" w:cs="Arial"/>
          <w:sz w:val="24"/>
          <w:szCs w:val="24"/>
          <w:lang w:val="en-GB"/>
        </w:rPr>
        <w:t>As</w:t>
      </w:r>
      <w:r w:rsidRPr="0044150C">
        <w:rPr>
          <w:rFonts w:ascii="Arial" w:hAnsi="Arial" w:cs="Arial"/>
          <w:spacing w:val="-4"/>
          <w:sz w:val="24"/>
          <w:szCs w:val="24"/>
          <w:lang w:val="en-GB"/>
        </w:rPr>
        <w:t xml:space="preserve"> </w:t>
      </w:r>
      <w:r w:rsidRPr="0044150C">
        <w:rPr>
          <w:rFonts w:ascii="Arial" w:hAnsi="Arial" w:cs="Arial"/>
          <w:sz w:val="24"/>
          <w:szCs w:val="24"/>
          <w:lang w:val="en-GB"/>
        </w:rPr>
        <w:t>confirmed</w:t>
      </w:r>
      <w:r w:rsidRPr="0044150C">
        <w:rPr>
          <w:rFonts w:ascii="Arial" w:hAnsi="Arial" w:cs="Arial"/>
          <w:spacing w:val="-6"/>
          <w:sz w:val="24"/>
          <w:szCs w:val="24"/>
          <w:lang w:val="en-GB"/>
        </w:rPr>
        <w:t xml:space="preserve"> </w:t>
      </w:r>
      <w:r w:rsidRPr="0044150C">
        <w:rPr>
          <w:rFonts w:ascii="Arial" w:hAnsi="Arial" w:cs="Arial"/>
          <w:sz w:val="24"/>
          <w:szCs w:val="24"/>
          <w:lang w:val="en-GB"/>
        </w:rPr>
        <w:t>by</w:t>
      </w:r>
      <w:r w:rsidRPr="0044150C">
        <w:rPr>
          <w:rFonts w:ascii="Arial" w:hAnsi="Arial" w:cs="Arial"/>
          <w:spacing w:val="-6"/>
          <w:sz w:val="24"/>
          <w:szCs w:val="24"/>
          <w:lang w:val="en-GB"/>
        </w:rPr>
        <w:t xml:space="preserve"> </w:t>
      </w:r>
      <w:r w:rsidRPr="0044150C">
        <w:rPr>
          <w:rFonts w:ascii="Arial" w:hAnsi="Arial" w:cs="Arial"/>
          <w:sz w:val="24"/>
          <w:szCs w:val="24"/>
          <w:lang w:val="en-GB"/>
        </w:rPr>
        <w:t>the</w:t>
      </w:r>
      <w:r w:rsidRPr="0044150C">
        <w:rPr>
          <w:rFonts w:ascii="Arial" w:hAnsi="Arial" w:cs="Arial"/>
          <w:spacing w:val="-5"/>
          <w:sz w:val="24"/>
          <w:szCs w:val="24"/>
          <w:lang w:val="en-GB"/>
        </w:rPr>
        <w:t xml:space="preserve"> </w:t>
      </w:r>
      <w:r w:rsidRPr="0044150C">
        <w:rPr>
          <w:rFonts w:ascii="Arial" w:hAnsi="Arial" w:cs="Arial"/>
          <w:sz w:val="24"/>
          <w:szCs w:val="24"/>
          <w:lang w:val="en-GB"/>
        </w:rPr>
        <w:t>Panel</w:t>
      </w:r>
      <w:r w:rsidRPr="0044150C">
        <w:rPr>
          <w:rFonts w:ascii="Arial" w:hAnsi="Arial" w:cs="Arial"/>
          <w:spacing w:val="-6"/>
          <w:sz w:val="24"/>
          <w:szCs w:val="24"/>
          <w:lang w:val="en-GB"/>
        </w:rPr>
        <w:t xml:space="preserve"> </w:t>
      </w:r>
      <w:r w:rsidRPr="0044150C">
        <w:rPr>
          <w:rFonts w:ascii="Arial" w:hAnsi="Arial" w:cs="Arial"/>
          <w:sz w:val="24"/>
          <w:szCs w:val="24"/>
          <w:lang w:val="en-GB"/>
        </w:rPr>
        <w:t>in</w:t>
      </w:r>
      <w:r w:rsidRPr="0044150C">
        <w:rPr>
          <w:rFonts w:ascii="Arial" w:hAnsi="Arial" w:cs="Arial"/>
          <w:spacing w:val="-3"/>
          <w:sz w:val="24"/>
          <w:szCs w:val="24"/>
          <w:lang w:val="en-GB"/>
        </w:rPr>
        <w:t xml:space="preserve"> </w:t>
      </w:r>
      <w:r w:rsidRPr="0044150C">
        <w:rPr>
          <w:rFonts w:ascii="Arial" w:hAnsi="Arial" w:cs="Arial"/>
          <w:i/>
          <w:sz w:val="24"/>
          <w:szCs w:val="24"/>
          <w:lang w:val="en-GB"/>
        </w:rPr>
        <w:t>EC</w:t>
      </w:r>
      <w:r w:rsidRPr="0044150C">
        <w:rPr>
          <w:rFonts w:ascii="Arial" w:hAnsi="Arial" w:cs="Arial"/>
          <w:i/>
          <w:spacing w:val="-6"/>
          <w:sz w:val="24"/>
          <w:szCs w:val="24"/>
          <w:lang w:val="en-GB"/>
        </w:rPr>
        <w:t xml:space="preserve"> </w:t>
      </w:r>
      <w:r w:rsidRPr="0044150C">
        <w:rPr>
          <w:rFonts w:ascii="Arial" w:hAnsi="Arial" w:cs="Arial"/>
          <w:i/>
          <w:sz w:val="24"/>
          <w:szCs w:val="24"/>
          <w:lang w:val="en-GB"/>
        </w:rPr>
        <w:t>and certain member States – Large Civil Aircraft</w:t>
      </w:r>
      <w:r w:rsidRPr="0044150C">
        <w:rPr>
          <w:rFonts w:ascii="Arial" w:hAnsi="Arial" w:cs="Arial"/>
          <w:sz w:val="24"/>
          <w:szCs w:val="24"/>
          <w:lang w:val="en-GB"/>
        </w:rPr>
        <w:t xml:space="preserve">, findings in previous investigations </w:t>
      </w:r>
      <w:r w:rsidRPr="0044150C">
        <w:rPr>
          <w:rFonts w:ascii="Arial" w:hAnsi="Arial" w:cs="Arial"/>
          <w:sz w:val="24"/>
          <w:szCs w:val="24"/>
          <w:u w:val="single"/>
          <w:lang w:val="en-GB"/>
        </w:rPr>
        <w:t>may not</w:t>
      </w:r>
      <w:r w:rsidRPr="0044150C">
        <w:rPr>
          <w:rFonts w:ascii="Arial" w:hAnsi="Arial" w:cs="Arial"/>
          <w:sz w:val="24"/>
          <w:szCs w:val="24"/>
          <w:lang w:val="en-GB"/>
        </w:rPr>
        <w:t xml:space="preserve"> be used to substantiate claims of material injury if the previous investigations relate to other industries.</w:t>
      </w:r>
      <w:r w:rsidRPr="0044150C">
        <w:rPr>
          <w:rStyle w:val="ab"/>
          <w:rFonts w:ascii="Arial" w:hAnsi="Arial" w:cs="Arial"/>
          <w:sz w:val="24"/>
          <w:szCs w:val="24"/>
          <w:lang w:val="en-GB"/>
        </w:rPr>
        <w:footnoteReference w:id="29"/>
      </w:r>
      <w:r w:rsidRPr="0044150C">
        <w:rPr>
          <w:rFonts w:ascii="Arial" w:hAnsi="Arial" w:cs="Arial"/>
          <w:sz w:val="24"/>
          <w:szCs w:val="24"/>
          <w:vertAlign w:val="superscript"/>
          <w:lang w:val="en-GB"/>
        </w:rPr>
        <w:t xml:space="preserve"> </w:t>
      </w:r>
      <w:r w:rsidRPr="0044150C">
        <w:rPr>
          <w:rFonts w:ascii="Arial" w:hAnsi="Arial" w:cs="Arial"/>
          <w:sz w:val="24"/>
          <w:szCs w:val="24"/>
          <w:lang w:val="en-GB"/>
        </w:rPr>
        <w:t xml:space="preserve">Thus, the Applicant has not provided even </w:t>
      </w:r>
      <w:r w:rsidRPr="0044150C">
        <w:rPr>
          <w:rFonts w:ascii="Arial" w:hAnsi="Arial" w:cs="Arial"/>
          <w:i/>
          <w:sz w:val="24"/>
          <w:szCs w:val="24"/>
          <w:lang w:val="en-GB"/>
        </w:rPr>
        <w:t xml:space="preserve">prima facie </w:t>
      </w:r>
      <w:r w:rsidRPr="0044150C">
        <w:rPr>
          <w:rFonts w:ascii="Arial" w:hAnsi="Arial" w:cs="Arial"/>
          <w:sz w:val="24"/>
          <w:szCs w:val="24"/>
          <w:lang w:val="en-GB"/>
        </w:rPr>
        <w:t>evidence of subsidization to the boom lift industry.</w:t>
      </w:r>
    </w:p>
    <w:p w14:paraId="7F20889F" w14:textId="77777777" w:rsidR="000A7226" w:rsidRPr="0044150C" w:rsidRDefault="000A7226" w:rsidP="000A7226">
      <w:pPr>
        <w:pStyle w:val="a7"/>
        <w:spacing w:before="10"/>
        <w:ind w:left="567" w:right="-46"/>
        <w:rPr>
          <w:rFonts w:ascii="Arial" w:hAnsi="Arial" w:cs="Arial"/>
          <w:sz w:val="24"/>
          <w:szCs w:val="24"/>
        </w:rPr>
      </w:pPr>
    </w:p>
    <w:p w14:paraId="1E264A6D" w14:textId="77777777" w:rsidR="000A7226" w:rsidRPr="0044150C" w:rsidRDefault="000A7226" w:rsidP="001A4DBD">
      <w:pPr>
        <w:pStyle w:val="a9"/>
        <w:widowControl w:val="0"/>
        <w:numPr>
          <w:ilvl w:val="0"/>
          <w:numId w:val="1"/>
        </w:numPr>
        <w:autoSpaceDE w:val="0"/>
        <w:autoSpaceDN w:val="0"/>
        <w:spacing w:before="1"/>
        <w:ind w:right="-46" w:hanging="644"/>
        <w:contextualSpacing w:val="0"/>
        <w:rPr>
          <w:rFonts w:ascii="Arial" w:hAnsi="Arial" w:cs="Arial"/>
          <w:sz w:val="24"/>
          <w:szCs w:val="24"/>
          <w:lang w:val="en-GB"/>
        </w:rPr>
      </w:pPr>
      <w:r w:rsidRPr="0044150C">
        <w:rPr>
          <w:rFonts w:ascii="Arial" w:hAnsi="Arial" w:cs="Arial"/>
          <w:sz w:val="24"/>
          <w:szCs w:val="24"/>
          <w:lang w:val="en-GB"/>
        </w:rPr>
        <w:t>Without</w:t>
      </w:r>
      <w:r w:rsidRPr="0044150C">
        <w:rPr>
          <w:rFonts w:ascii="Arial" w:hAnsi="Arial" w:cs="Arial"/>
          <w:spacing w:val="-7"/>
          <w:sz w:val="24"/>
          <w:szCs w:val="24"/>
          <w:lang w:val="en-GB"/>
        </w:rPr>
        <w:t xml:space="preserve"> </w:t>
      </w:r>
      <w:r w:rsidRPr="0044150C">
        <w:rPr>
          <w:rFonts w:ascii="Arial" w:hAnsi="Arial" w:cs="Arial"/>
          <w:sz w:val="24"/>
          <w:szCs w:val="24"/>
          <w:lang w:val="en-GB"/>
        </w:rPr>
        <w:t>prejudice</w:t>
      </w:r>
      <w:r w:rsidRPr="0044150C">
        <w:rPr>
          <w:rFonts w:ascii="Arial" w:hAnsi="Arial" w:cs="Arial"/>
          <w:spacing w:val="-5"/>
          <w:sz w:val="24"/>
          <w:szCs w:val="24"/>
          <w:lang w:val="en-GB"/>
        </w:rPr>
        <w:t xml:space="preserve"> </w:t>
      </w:r>
      <w:r w:rsidRPr="0044150C">
        <w:rPr>
          <w:rFonts w:ascii="Arial" w:hAnsi="Arial" w:cs="Arial"/>
          <w:sz w:val="24"/>
          <w:szCs w:val="24"/>
          <w:lang w:val="en-GB"/>
        </w:rPr>
        <w:t>to</w:t>
      </w:r>
      <w:r w:rsidRPr="0044150C">
        <w:rPr>
          <w:rFonts w:ascii="Arial" w:hAnsi="Arial" w:cs="Arial"/>
          <w:spacing w:val="-6"/>
          <w:sz w:val="24"/>
          <w:szCs w:val="24"/>
          <w:lang w:val="en-GB"/>
        </w:rPr>
        <w:t xml:space="preserve"> </w:t>
      </w:r>
      <w:r w:rsidRPr="0044150C">
        <w:rPr>
          <w:rFonts w:ascii="Arial" w:hAnsi="Arial" w:cs="Arial"/>
          <w:sz w:val="24"/>
          <w:szCs w:val="24"/>
          <w:lang w:val="en-GB"/>
        </w:rPr>
        <w:t>the</w:t>
      </w:r>
      <w:r w:rsidRPr="0044150C">
        <w:rPr>
          <w:rFonts w:ascii="Arial" w:hAnsi="Arial" w:cs="Arial"/>
          <w:spacing w:val="-3"/>
          <w:sz w:val="24"/>
          <w:szCs w:val="24"/>
          <w:lang w:val="en-GB"/>
        </w:rPr>
        <w:t xml:space="preserve"> </w:t>
      </w:r>
      <w:r w:rsidRPr="0044150C">
        <w:rPr>
          <w:rFonts w:ascii="Arial" w:hAnsi="Arial" w:cs="Arial"/>
          <w:sz w:val="24"/>
          <w:szCs w:val="24"/>
          <w:lang w:val="en-GB"/>
        </w:rPr>
        <w:t>above,</w:t>
      </w:r>
      <w:r w:rsidRPr="0044150C">
        <w:rPr>
          <w:rFonts w:ascii="Arial" w:hAnsi="Arial" w:cs="Arial"/>
          <w:spacing w:val="-5"/>
          <w:sz w:val="24"/>
          <w:szCs w:val="24"/>
          <w:lang w:val="en-GB"/>
        </w:rPr>
        <w:t xml:space="preserve"> </w:t>
      </w:r>
      <w:r w:rsidRPr="0044150C">
        <w:rPr>
          <w:rFonts w:ascii="Arial" w:hAnsi="Arial" w:cs="Arial"/>
          <w:sz w:val="24"/>
          <w:szCs w:val="24"/>
          <w:lang w:val="en-GB"/>
        </w:rPr>
        <w:t>the</w:t>
      </w:r>
      <w:r w:rsidRPr="0044150C">
        <w:rPr>
          <w:rFonts w:ascii="Arial" w:hAnsi="Arial" w:cs="Arial"/>
          <w:spacing w:val="-5"/>
          <w:sz w:val="24"/>
          <w:szCs w:val="24"/>
          <w:lang w:val="en-GB"/>
        </w:rPr>
        <w:t xml:space="preserve"> </w:t>
      </w:r>
      <w:r w:rsidRPr="0044150C">
        <w:rPr>
          <w:rFonts w:ascii="Arial" w:hAnsi="Arial" w:cs="Arial"/>
          <w:sz w:val="24"/>
          <w:szCs w:val="24"/>
          <w:lang w:val="en-GB"/>
        </w:rPr>
        <w:t>GOC</w:t>
      </w:r>
      <w:r w:rsidRPr="0044150C">
        <w:rPr>
          <w:rFonts w:ascii="Arial" w:hAnsi="Arial" w:cs="Arial"/>
          <w:spacing w:val="-4"/>
          <w:sz w:val="24"/>
          <w:szCs w:val="24"/>
          <w:lang w:val="en-GB"/>
        </w:rPr>
        <w:t xml:space="preserve"> </w:t>
      </w:r>
      <w:r w:rsidRPr="0044150C">
        <w:rPr>
          <w:rFonts w:ascii="Arial" w:hAnsi="Arial" w:cs="Arial"/>
          <w:sz w:val="24"/>
          <w:szCs w:val="24"/>
          <w:lang w:val="en-GB"/>
        </w:rPr>
        <w:t>notes</w:t>
      </w:r>
      <w:r w:rsidRPr="0044150C">
        <w:rPr>
          <w:rFonts w:ascii="Arial" w:hAnsi="Arial" w:cs="Arial"/>
          <w:spacing w:val="-7"/>
          <w:sz w:val="24"/>
          <w:szCs w:val="24"/>
          <w:lang w:val="en-GB"/>
        </w:rPr>
        <w:t xml:space="preserve"> </w:t>
      </w:r>
      <w:r w:rsidRPr="0044150C">
        <w:rPr>
          <w:rFonts w:ascii="Arial" w:hAnsi="Arial" w:cs="Arial"/>
          <w:sz w:val="24"/>
          <w:szCs w:val="24"/>
          <w:lang w:val="en-GB"/>
        </w:rPr>
        <w:t>that,</w:t>
      </w:r>
      <w:r w:rsidRPr="0044150C">
        <w:rPr>
          <w:rFonts w:ascii="Arial" w:hAnsi="Arial" w:cs="Arial"/>
          <w:spacing w:val="-6"/>
          <w:sz w:val="24"/>
          <w:szCs w:val="24"/>
          <w:lang w:val="en-GB"/>
        </w:rPr>
        <w:t xml:space="preserve"> </w:t>
      </w:r>
      <w:r w:rsidRPr="0044150C">
        <w:rPr>
          <w:rFonts w:ascii="Arial" w:hAnsi="Arial" w:cs="Arial"/>
          <w:sz w:val="24"/>
          <w:szCs w:val="24"/>
          <w:lang w:val="en-GB"/>
        </w:rPr>
        <w:t>for</w:t>
      </w:r>
      <w:r w:rsidRPr="0044150C">
        <w:rPr>
          <w:rFonts w:ascii="Arial" w:hAnsi="Arial" w:cs="Arial"/>
          <w:spacing w:val="-5"/>
          <w:sz w:val="24"/>
          <w:szCs w:val="24"/>
          <w:lang w:val="en-GB"/>
        </w:rPr>
        <w:t xml:space="preserve"> </w:t>
      </w:r>
      <w:r w:rsidRPr="0044150C">
        <w:rPr>
          <w:rFonts w:ascii="Arial" w:hAnsi="Arial" w:cs="Arial"/>
          <w:sz w:val="24"/>
          <w:szCs w:val="24"/>
          <w:lang w:val="en-GB"/>
        </w:rPr>
        <w:t>an</w:t>
      </w:r>
      <w:r w:rsidRPr="0044150C">
        <w:rPr>
          <w:rFonts w:ascii="Arial" w:hAnsi="Arial" w:cs="Arial"/>
          <w:spacing w:val="-5"/>
          <w:sz w:val="24"/>
          <w:szCs w:val="24"/>
          <w:lang w:val="en-GB"/>
        </w:rPr>
        <w:t xml:space="preserve"> </w:t>
      </w:r>
      <w:r w:rsidRPr="0044150C">
        <w:rPr>
          <w:rFonts w:ascii="Arial" w:hAnsi="Arial" w:cs="Arial"/>
          <w:sz w:val="24"/>
          <w:szCs w:val="24"/>
          <w:lang w:val="en-GB"/>
        </w:rPr>
        <w:t>export</w:t>
      </w:r>
      <w:r w:rsidRPr="0044150C">
        <w:rPr>
          <w:rFonts w:ascii="Arial" w:hAnsi="Arial" w:cs="Arial"/>
          <w:spacing w:val="-4"/>
          <w:sz w:val="24"/>
          <w:szCs w:val="24"/>
          <w:lang w:val="en-GB"/>
        </w:rPr>
        <w:t xml:space="preserve"> </w:t>
      </w:r>
      <w:r w:rsidRPr="0044150C">
        <w:rPr>
          <w:rFonts w:ascii="Arial" w:hAnsi="Arial" w:cs="Arial"/>
          <w:sz w:val="24"/>
          <w:szCs w:val="24"/>
          <w:lang w:val="en-GB"/>
        </w:rPr>
        <w:t>credit</w:t>
      </w:r>
      <w:r w:rsidRPr="0044150C">
        <w:rPr>
          <w:rFonts w:ascii="Arial" w:hAnsi="Arial" w:cs="Arial"/>
          <w:spacing w:val="-6"/>
          <w:sz w:val="24"/>
          <w:szCs w:val="24"/>
          <w:lang w:val="en-GB"/>
        </w:rPr>
        <w:t xml:space="preserve"> </w:t>
      </w:r>
      <w:r w:rsidRPr="0044150C">
        <w:rPr>
          <w:rFonts w:ascii="Arial" w:hAnsi="Arial" w:cs="Arial"/>
          <w:sz w:val="24"/>
          <w:szCs w:val="24"/>
          <w:lang w:val="en-GB"/>
        </w:rPr>
        <w:t>guarantee</w:t>
      </w:r>
      <w:r w:rsidRPr="0044150C">
        <w:rPr>
          <w:rFonts w:ascii="Arial" w:hAnsi="Arial" w:cs="Arial"/>
          <w:spacing w:val="-8"/>
          <w:sz w:val="24"/>
          <w:szCs w:val="24"/>
          <w:lang w:val="en-GB"/>
        </w:rPr>
        <w:t xml:space="preserve"> </w:t>
      </w:r>
      <w:r w:rsidRPr="0044150C">
        <w:rPr>
          <w:rFonts w:ascii="Arial" w:hAnsi="Arial" w:cs="Arial"/>
          <w:sz w:val="24"/>
          <w:szCs w:val="24"/>
          <w:lang w:val="en-GB"/>
        </w:rPr>
        <w:t>or</w:t>
      </w:r>
      <w:r w:rsidRPr="0044150C">
        <w:rPr>
          <w:rFonts w:ascii="Arial" w:hAnsi="Arial" w:cs="Arial"/>
          <w:spacing w:val="-5"/>
          <w:sz w:val="24"/>
          <w:szCs w:val="24"/>
          <w:lang w:val="en-GB"/>
        </w:rPr>
        <w:t xml:space="preserve"> </w:t>
      </w:r>
      <w:r w:rsidRPr="0044150C">
        <w:rPr>
          <w:rFonts w:ascii="Arial" w:hAnsi="Arial" w:cs="Arial"/>
          <w:sz w:val="24"/>
          <w:szCs w:val="24"/>
          <w:lang w:val="en-GB"/>
        </w:rPr>
        <w:t>insurance program to be prohibited under the SCM Agreement, the criteria under paragraph (j) of Annex I of the SCM Agreement must be fulfilled. Paragraph (j) provides as</w:t>
      </w:r>
      <w:r w:rsidRPr="0044150C">
        <w:rPr>
          <w:rFonts w:ascii="Arial" w:hAnsi="Arial" w:cs="Arial"/>
          <w:spacing w:val="-21"/>
          <w:sz w:val="24"/>
          <w:szCs w:val="24"/>
          <w:lang w:val="en-GB"/>
        </w:rPr>
        <w:t xml:space="preserve"> </w:t>
      </w:r>
      <w:r w:rsidRPr="0044150C">
        <w:rPr>
          <w:rFonts w:ascii="Arial" w:hAnsi="Arial" w:cs="Arial"/>
          <w:sz w:val="24"/>
          <w:szCs w:val="24"/>
          <w:lang w:val="en-GB"/>
        </w:rPr>
        <w:t>follows:</w:t>
      </w:r>
    </w:p>
    <w:p w14:paraId="3E020B71" w14:textId="77777777" w:rsidR="000A7226" w:rsidRPr="0044150C" w:rsidRDefault="000A7226" w:rsidP="000A7226">
      <w:pPr>
        <w:spacing w:before="1"/>
        <w:ind w:left="1440" w:right="-46"/>
        <w:rPr>
          <w:rFonts w:ascii="Arial" w:hAnsi="Arial" w:cs="Arial"/>
          <w:sz w:val="24"/>
          <w:szCs w:val="24"/>
          <w:lang w:val="en-GB"/>
        </w:rPr>
      </w:pPr>
      <w:r w:rsidRPr="0044150C">
        <w:rPr>
          <w:rFonts w:ascii="Arial" w:hAnsi="Arial" w:cs="Arial"/>
          <w:sz w:val="24"/>
          <w:szCs w:val="24"/>
          <w:lang w:val="en-GB"/>
        </w:rPr>
        <w:t>“</w:t>
      </w:r>
      <w:r w:rsidRPr="0044150C">
        <w:rPr>
          <w:rFonts w:ascii="Arial" w:hAnsi="Arial" w:cs="Arial"/>
          <w:i/>
          <w:sz w:val="24"/>
          <w:szCs w:val="24"/>
          <w:lang w:val="en-GB"/>
        </w:rPr>
        <w:t>The provision by governments (or special institutions controlled by governments) of export credit guarantee or insurance programmes, of insurance or guarantee programmes against increases in the cost of exported products or of exchange risk programmes, at premium rates which are inadequate to cover the long-term operating costs and losses of the programmes.</w:t>
      </w:r>
      <w:r w:rsidRPr="0044150C">
        <w:rPr>
          <w:rFonts w:ascii="Arial" w:hAnsi="Arial" w:cs="Arial"/>
          <w:sz w:val="24"/>
          <w:szCs w:val="24"/>
          <w:lang w:val="en-GB"/>
        </w:rPr>
        <w:t>”</w:t>
      </w:r>
    </w:p>
    <w:p w14:paraId="6F7DD1B4" w14:textId="77777777" w:rsidR="000A7226" w:rsidRPr="0044150C" w:rsidRDefault="000A7226" w:rsidP="006074ED">
      <w:pPr>
        <w:pStyle w:val="a7"/>
        <w:spacing w:before="10"/>
        <w:ind w:left="567" w:right="-46"/>
        <w:jc w:val="both"/>
        <w:rPr>
          <w:rFonts w:ascii="Arial" w:hAnsi="Arial" w:cs="Arial"/>
          <w:sz w:val="24"/>
          <w:szCs w:val="24"/>
        </w:rPr>
      </w:pPr>
    </w:p>
    <w:p w14:paraId="68C82D7C" w14:textId="20B65569" w:rsidR="000A7226" w:rsidRPr="0044150C" w:rsidRDefault="000A7226" w:rsidP="001A4DBD">
      <w:pPr>
        <w:pStyle w:val="a9"/>
        <w:widowControl w:val="0"/>
        <w:numPr>
          <w:ilvl w:val="0"/>
          <w:numId w:val="1"/>
        </w:numPr>
        <w:autoSpaceDE w:val="0"/>
        <w:autoSpaceDN w:val="0"/>
        <w:spacing w:before="241"/>
        <w:ind w:right="-46" w:hanging="644"/>
        <w:contextualSpacing w:val="0"/>
        <w:rPr>
          <w:rFonts w:ascii="Arial" w:hAnsi="Arial" w:cs="Arial"/>
          <w:sz w:val="24"/>
          <w:szCs w:val="24"/>
          <w:lang w:val="en-GB"/>
        </w:rPr>
      </w:pPr>
      <w:r w:rsidRPr="0044150C">
        <w:rPr>
          <w:rFonts w:ascii="Arial" w:hAnsi="Arial" w:cs="Arial"/>
          <w:sz w:val="24"/>
          <w:szCs w:val="24"/>
          <w:lang w:val="en-GB"/>
        </w:rPr>
        <w:t>In light of the above provision, in order to claim that a supposed subsidy exists, the Applicant was required at a minimum to demonstrate that the premium rates charged by Sinosure are inadequate to cover the long-term operating costs and losses of the</w:t>
      </w:r>
      <w:r w:rsidRPr="0044150C">
        <w:rPr>
          <w:rFonts w:ascii="Arial" w:hAnsi="Arial" w:cs="Arial"/>
          <w:spacing w:val="-6"/>
          <w:sz w:val="24"/>
          <w:szCs w:val="24"/>
          <w:lang w:val="en-GB"/>
        </w:rPr>
        <w:t xml:space="preserve"> </w:t>
      </w:r>
      <w:r w:rsidRPr="0044150C">
        <w:rPr>
          <w:rFonts w:ascii="Arial" w:hAnsi="Arial" w:cs="Arial"/>
          <w:sz w:val="24"/>
          <w:szCs w:val="24"/>
          <w:lang w:val="en-GB"/>
        </w:rPr>
        <w:t>programs.</w:t>
      </w:r>
      <w:r w:rsidR="006074ED" w:rsidRPr="0044150C">
        <w:rPr>
          <w:rFonts w:ascii="Arial" w:hAnsi="Arial" w:cs="Arial"/>
          <w:sz w:val="24"/>
          <w:szCs w:val="24"/>
          <w:lang w:val="en-GB"/>
        </w:rPr>
        <w:t xml:space="preserve"> </w:t>
      </w:r>
      <w:r w:rsidRPr="0044150C">
        <w:rPr>
          <w:rFonts w:ascii="Arial" w:hAnsi="Arial" w:cs="Arial"/>
          <w:sz w:val="24"/>
          <w:szCs w:val="24"/>
          <w:lang w:val="en-GB"/>
        </w:rPr>
        <w:t>However, the Applicant did not provide any evidence to demonstrate that the export credit insurance or guarantee provided by the Sinosure is a prohibited subsidy under the SCM Agreement.</w:t>
      </w:r>
    </w:p>
    <w:p w14:paraId="6285DB11" w14:textId="77777777" w:rsidR="000A7226" w:rsidRPr="0044150C" w:rsidRDefault="000A7226" w:rsidP="000A7226">
      <w:pPr>
        <w:pStyle w:val="a7"/>
        <w:ind w:left="567" w:right="-46"/>
        <w:rPr>
          <w:rFonts w:ascii="Arial" w:hAnsi="Arial" w:cs="Arial"/>
          <w:sz w:val="24"/>
          <w:szCs w:val="24"/>
        </w:rPr>
      </w:pPr>
    </w:p>
    <w:p w14:paraId="44320008" w14:textId="1A9C9051" w:rsidR="000A7226" w:rsidRPr="0044150C" w:rsidRDefault="000A7226" w:rsidP="001A4DBD">
      <w:pPr>
        <w:pStyle w:val="a9"/>
        <w:widowControl w:val="0"/>
        <w:numPr>
          <w:ilvl w:val="0"/>
          <w:numId w:val="1"/>
        </w:numPr>
        <w:autoSpaceDE w:val="0"/>
        <w:autoSpaceDN w:val="0"/>
        <w:spacing w:before="241"/>
        <w:ind w:right="-46" w:hanging="644"/>
        <w:rPr>
          <w:rFonts w:ascii="Arial" w:hAnsi="Arial" w:cs="Arial"/>
          <w:sz w:val="24"/>
          <w:szCs w:val="24"/>
          <w:lang w:val="en-GB"/>
        </w:rPr>
      </w:pPr>
      <w:r w:rsidRPr="0044150C">
        <w:rPr>
          <w:rFonts w:ascii="Arial" w:hAnsi="Arial" w:cs="Arial"/>
          <w:sz w:val="24"/>
          <w:szCs w:val="24"/>
          <w:lang w:val="en-GB"/>
        </w:rPr>
        <w:t xml:space="preserve">That said, the GOC notes that, according to the data of Sinosure, </w:t>
      </w:r>
      <w:r w:rsidR="005F4BD6" w:rsidRPr="0044150C">
        <w:rPr>
          <w:rFonts w:ascii="Arial" w:hAnsi="Arial" w:cs="Arial"/>
          <w:sz w:val="24"/>
          <w:szCs w:val="24"/>
          <w:lang w:val="en-GB"/>
        </w:rPr>
        <w:t>in 2024, 2025 and during the POI, Sinosure’s insurance and guarantee business achieved overall profitability</w:t>
      </w:r>
      <w:r w:rsidRPr="0044150C">
        <w:rPr>
          <w:rFonts w:ascii="Arial" w:hAnsi="Arial" w:cs="Arial"/>
          <w:sz w:val="24"/>
          <w:szCs w:val="24"/>
          <w:lang w:val="en-GB"/>
        </w:rPr>
        <w:t>. Thus, there is no subsidy in the form of preferential export credit insurance and guarantees</w:t>
      </w:r>
      <w:r w:rsidR="005F4BD6" w:rsidRPr="0044150C">
        <w:rPr>
          <w:rFonts w:ascii="Arial" w:hAnsi="Arial" w:cs="Arial"/>
          <w:sz w:val="24"/>
          <w:szCs w:val="24"/>
          <w:lang w:val="en-GB"/>
        </w:rPr>
        <w:t>,</w:t>
      </w:r>
      <w:r w:rsidRPr="0044150C">
        <w:rPr>
          <w:rFonts w:ascii="Arial" w:hAnsi="Arial" w:cs="Arial"/>
          <w:sz w:val="24"/>
          <w:szCs w:val="24"/>
          <w:lang w:val="en-GB"/>
        </w:rPr>
        <w:t xml:space="preserve"> and the GOC herewith respectfully requests the TRA not to investigate this alleged subsidy program.</w:t>
      </w:r>
    </w:p>
    <w:p w14:paraId="4D37F91D" w14:textId="77777777" w:rsidR="000A7226" w:rsidRPr="0044150C" w:rsidRDefault="000A7226" w:rsidP="000A7226">
      <w:pPr>
        <w:pStyle w:val="a9"/>
        <w:ind w:hanging="720"/>
        <w:rPr>
          <w:rFonts w:ascii="Arial" w:eastAsiaTheme="minorHAnsi" w:hAnsi="Arial" w:cs="Arial"/>
          <w:color w:val="000000"/>
          <w:sz w:val="24"/>
          <w:szCs w:val="24"/>
          <w:lang w:val="en-GB" w:bidi="hi-IN"/>
          <w14:ligatures w14:val="standardContextual"/>
        </w:rPr>
      </w:pPr>
    </w:p>
    <w:p w14:paraId="775CAEF0" w14:textId="77777777" w:rsidR="000A7226" w:rsidRPr="0044150C" w:rsidRDefault="000A7226" w:rsidP="001A4DBD">
      <w:pPr>
        <w:pStyle w:val="a9"/>
        <w:numPr>
          <w:ilvl w:val="0"/>
          <w:numId w:val="1"/>
        </w:numPr>
        <w:autoSpaceDE w:val="0"/>
        <w:autoSpaceDN w:val="0"/>
        <w:adjustRightInd w:val="0"/>
        <w:ind w:hanging="644"/>
        <w:contextualSpacing w:val="0"/>
        <w:rPr>
          <w:rFonts w:ascii="Arial" w:eastAsiaTheme="minorHAnsi" w:hAnsi="Arial" w:cs="Arial"/>
          <w:color w:val="000000" w:themeColor="text1"/>
          <w:sz w:val="24"/>
          <w:szCs w:val="24"/>
          <w:lang w:val="en-GB" w:eastAsia="en-US" w:bidi="hi-IN"/>
          <w14:ligatures w14:val="standardContextual"/>
        </w:rPr>
      </w:pPr>
      <w:r w:rsidRPr="0044150C">
        <w:rPr>
          <w:rFonts w:ascii="Arial" w:eastAsiaTheme="minorHAnsi" w:hAnsi="Arial" w:cs="Arial"/>
          <w:color w:val="000000"/>
          <w:sz w:val="24"/>
          <w:szCs w:val="24"/>
          <w:lang w:val="en-GB" w:bidi="hi-IN"/>
          <w14:ligatures w14:val="standardContextual"/>
        </w:rPr>
        <w:t xml:space="preserve">To summarize, </w:t>
      </w:r>
      <w:r w:rsidRPr="0044150C">
        <w:rPr>
          <w:rFonts w:ascii="Arial" w:hAnsi="Arial" w:cs="Arial"/>
          <w:sz w:val="24"/>
          <w:szCs w:val="24"/>
          <w:lang w:val="en-GB"/>
        </w:rPr>
        <w:t>apart from the use of speculative words concerning what Sinosure would have done, the Applicant has not presented any evidence of the existence of such insurance to boom lift producers, the insurance fees paid to Sinosure and that would have been paid under a commercial insurance plan to claim the existence of this alleged subsidy. However, for legally investigating an alleged subsidy, there has to be some evidence of the use of that subsidy by the Chinese boom lift industry and the existence of a benefit, including during the expected period of investigation.</w:t>
      </w:r>
      <w:r w:rsidRPr="0044150C">
        <w:rPr>
          <w:rStyle w:val="ab"/>
          <w:rFonts w:ascii="Arial" w:hAnsi="Arial" w:cs="Arial"/>
          <w:sz w:val="24"/>
          <w:szCs w:val="24"/>
          <w:lang w:val="en-GB"/>
        </w:rPr>
        <w:footnoteReference w:id="30"/>
      </w:r>
      <w:r w:rsidRPr="0044150C">
        <w:rPr>
          <w:rFonts w:ascii="Arial" w:hAnsi="Arial" w:cs="Arial"/>
          <w:sz w:val="24"/>
          <w:szCs w:val="24"/>
          <w:lang w:val="en-GB"/>
        </w:rPr>
        <w:t xml:space="preserve"> </w:t>
      </w:r>
    </w:p>
    <w:p w14:paraId="39B0327C" w14:textId="77777777" w:rsidR="000A7226" w:rsidRPr="0044150C" w:rsidRDefault="000A7226" w:rsidP="000A7226">
      <w:pPr>
        <w:pStyle w:val="a9"/>
        <w:ind w:hanging="720"/>
        <w:rPr>
          <w:rFonts w:ascii="Arial" w:hAnsi="Arial" w:cs="Arial"/>
          <w:color w:val="000000" w:themeColor="text1"/>
          <w:sz w:val="24"/>
          <w:szCs w:val="24"/>
          <w:lang w:val="en-GB"/>
        </w:rPr>
      </w:pPr>
    </w:p>
    <w:p w14:paraId="378D9E48" w14:textId="5E273855" w:rsidR="000A7226" w:rsidRPr="0044150C" w:rsidRDefault="000A7226" w:rsidP="001A4DBD">
      <w:pPr>
        <w:pStyle w:val="a9"/>
        <w:numPr>
          <w:ilvl w:val="0"/>
          <w:numId w:val="1"/>
        </w:numPr>
        <w:autoSpaceDE w:val="0"/>
        <w:autoSpaceDN w:val="0"/>
        <w:adjustRightInd w:val="0"/>
        <w:ind w:hanging="644"/>
        <w:contextualSpacing w:val="0"/>
        <w:rPr>
          <w:rFonts w:ascii="Arial" w:eastAsiaTheme="minorHAnsi" w:hAnsi="Arial" w:cs="Arial"/>
          <w:color w:val="000000" w:themeColor="text1"/>
          <w:sz w:val="24"/>
          <w:szCs w:val="24"/>
          <w:lang w:val="en-GB" w:eastAsia="en-US" w:bidi="hi-IN"/>
          <w14:ligatures w14:val="standardContextual"/>
        </w:rPr>
      </w:pPr>
      <w:r w:rsidRPr="0044150C">
        <w:rPr>
          <w:rFonts w:ascii="Arial" w:hAnsi="Arial" w:cs="Arial"/>
          <w:color w:val="000000" w:themeColor="text1"/>
          <w:sz w:val="24"/>
          <w:szCs w:val="24"/>
          <w:lang w:val="en-GB"/>
        </w:rPr>
        <w:t>Second, that Sinosure is a SOE and the unsubstantiated allegations that Sinosure supposedly “</w:t>
      </w:r>
      <w:r w:rsidRPr="0044150C">
        <w:rPr>
          <w:rFonts w:ascii="Arial" w:hAnsi="Arial" w:cs="Arial"/>
          <w:i/>
          <w:iCs/>
          <w:color w:val="000000" w:themeColor="text1"/>
          <w:sz w:val="24"/>
          <w:szCs w:val="24"/>
          <w:lang w:val="en-GB"/>
        </w:rPr>
        <w:t>actively</w:t>
      </w:r>
      <w:r w:rsidRPr="0044150C">
        <w:rPr>
          <w:rFonts w:ascii="Arial" w:hAnsi="Arial" w:cs="Arial"/>
          <w:color w:val="000000" w:themeColor="text1"/>
          <w:sz w:val="24"/>
          <w:szCs w:val="24"/>
          <w:lang w:val="en-GB"/>
        </w:rPr>
        <w:t xml:space="preserve">” supports certain policies is inadequate to assert the existence of a benefit. In </w:t>
      </w:r>
      <w:r w:rsidRPr="0044150C">
        <w:rPr>
          <w:rFonts w:ascii="Arial" w:hAnsi="Arial" w:cs="Arial"/>
          <w:i/>
          <w:iCs/>
          <w:color w:val="000000" w:themeColor="text1"/>
          <w:sz w:val="24"/>
          <w:szCs w:val="24"/>
          <w:lang w:val="en-GB"/>
        </w:rPr>
        <w:t>EC</w:t>
      </w:r>
      <w:r w:rsidRPr="0044150C">
        <w:rPr>
          <w:rFonts w:ascii="Arial" w:eastAsiaTheme="minorHAnsi" w:hAnsi="Arial" w:cs="Arial"/>
          <w:i/>
          <w:iCs/>
          <w:color w:val="000000" w:themeColor="text1"/>
          <w:sz w:val="24"/>
          <w:szCs w:val="24"/>
          <w:lang w:val="en-GB" w:bidi="hi-IN"/>
          <w14:ligatures w14:val="standardContextual"/>
        </w:rPr>
        <w:t xml:space="preserve"> and Certain Member States – Large Civil Aircraft </w:t>
      </w:r>
      <w:r w:rsidRPr="0044150C">
        <w:rPr>
          <w:rFonts w:ascii="Arial" w:eastAsiaTheme="minorHAnsi" w:hAnsi="Arial" w:cs="Arial"/>
          <w:color w:val="000000" w:themeColor="text1"/>
          <w:sz w:val="24"/>
          <w:szCs w:val="24"/>
          <w:lang w:val="en-GB" w:bidi="hi-IN"/>
          <w14:ligatures w14:val="standardContextual"/>
        </w:rPr>
        <w:t xml:space="preserve">that </w:t>
      </w:r>
      <w:r w:rsidRPr="0044150C">
        <w:rPr>
          <w:rFonts w:ascii="Arial" w:eastAsiaTheme="minorHAnsi" w:hAnsi="Arial" w:cs="Arial"/>
          <w:color w:val="000000" w:themeColor="text1"/>
          <w:sz w:val="24"/>
          <w:szCs w:val="24"/>
          <w:lang w:val="en-GB" w:bidi="hi-IN"/>
        </w:rPr>
        <w:t xml:space="preserve">there is a difference between </w:t>
      </w:r>
      <w:r w:rsidRPr="0044150C">
        <w:rPr>
          <w:rFonts w:ascii="Arial" w:eastAsiaTheme="minorHAnsi" w:hAnsi="Arial" w:cs="Arial"/>
          <w:i/>
          <w:iCs/>
          <w:color w:val="000000" w:themeColor="text1"/>
          <w:sz w:val="24"/>
          <w:szCs w:val="24"/>
          <w:lang w:val="en-GB" w:bidi="hi-IN"/>
        </w:rPr>
        <w:t xml:space="preserve">“the standard against which the presence or absence of a “benefit” is to be assessed, on the one hand, and evidence relevant to that assessment, on the other” </w:t>
      </w:r>
      <w:r w:rsidRPr="0044150C">
        <w:rPr>
          <w:rFonts w:ascii="Arial" w:eastAsiaTheme="minorHAnsi" w:hAnsi="Arial" w:cs="Arial"/>
          <w:color w:val="000000" w:themeColor="text1"/>
          <w:sz w:val="24"/>
          <w:szCs w:val="24"/>
          <w:lang w:val="en-GB" w:bidi="hi-IN"/>
        </w:rPr>
        <w:t>and that</w:t>
      </w:r>
      <w:r w:rsidRPr="0044150C">
        <w:rPr>
          <w:rFonts w:ascii="Arial" w:eastAsiaTheme="minorHAnsi" w:hAnsi="Arial" w:cs="Arial"/>
          <w:i/>
          <w:iCs/>
          <w:color w:val="000000" w:themeColor="text1"/>
          <w:sz w:val="24"/>
          <w:szCs w:val="24"/>
          <w:lang w:val="en-GB" w:bidi="hi-IN"/>
        </w:rPr>
        <w:t xml:space="preserve"> “the standard for assessing the presence or absence of a benefit is the market, and </w:t>
      </w:r>
      <w:r w:rsidRPr="0044150C">
        <w:rPr>
          <w:rFonts w:ascii="Arial" w:eastAsiaTheme="minorHAnsi" w:hAnsi="Arial" w:cs="Arial"/>
          <w:i/>
          <w:iCs/>
          <w:color w:val="000000" w:themeColor="text1"/>
          <w:sz w:val="24"/>
          <w:szCs w:val="24"/>
          <w:u w:val="single"/>
          <w:lang w:val="en-GB" w:bidi="hi-IN"/>
        </w:rPr>
        <w:t>that nothing in Article 1.1(b) or Article 14 makes a government’s “considerations” the lodestone of that standard</w:t>
      </w:r>
      <w:r w:rsidRPr="0044150C">
        <w:rPr>
          <w:rFonts w:ascii="Arial" w:eastAsiaTheme="minorHAnsi" w:hAnsi="Arial" w:cs="Arial"/>
          <w:i/>
          <w:iCs/>
          <w:color w:val="000000" w:themeColor="text1"/>
          <w:sz w:val="24"/>
          <w:szCs w:val="24"/>
          <w:lang w:val="en-GB" w:bidi="hi-IN"/>
        </w:rPr>
        <w:t>.”</w:t>
      </w:r>
      <w:r w:rsidRPr="0044150C">
        <w:rPr>
          <w:rStyle w:val="ab"/>
          <w:rFonts w:ascii="Arial" w:eastAsiaTheme="minorHAnsi" w:hAnsi="Arial" w:cs="Arial"/>
          <w:color w:val="000000" w:themeColor="text1"/>
          <w:sz w:val="24"/>
          <w:szCs w:val="24"/>
          <w:lang w:val="en-GB" w:bidi="hi-IN"/>
        </w:rPr>
        <w:footnoteReference w:id="31"/>
      </w:r>
      <w:r w:rsidRPr="0044150C">
        <w:rPr>
          <w:rFonts w:ascii="Arial" w:eastAsiaTheme="minorHAnsi" w:hAnsi="Arial" w:cs="Arial"/>
          <w:color w:val="000000" w:themeColor="text1"/>
          <w:sz w:val="24"/>
          <w:szCs w:val="24"/>
          <w:lang w:val="en-GB" w:bidi="hi-IN"/>
        </w:rPr>
        <w:t xml:space="preserve"> </w:t>
      </w:r>
    </w:p>
    <w:p w14:paraId="1FF21EA3" w14:textId="77777777" w:rsidR="000A7226" w:rsidRPr="0044150C" w:rsidRDefault="000A7226" w:rsidP="005F4BD6">
      <w:pPr>
        <w:rPr>
          <w:rFonts w:ascii="Arial" w:hAnsi="Arial" w:cs="Arial"/>
          <w:sz w:val="24"/>
          <w:szCs w:val="24"/>
          <w:lang w:val="en-GB"/>
        </w:rPr>
      </w:pPr>
    </w:p>
    <w:p w14:paraId="268E0798" w14:textId="77777777" w:rsidR="000A7226" w:rsidRPr="0044150C" w:rsidRDefault="000A7226" w:rsidP="001A4DBD">
      <w:pPr>
        <w:pStyle w:val="a9"/>
        <w:numPr>
          <w:ilvl w:val="0"/>
          <w:numId w:val="1"/>
        </w:numPr>
        <w:autoSpaceDE w:val="0"/>
        <w:autoSpaceDN w:val="0"/>
        <w:adjustRightInd w:val="0"/>
        <w:ind w:hanging="644"/>
        <w:contextualSpacing w:val="0"/>
        <w:rPr>
          <w:rFonts w:ascii="Arial" w:eastAsiaTheme="minorHAnsi" w:hAnsi="Arial" w:cs="Arial"/>
          <w:color w:val="000000" w:themeColor="text1"/>
          <w:sz w:val="24"/>
          <w:szCs w:val="24"/>
          <w:lang w:val="en-GB" w:eastAsia="en-US" w:bidi="hi-IN"/>
          <w14:ligatures w14:val="standardContextual"/>
        </w:rPr>
      </w:pPr>
      <w:r w:rsidRPr="0044150C">
        <w:rPr>
          <w:rFonts w:ascii="Arial" w:hAnsi="Arial" w:cs="Arial"/>
          <w:sz w:val="24"/>
          <w:szCs w:val="24"/>
          <w:lang w:val="en-GB"/>
        </w:rPr>
        <w:t xml:space="preserve">As regards specificity, the Applicant does not indicate the basis of the assertion of specificity. If the reference to the case-by-case provision of the alleged export insurance implies that in the Applicant’s view, the subsidy is </w:t>
      </w:r>
      <w:r w:rsidRPr="0044150C">
        <w:rPr>
          <w:rFonts w:ascii="Arial" w:hAnsi="Arial" w:cs="Arial"/>
          <w:i/>
          <w:iCs/>
          <w:sz w:val="24"/>
          <w:szCs w:val="24"/>
          <w:lang w:val="en-GB"/>
        </w:rPr>
        <w:t>de facto</w:t>
      </w:r>
      <w:r w:rsidRPr="0044150C">
        <w:rPr>
          <w:rFonts w:ascii="Arial" w:hAnsi="Arial" w:cs="Arial"/>
          <w:sz w:val="24"/>
          <w:szCs w:val="24"/>
          <w:lang w:val="en-GB"/>
        </w:rPr>
        <w:t xml:space="preserve"> limited to </w:t>
      </w:r>
      <w:r w:rsidRPr="0044150C">
        <w:rPr>
          <w:rFonts w:ascii="Arial" w:hAnsi="Arial" w:cs="Arial"/>
          <w:sz w:val="24"/>
          <w:szCs w:val="24"/>
          <w:lang w:val="en-GB"/>
        </w:rPr>
        <w:lastRenderedPageBreak/>
        <w:t xml:space="preserve">specific companies within the meaning of Article 2.1(c) of the SCM Agreement, the Commission has not explained on what basis it considers </w:t>
      </w:r>
      <w:r w:rsidRPr="0044150C">
        <w:rPr>
          <w:rFonts w:ascii="Arial" w:hAnsi="Arial" w:cs="Arial"/>
          <w:i/>
          <w:iCs/>
          <w:sz w:val="24"/>
          <w:szCs w:val="24"/>
          <w:lang w:val="en-GB"/>
        </w:rPr>
        <w:t>de facto</w:t>
      </w:r>
      <w:r w:rsidRPr="0044150C">
        <w:rPr>
          <w:rFonts w:ascii="Arial" w:hAnsi="Arial" w:cs="Arial"/>
          <w:sz w:val="24"/>
          <w:szCs w:val="24"/>
          <w:lang w:val="en-GB"/>
        </w:rPr>
        <w:t xml:space="preserve"> specificity, i.e., which of the factor/s in Article 2.1(c) of the SCM Agreement does it consider exist. Moreover, by its very nature, a </w:t>
      </w:r>
      <w:r w:rsidRPr="0044150C">
        <w:rPr>
          <w:rFonts w:ascii="Arial" w:hAnsi="Arial" w:cs="Arial"/>
          <w:i/>
          <w:iCs/>
          <w:sz w:val="24"/>
          <w:szCs w:val="24"/>
          <w:lang w:val="en-GB"/>
        </w:rPr>
        <w:t>de facto</w:t>
      </w:r>
      <w:r w:rsidRPr="0044150C">
        <w:rPr>
          <w:rFonts w:ascii="Arial" w:hAnsi="Arial" w:cs="Arial"/>
          <w:sz w:val="24"/>
          <w:szCs w:val="24"/>
          <w:lang w:val="en-GB"/>
        </w:rPr>
        <w:t xml:space="preserve"> specificity assertion (and analysis) has to be based on facts. However, the Applicant has not provided any facts.</w:t>
      </w:r>
      <w:r w:rsidRPr="0044150C">
        <w:rPr>
          <w:rStyle w:val="ab"/>
          <w:rFonts w:ascii="Arial" w:hAnsi="Arial" w:cs="Arial"/>
          <w:sz w:val="24"/>
          <w:szCs w:val="24"/>
          <w:lang w:val="en-GB"/>
        </w:rPr>
        <w:footnoteReference w:id="32"/>
      </w:r>
      <w:r w:rsidRPr="0044150C">
        <w:rPr>
          <w:rFonts w:ascii="Arial" w:hAnsi="Arial" w:cs="Arial"/>
          <w:sz w:val="24"/>
          <w:szCs w:val="24"/>
          <w:lang w:val="en-GB"/>
        </w:rPr>
        <w:t xml:space="preserve">  In any event, it is quite clear that, being the Chinese export credit agency, Sinosure seeks to </w:t>
      </w:r>
      <w:r w:rsidRPr="0044150C">
        <w:rPr>
          <w:rFonts w:ascii="Arial" w:eastAsiaTheme="minorHAnsi" w:hAnsi="Arial" w:cs="Arial"/>
          <w:sz w:val="24"/>
          <w:szCs w:val="24"/>
          <w:lang w:val="en-GB" w:eastAsia="en-US" w:bidi="hi-IN"/>
          <w14:ligatures w14:val="standardContextual"/>
        </w:rPr>
        <w:t xml:space="preserve">serve a wide variety of economic sectors, industries and firms as confirmed by its annual reports. Moreover, as noted by the Panel in </w:t>
      </w:r>
      <w:r w:rsidRPr="0044150C">
        <w:rPr>
          <w:rFonts w:ascii="Arial" w:eastAsiaTheme="minorHAnsi" w:hAnsi="Arial" w:cs="Arial"/>
          <w:i/>
          <w:iCs/>
          <w:sz w:val="24"/>
          <w:szCs w:val="24"/>
          <w:lang w:val="en-GB" w:eastAsia="en-US" w:bidi="hi-IN"/>
          <w14:ligatures w14:val="standardContextual"/>
        </w:rPr>
        <w:t xml:space="preserve">China </w:t>
      </w:r>
      <w:r w:rsidRPr="0044150C">
        <w:rPr>
          <w:rFonts w:ascii="Arial" w:hAnsi="Arial" w:cs="Arial"/>
          <w:i/>
          <w:iCs/>
          <w:color w:val="000000" w:themeColor="text1"/>
          <w:sz w:val="24"/>
          <w:szCs w:val="24"/>
          <w:lang w:val="en-GB"/>
        </w:rPr>
        <w:t>–</w:t>
      </w:r>
      <w:r w:rsidRPr="0044150C">
        <w:rPr>
          <w:rFonts w:ascii="Arial" w:eastAsiaTheme="minorHAnsi" w:hAnsi="Arial" w:cs="Arial"/>
          <w:i/>
          <w:iCs/>
          <w:sz w:val="24"/>
          <w:szCs w:val="24"/>
          <w:lang w:val="en-GB" w:eastAsia="en-US" w:bidi="hi-IN"/>
          <w14:ligatures w14:val="standardContextual"/>
        </w:rPr>
        <w:t xml:space="preserve"> GOES</w:t>
      </w:r>
      <w:r w:rsidRPr="0044150C">
        <w:rPr>
          <w:rFonts w:ascii="Arial" w:eastAsiaTheme="minorHAnsi" w:hAnsi="Arial" w:cs="Arial"/>
          <w:sz w:val="24"/>
          <w:szCs w:val="24"/>
          <w:lang w:val="en-GB" w:eastAsia="en-US" w:bidi="hi-IN"/>
          <w14:ligatures w14:val="standardContextual"/>
        </w:rPr>
        <w:t>, differentiated pricing in a market is not evidence of specificity.</w:t>
      </w:r>
      <w:r w:rsidRPr="0044150C">
        <w:rPr>
          <w:rStyle w:val="ab"/>
          <w:rFonts w:ascii="Arial" w:eastAsiaTheme="minorHAnsi" w:hAnsi="Arial" w:cs="Arial"/>
          <w:sz w:val="24"/>
          <w:szCs w:val="24"/>
          <w:lang w:val="en-GB" w:eastAsia="en-US" w:bidi="hi-IN"/>
          <w14:ligatures w14:val="standardContextual"/>
        </w:rPr>
        <w:footnoteReference w:id="33"/>
      </w:r>
    </w:p>
    <w:p w14:paraId="421563ED" w14:textId="77777777" w:rsidR="000A7226" w:rsidRPr="0044150C" w:rsidRDefault="000A7226" w:rsidP="000A7226">
      <w:pPr>
        <w:pStyle w:val="a9"/>
        <w:rPr>
          <w:rFonts w:ascii="Arial" w:eastAsiaTheme="minorHAnsi" w:hAnsi="Arial" w:cs="Arial"/>
          <w:color w:val="000000" w:themeColor="text1"/>
          <w:sz w:val="24"/>
          <w:szCs w:val="24"/>
          <w:lang w:val="en-GB" w:bidi="hi-IN"/>
          <w14:ligatures w14:val="standardContextual"/>
        </w:rPr>
      </w:pPr>
    </w:p>
    <w:p w14:paraId="5BD3B7A4" w14:textId="03300338" w:rsidR="000A7226" w:rsidRPr="0044150C" w:rsidRDefault="000A7226" w:rsidP="001A4DBD">
      <w:pPr>
        <w:pStyle w:val="a9"/>
        <w:numPr>
          <w:ilvl w:val="0"/>
          <w:numId w:val="1"/>
        </w:numPr>
        <w:autoSpaceDE w:val="0"/>
        <w:autoSpaceDN w:val="0"/>
        <w:adjustRightInd w:val="0"/>
        <w:ind w:hanging="644"/>
        <w:contextualSpacing w:val="0"/>
        <w:rPr>
          <w:rFonts w:ascii="Arial" w:eastAsiaTheme="minorHAnsi" w:hAnsi="Arial" w:cs="Arial"/>
          <w:color w:val="000000" w:themeColor="text1"/>
          <w:sz w:val="24"/>
          <w:szCs w:val="24"/>
          <w:lang w:val="en-GB" w:eastAsia="en-US" w:bidi="hi-IN"/>
          <w14:ligatures w14:val="standardContextual"/>
        </w:rPr>
      </w:pPr>
      <w:r w:rsidRPr="0044150C">
        <w:rPr>
          <w:rFonts w:ascii="Arial" w:eastAsiaTheme="minorHAnsi" w:hAnsi="Arial" w:cs="Arial"/>
          <w:color w:val="000000" w:themeColor="text1"/>
          <w:sz w:val="24"/>
          <w:szCs w:val="24"/>
          <w:lang w:val="en-GB" w:bidi="hi-IN"/>
          <w14:ligatures w14:val="standardContextual"/>
        </w:rPr>
        <w:t xml:space="preserve">To conclude, the GOC considers that the </w:t>
      </w:r>
      <w:r w:rsidRPr="0044150C">
        <w:rPr>
          <w:rFonts w:ascii="Arial" w:hAnsi="Arial" w:cs="Arial"/>
          <w:color w:val="000000" w:themeColor="text1"/>
          <w:sz w:val="24"/>
          <w:szCs w:val="24"/>
          <w:lang w:val="en-GB" w:bidi="hi-IN"/>
          <w14:ligatures w14:val="standardContextual"/>
        </w:rPr>
        <w:t>Applicant provided</w:t>
      </w:r>
      <w:r w:rsidRPr="0044150C">
        <w:rPr>
          <w:rFonts w:ascii="Arial" w:eastAsiaTheme="minorHAnsi" w:hAnsi="Arial" w:cs="Arial"/>
          <w:color w:val="000000" w:themeColor="text1"/>
          <w:sz w:val="24"/>
          <w:szCs w:val="24"/>
          <w:lang w:val="en-GB" w:bidi="hi-IN"/>
          <w14:ligatures w14:val="standardContextual"/>
        </w:rPr>
        <w:t xml:space="preserve"> no evidence probative of the question whether the alleged export insurance conferred a benefit on the </w:t>
      </w:r>
      <w:r w:rsidRPr="0044150C">
        <w:rPr>
          <w:rFonts w:ascii="Arial" w:hAnsi="Arial" w:cs="Arial"/>
          <w:color w:val="000000" w:themeColor="text1"/>
          <w:sz w:val="24"/>
          <w:szCs w:val="24"/>
          <w:lang w:val="en-GB" w:bidi="hi-IN"/>
          <w14:ligatures w14:val="standardContextual"/>
        </w:rPr>
        <w:t>boom lift</w:t>
      </w:r>
      <w:r w:rsidRPr="0044150C">
        <w:rPr>
          <w:rFonts w:ascii="Arial" w:eastAsiaTheme="minorHAnsi" w:hAnsi="Arial" w:cs="Arial"/>
          <w:color w:val="000000" w:themeColor="text1"/>
          <w:sz w:val="24"/>
          <w:szCs w:val="24"/>
          <w:lang w:val="en-GB" w:bidi="hi-IN"/>
          <w14:ligatures w14:val="standardContextual"/>
        </w:rPr>
        <w:t xml:space="preserve"> producers. Thus, the investigation in respect of this alleged scheme is in breach of the </w:t>
      </w:r>
      <w:r w:rsidRPr="0044150C">
        <w:rPr>
          <w:rFonts w:ascii="Arial" w:hAnsi="Arial" w:cs="Arial"/>
          <w:color w:val="000000" w:themeColor="text1"/>
          <w:sz w:val="24"/>
          <w:szCs w:val="24"/>
          <w:lang w:val="en-GB" w:bidi="hi-IN"/>
          <w14:ligatures w14:val="standardContextual"/>
        </w:rPr>
        <w:t>UK</w:t>
      </w:r>
      <w:r w:rsidRPr="0044150C">
        <w:rPr>
          <w:rFonts w:ascii="Arial" w:eastAsiaTheme="minorHAnsi" w:hAnsi="Arial" w:cs="Arial"/>
          <w:color w:val="000000" w:themeColor="text1"/>
          <w:sz w:val="24"/>
          <w:szCs w:val="24"/>
          <w:lang w:val="en-GB" w:bidi="hi-IN"/>
          <w14:ligatures w14:val="standardContextual"/>
        </w:rPr>
        <w:t>’s obligations under Articles 11.2, 11.3 and 11.6 of the SCM Agreement.</w:t>
      </w:r>
    </w:p>
    <w:p w14:paraId="2A8A0F25" w14:textId="77777777" w:rsidR="000A289A" w:rsidRPr="0044150C" w:rsidRDefault="000A289A" w:rsidP="000A289A">
      <w:pPr>
        <w:pStyle w:val="a9"/>
        <w:widowControl w:val="0"/>
        <w:tabs>
          <w:tab w:val="left" w:pos="917"/>
        </w:tabs>
        <w:autoSpaceDE w:val="0"/>
        <w:autoSpaceDN w:val="0"/>
        <w:spacing w:before="1"/>
        <w:ind w:left="644" w:right="95"/>
        <w:rPr>
          <w:rFonts w:ascii="Arial" w:hAnsi="Arial" w:cs="Arial"/>
          <w:sz w:val="24"/>
          <w:szCs w:val="24"/>
          <w:lang w:val="en-GB"/>
        </w:rPr>
      </w:pPr>
    </w:p>
    <w:p w14:paraId="055CE5A1" w14:textId="21219174" w:rsidR="009B1F6E" w:rsidRPr="0044150C" w:rsidRDefault="009B1F6E" w:rsidP="009B1F6E">
      <w:pPr>
        <w:pStyle w:val="3"/>
        <w:spacing w:before="0"/>
        <w:rPr>
          <w:rFonts w:ascii="Arial" w:eastAsia="Times New Roman" w:hAnsi="Arial" w:cs="Arial"/>
          <w:b/>
          <w:bCs/>
          <w:color w:val="auto"/>
          <w:lang w:val="en-GB" w:eastAsia="en-US"/>
        </w:rPr>
      </w:pPr>
      <w:bookmarkStart w:id="29" w:name="_Toc226652294"/>
      <w:r w:rsidRPr="0044150C">
        <w:rPr>
          <w:rFonts w:ascii="Arial" w:eastAsia="Times New Roman" w:hAnsi="Arial" w:cs="Arial"/>
          <w:b/>
          <w:bCs/>
          <w:color w:val="auto"/>
          <w:lang w:val="en-GB" w:eastAsia="en-US"/>
        </w:rPr>
        <w:t>Allegedly preferential credit lines</w:t>
      </w:r>
      <w:bookmarkEnd w:id="29"/>
      <w:r w:rsidRPr="0044150C">
        <w:rPr>
          <w:rFonts w:ascii="Arial" w:eastAsia="Times New Roman" w:hAnsi="Arial" w:cs="Arial"/>
          <w:b/>
          <w:bCs/>
          <w:color w:val="auto"/>
          <w:lang w:val="en-GB" w:eastAsia="en-US"/>
        </w:rPr>
        <w:t xml:space="preserve"> </w:t>
      </w:r>
    </w:p>
    <w:p w14:paraId="7B85D038" w14:textId="77777777" w:rsidR="00DF2611" w:rsidRPr="0044150C" w:rsidRDefault="00DF2611" w:rsidP="00DF2611">
      <w:pPr>
        <w:pStyle w:val="a9"/>
        <w:widowControl w:val="0"/>
        <w:tabs>
          <w:tab w:val="left" w:pos="917"/>
        </w:tabs>
        <w:autoSpaceDE w:val="0"/>
        <w:autoSpaceDN w:val="0"/>
        <w:spacing w:before="1"/>
        <w:ind w:left="916" w:right="-46"/>
        <w:contextualSpacing w:val="0"/>
        <w:jc w:val="right"/>
        <w:rPr>
          <w:rFonts w:ascii="Arial" w:hAnsi="Arial" w:cs="Arial"/>
          <w:sz w:val="24"/>
          <w:szCs w:val="24"/>
          <w:lang w:val="en-GB"/>
        </w:rPr>
      </w:pPr>
      <w:bookmarkStart w:id="30" w:name="_Hlk161120287"/>
    </w:p>
    <w:p w14:paraId="432D9527" w14:textId="3EB6F876" w:rsidR="009B1F6E" w:rsidRPr="0044150C" w:rsidRDefault="009B1F6E" w:rsidP="001A4DBD">
      <w:pPr>
        <w:pStyle w:val="a9"/>
        <w:widowControl w:val="0"/>
        <w:numPr>
          <w:ilvl w:val="0"/>
          <w:numId w:val="1"/>
        </w:numPr>
        <w:tabs>
          <w:tab w:val="left" w:pos="917"/>
        </w:tabs>
        <w:autoSpaceDE w:val="0"/>
        <w:autoSpaceDN w:val="0"/>
        <w:spacing w:before="1"/>
        <w:ind w:right="95" w:hanging="644"/>
        <w:rPr>
          <w:rFonts w:ascii="Arial" w:hAnsi="Arial" w:cs="Arial"/>
          <w:sz w:val="24"/>
          <w:szCs w:val="24"/>
          <w:lang w:val="en-GB"/>
        </w:rPr>
      </w:pPr>
      <w:r w:rsidRPr="0044150C">
        <w:rPr>
          <w:rFonts w:ascii="Arial" w:hAnsi="Arial" w:cs="Arial"/>
          <w:sz w:val="24"/>
          <w:szCs w:val="24"/>
          <w:lang w:val="en-GB"/>
        </w:rPr>
        <w:t xml:space="preserve">The Applicant claims that Chinese producers of </w:t>
      </w:r>
      <w:r w:rsidR="009C3948" w:rsidRPr="0044150C">
        <w:rPr>
          <w:rFonts w:ascii="Arial" w:hAnsi="Arial" w:cs="Arial"/>
          <w:sz w:val="24"/>
          <w:szCs w:val="24"/>
          <w:lang w:val="en-GB"/>
        </w:rPr>
        <w:t>boom lift</w:t>
      </w:r>
      <w:r w:rsidRPr="0044150C">
        <w:rPr>
          <w:rFonts w:ascii="Arial" w:hAnsi="Arial" w:cs="Arial"/>
          <w:sz w:val="24"/>
          <w:szCs w:val="24"/>
          <w:lang w:val="en-GB"/>
        </w:rPr>
        <w:t xml:space="preserve"> benefitted from the opening credit lines. The GOC disagrees as the Application does not contain any evidence of provision of preferential credit lines to </w:t>
      </w:r>
      <w:r w:rsidR="009C3948" w:rsidRPr="0044150C">
        <w:rPr>
          <w:rFonts w:ascii="Arial" w:hAnsi="Arial" w:cs="Arial"/>
          <w:sz w:val="24"/>
          <w:szCs w:val="24"/>
          <w:lang w:val="en-GB"/>
        </w:rPr>
        <w:t>boom lift</w:t>
      </w:r>
      <w:r w:rsidRPr="0044150C">
        <w:rPr>
          <w:rFonts w:ascii="Arial" w:hAnsi="Arial" w:cs="Arial"/>
          <w:sz w:val="24"/>
          <w:szCs w:val="24"/>
          <w:lang w:val="en-GB"/>
        </w:rPr>
        <w:t xml:space="preserve"> producers.</w:t>
      </w:r>
    </w:p>
    <w:p w14:paraId="46BFD0C2" w14:textId="77777777" w:rsidR="009B1F6E" w:rsidRPr="0044150C" w:rsidRDefault="009B1F6E" w:rsidP="00DF2611">
      <w:pPr>
        <w:pStyle w:val="a9"/>
        <w:widowControl w:val="0"/>
        <w:tabs>
          <w:tab w:val="left" w:pos="917"/>
        </w:tabs>
        <w:autoSpaceDE w:val="0"/>
        <w:autoSpaceDN w:val="0"/>
        <w:spacing w:before="1"/>
        <w:ind w:right="95"/>
        <w:rPr>
          <w:rFonts w:ascii="Arial" w:hAnsi="Arial" w:cs="Arial"/>
          <w:sz w:val="24"/>
          <w:szCs w:val="24"/>
          <w:lang w:val="en-GB"/>
        </w:rPr>
      </w:pPr>
    </w:p>
    <w:p w14:paraId="47B88947" w14:textId="59A8A07C" w:rsidR="009B1F6E" w:rsidRPr="0044150C" w:rsidRDefault="009B1F6E" w:rsidP="001A4DBD">
      <w:pPr>
        <w:pStyle w:val="a9"/>
        <w:widowControl w:val="0"/>
        <w:numPr>
          <w:ilvl w:val="0"/>
          <w:numId w:val="1"/>
        </w:numPr>
        <w:tabs>
          <w:tab w:val="left" w:pos="917"/>
        </w:tabs>
        <w:autoSpaceDE w:val="0"/>
        <w:autoSpaceDN w:val="0"/>
        <w:spacing w:before="1"/>
        <w:ind w:right="95" w:hanging="644"/>
        <w:rPr>
          <w:rFonts w:ascii="Arial" w:hAnsi="Arial" w:cs="Arial"/>
          <w:sz w:val="24"/>
          <w:szCs w:val="24"/>
          <w:lang w:val="en-GB"/>
        </w:rPr>
      </w:pPr>
      <w:r w:rsidRPr="0044150C">
        <w:rPr>
          <w:rFonts w:ascii="Arial" w:hAnsi="Arial" w:cs="Arial"/>
          <w:sz w:val="24"/>
          <w:szCs w:val="24"/>
          <w:lang w:val="en-GB"/>
        </w:rPr>
        <w:t xml:space="preserve">As was the case with the supposedly preferential loans, first, there is no evidence of financial contribution to </w:t>
      </w:r>
      <w:r w:rsidR="009C3948" w:rsidRPr="0044150C">
        <w:rPr>
          <w:rFonts w:ascii="Arial" w:hAnsi="Arial" w:cs="Arial"/>
          <w:sz w:val="24"/>
          <w:szCs w:val="24"/>
          <w:lang w:val="en-GB"/>
        </w:rPr>
        <w:t>boom lift</w:t>
      </w:r>
      <w:r w:rsidRPr="0044150C">
        <w:rPr>
          <w:rFonts w:ascii="Arial" w:hAnsi="Arial" w:cs="Arial"/>
          <w:sz w:val="24"/>
          <w:szCs w:val="24"/>
          <w:lang w:val="en-GB"/>
        </w:rPr>
        <w:t xml:space="preserve"> producers by “public bodies”, i.e., credit lines given by specific banks and the demonstration that those banks were public bodies. General statements about the existence of credit lines and grant thereof by banks in China is irrelevant and not evidence of subsidization of the </w:t>
      </w:r>
      <w:r w:rsidR="009C3948" w:rsidRPr="0044150C">
        <w:rPr>
          <w:rFonts w:ascii="Arial" w:hAnsi="Arial" w:cs="Arial"/>
          <w:sz w:val="24"/>
          <w:szCs w:val="24"/>
          <w:lang w:val="en-GB"/>
        </w:rPr>
        <w:t>boom lift</w:t>
      </w:r>
      <w:r w:rsidRPr="0044150C">
        <w:rPr>
          <w:rFonts w:ascii="Arial" w:hAnsi="Arial" w:cs="Arial"/>
          <w:sz w:val="24"/>
          <w:szCs w:val="24"/>
          <w:lang w:val="en-GB"/>
        </w:rPr>
        <w:t xml:space="preserve"> industry.</w:t>
      </w:r>
    </w:p>
    <w:p w14:paraId="0D774ABA" w14:textId="77777777" w:rsidR="009B1F6E" w:rsidRPr="0044150C" w:rsidRDefault="009B1F6E" w:rsidP="00B30A18">
      <w:pPr>
        <w:pStyle w:val="a9"/>
        <w:widowControl w:val="0"/>
        <w:tabs>
          <w:tab w:val="left" w:pos="917"/>
        </w:tabs>
        <w:autoSpaceDE w:val="0"/>
        <w:autoSpaceDN w:val="0"/>
        <w:spacing w:before="1"/>
        <w:ind w:right="95"/>
        <w:rPr>
          <w:rFonts w:ascii="Arial" w:hAnsi="Arial" w:cs="Arial"/>
          <w:sz w:val="24"/>
          <w:szCs w:val="24"/>
          <w:lang w:val="en-GB"/>
        </w:rPr>
      </w:pPr>
    </w:p>
    <w:p w14:paraId="347A848F" w14:textId="3E0106F0" w:rsidR="009B1F6E" w:rsidRPr="0044150C" w:rsidRDefault="009B1F6E" w:rsidP="001A4DBD">
      <w:pPr>
        <w:pStyle w:val="a9"/>
        <w:widowControl w:val="0"/>
        <w:numPr>
          <w:ilvl w:val="0"/>
          <w:numId w:val="1"/>
        </w:numPr>
        <w:autoSpaceDE w:val="0"/>
        <w:autoSpaceDN w:val="0"/>
        <w:ind w:right="95" w:hanging="644"/>
        <w:rPr>
          <w:rFonts w:ascii="Arial" w:hAnsi="Arial" w:cs="Arial"/>
          <w:sz w:val="24"/>
          <w:szCs w:val="24"/>
          <w:lang w:val="en-GB"/>
        </w:rPr>
      </w:pPr>
      <w:r w:rsidRPr="0044150C">
        <w:rPr>
          <w:rFonts w:ascii="Arial" w:hAnsi="Arial" w:cs="Arial"/>
          <w:sz w:val="24"/>
          <w:szCs w:val="24"/>
          <w:lang w:val="en-GB"/>
        </w:rPr>
        <w:t xml:space="preserve">Second, the GOC recalls that, contrary to the Applicant’s understanding, any </w:t>
      </w:r>
      <w:r w:rsidRPr="0044150C">
        <w:rPr>
          <w:rFonts w:ascii="Arial" w:hAnsi="Arial" w:cs="Arial"/>
          <w:sz w:val="24"/>
          <w:szCs w:val="24"/>
          <w:lang w:val="en-GB"/>
        </w:rPr>
        <w:lastRenderedPageBreak/>
        <w:t xml:space="preserve">and every credit line or the mere opening of a credit line does not amount to a potential direct transfer of funds. In particular as noted by the Panel in </w:t>
      </w:r>
      <w:r w:rsidRPr="0044150C">
        <w:rPr>
          <w:rFonts w:ascii="Arial" w:hAnsi="Arial" w:cs="Arial"/>
          <w:i/>
          <w:sz w:val="24"/>
          <w:szCs w:val="24"/>
          <w:lang w:val="en-GB"/>
        </w:rPr>
        <w:t xml:space="preserve">EC and certain member States – </w:t>
      </w:r>
      <w:r w:rsidRPr="0044150C">
        <w:rPr>
          <w:rFonts w:ascii="Arial" w:hAnsi="Arial" w:cs="Arial"/>
          <w:i/>
          <w:spacing w:val="-3"/>
          <w:sz w:val="24"/>
          <w:szCs w:val="24"/>
          <w:lang w:val="en-GB"/>
        </w:rPr>
        <w:t xml:space="preserve">Large </w:t>
      </w:r>
      <w:r w:rsidRPr="0044150C">
        <w:rPr>
          <w:rFonts w:ascii="Arial" w:hAnsi="Arial" w:cs="Arial"/>
          <w:i/>
          <w:sz w:val="24"/>
          <w:szCs w:val="24"/>
          <w:lang w:val="en-GB"/>
        </w:rPr>
        <w:t>Civil Aircraft</w:t>
      </w:r>
      <w:r w:rsidRPr="0044150C">
        <w:rPr>
          <w:rFonts w:ascii="Arial" w:hAnsi="Arial" w:cs="Arial"/>
          <w:sz w:val="24"/>
          <w:szCs w:val="24"/>
          <w:lang w:val="en-GB"/>
        </w:rPr>
        <w:t>, in assessing “</w:t>
      </w:r>
      <w:r w:rsidRPr="0044150C">
        <w:rPr>
          <w:rFonts w:ascii="Arial" w:hAnsi="Arial" w:cs="Arial"/>
          <w:i/>
          <w:sz w:val="24"/>
          <w:szCs w:val="24"/>
          <w:lang w:val="en-GB"/>
        </w:rPr>
        <w:t>whether a transaction involves a ‘potential direct transfer […] of funds’, the focus should</w:t>
      </w:r>
      <w:r w:rsidRPr="0044150C">
        <w:rPr>
          <w:rFonts w:ascii="Arial" w:hAnsi="Arial" w:cs="Arial"/>
          <w:i/>
          <w:spacing w:val="-12"/>
          <w:sz w:val="24"/>
          <w:szCs w:val="24"/>
          <w:lang w:val="en-GB"/>
        </w:rPr>
        <w:t xml:space="preserve"> </w:t>
      </w:r>
      <w:r w:rsidRPr="0044150C">
        <w:rPr>
          <w:rFonts w:ascii="Arial" w:hAnsi="Arial" w:cs="Arial"/>
          <w:i/>
          <w:sz w:val="24"/>
          <w:szCs w:val="24"/>
          <w:lang w:val="en-GB"/>
        </w:rPr>
        <w:t>be</w:t>
      </w:r>
      <w:r w:rsidRPr="0044150C">
        <w:rPr>
          <w:rFonts w:ascii="Arial" w:hAnsi="Arial" w:cs="Arial"/>
          <w:i/>
          <w:spacing w:val="-12"/>
          <w:sz w:val="24"/>
          <w:szCs w:val="24"/>
          <w:lang w:val="en-GB"/>
        </w:rPr>
        <w:t xml:space="preserve"> </w:t>
      </w:r>
      <w:r w:rsidRPr="0044150C">
        <w:rPr>
          <w:rFonts w:ascii="Arial" w:hAnsi="Arial" w:cs="Arial"/>
          <w:i/>
          <w:sz w:val="24"/>
          <w:szCs w:val="24"/>
          <w:lang w:val="en-GB"/>
        </w:rPr>
        <w:t>on</w:t>
      </w:r>
      <w:r w:rsidRPr="0044150C">
        <w:rPr>
          <w:rFonts w:ascii="Arial" w:hAnsi="Arial" w:cs="Arial"/>
          <w:i/>
          <w:spacing w:val="-12"/>
          <w:sz w:val="24"/>
          <w:szCs w:val="24"/>
          <w:lang w:val="en-GB"/>
        </w:rPr>
        <w:t xml:space="preserve"> </w:t>
      </w:r>
      <w:r w:rsidRPr="0044150C">
        <w:rPr>
          <w:rFonts w:ascii="Arial" w:hAnsi="Arial" w:cs="Arial"/>
          <w:i/>
          <w:sz w:val="24"/>
          <w:szCs w:val="24"/>
          <w:lang w:val="en-GB"/>
        </w:rPr>
        <w:t>the</w:t>
      </w:r>
      <w:r w:rsidRPr="0044150C">
        <w:rPr>
          <w:rFonts w:ascii="Arial" w:hAnsi="Arial" w:cs="Arial"/>
          <w:i/>
          <w:spacing w:val="-9"/>
          <w:sz w:val="24"/>
          <w:szCs w:val="24"/>
          <w:lang w:val="en-GB"/>
        </w:rPr>
        <w:t xml:space="preserve"> </w:t>
      </w:r>
      <w:r w:rsidRPr="0044150C">
        <w:rPr>
          <w:rFonts w:ascii="Arial" w:hAnsi="Arial" w:cs="Arial"/>
          <w:i/>
          <w:sz w:val="24"/>
          <w:szCs w:val="24"/>
          <w:lang w:val="en-GB"/>
        </w:rPr>
        <w:t>existence</w:t>
      </w:r>
      <w:r w:rsidRPr="0044150C">
        <w:rPr>
          <w:rFonts w:ascii="Arial" w:hAnsi="Arial" w:cs="Arial"/>
          <w:i/>
          <w:spacing w:val="-13"/>
          <w:sz w:val="24"/>
          <w:szCs w:val="24"/>
          <w:lang w:val="en-GB"/>
        </w:rPr>
        <w:t xml:space="preserve"> </w:t>
      </w:r>
      <w:r w:rsidRPr="0044150C">
        <w:rPr>
          <w:rFonts w:ascii="Arial" w:hAnsi="Arial" w:cs="Arial"/>
          <w:i/>
          <w:sz w:val="24"/>
          <w:szCs w:val="24"/>
          <w:lang w:val="en-GB"/>
        </w:rPr>
        <w:t>of</w:t>
      </w:r>
      <w:r w:rsidRPr="0044150C">
        <w:rPr>
          <w:rFonts w:ascii="Arial" w:hAnsi="Arial" w:cs="Arial"/>
          <w:i/>
          <w:spacing w:val="-11"/>
          <w:sz w:val="24"/>
          <w:szCs w:val="24"/>
          <w:lang w:val="en-GB"/>
        </w:rPr>
        <w:t xml:space="preserve"> </w:t>
      </w:r>
      <w:r w:rsidRPr="0044150C">
        <w:rPr>
          <w:rFonts w:ascii="Arial" w:hAnsi="Arial" w:cs="Arial"/>
          <w:i/>
          <w:sz w:val="24"/>
          <w:szCs w:val="24"/>
          <w:lang w:val="en-GB"/>
        </w:rPr>
        <w:t>a</w:t>
      </w:r>
      <w:r w:rsidRPr="0044150C">
        <w:rPr>
          <w:rFonts w:ascii="Arial" w:hAnsi="Arial" w:cs="Arial"/>
          <w:i/>
          <w:spacing w:val="-12"/>
          <w:sz w:val="24"/>
          <w:szCs w:val="24"/>
          <w:lang w:val="en-GB"/>
        </w:rPr>
        <w:t xml:space="preserve"> </w:t>
      </w:r>
      <w:r w:rsidRPr="0044150C">
        <w:rPr>
          <w:rFonts w:ascii="Arial" w:hAnsi="Arial" w:cs="Arial"/>
          <w:i/>
          <w:sz w:val="24"/>
          <w:szCs w:val="24"/>
          <w:lang w:val="en-GB"/>
        </w:rPr>
        <w:t>government</w:t>
      </w:r>
      <w:r w:rsidRPr="0044150C">
        <w:rPr>
          <w:rFonts w:ascii="Arial" w:hAnsi="Arial" w:cs="Arial"/>
          <w:i/>
          <w:spacing w:val="-11"/>
          <w:sz w:val="24"/>
          <w:szCs w:val="24"/>
          <w:lang w:val="en-GB"/>
        </w:rPr>
        <w:t xml:space="preserve"> </w:t>
      </w:r>
      <w:r w:rsidRPr="0044150C">
        <w:rPr>
          <w:rFonts w:ascii="Arial" w:hAnsi="Arial" w:cs="Arial"/>
          <w:i/>
          <w:sz w:val="24"/>
          <w:szCs w:val="24"/>
          <w:lang w:val="en-GB"/>
        </w:rPr>
        <w:t>practice</w:t>
      </w:r>
      <w:r w:rsidRPr="0044150C">
        <w:rPr>
          <w:rFonts w:ascii="Arial" w:hAnsi="Arial" w:cs="Arial"/>
          <w:i/>
          <w:spacing w:val="-13"/>
          <w:sz w:val="24"/>
          <w:szCs w:val="24"/>
          <w:lang w:val="en-GB"/>
        </w:rPr>
        <w:t xml:space="preserve"> </w:t>
      </w:r>
      <w:r w:rsidRPr="0044150C">
        <w:rPr>
          <w:rFonts w:ascii="Arial" w:hAnsi="Arial" w:cs="Arial"/>
          <w:i/>
          <w:sz w:val="24"/>
          <w:szCs w:val="24"/>
          <w:lang w:val="en-GB"/>
        </w:rPr>
        <w:t>that</w:t>
      </w:r>
      <w:r w:rsidRPr="0044150C">
        <w:rPr>
          <w:rFonts w:ascii="Arial" w:hAnsi="Arial" w:cs="Arial"/>
          <w:i/>
          <w:spacing w:val="-10"/>
          <w:sz w:val="24"/>
          <w:szCs w:val="24"/>
          <w:lang w:val="en-GB"/>
        </w:rPr>
        <w:t xml:space="preserve"> </w:t>
      </w:r>
      <w:r w:rsidRPr="0044150C">
        <w:rPr>
          <w:rFonts w:ascii="Arial" w:hAnsi="Arial" w:cs="Arial"/>
          <w:i/>
          <w:sz w:val="24"/>
          <w:szCs w:val="24"/>
          <w:lang w:val="en-GB"/>
        </w:rPr>
        <w:t>involves</w:t>
      </w:r>
      <w:r w:rsidRPr="0044150C">
        <w:rPr>
          <w:rFonts w:ascii="Arial" w:hAnsi="Arial" w:cs="Arial"/>
          <w:i/>
          <w:spacing w:val="-12"/>
          <w:sz w:val="24"/>
          <w:szCs w:val="24"/>
          <w:lang w:val="en-GB"/>
        </w:rPr>
        <w:t xml:space="preserve"> </w:t>
      </w:r>
      <w:r w:rsidRPr="0044150C">
        <w:rPr>
          <w:rFonts w:ascii="Arial" w:hAnsi="Arial" w:cs="Arial"/>
          <w:i/>
          <w:sz w:val="24"/>
          <w:szCs w:val="24"/>
          <w:lang w:val="en-GB"/>
        </w:rPr>
        <w:t>an</w:t>
      </w:r>
      <w:r w:rsidRPr="0044150C">
        <w:rPr>
          <w:rFonts w:ascii="Arial" w:hAnsi="Arial" w:cs="Arial"/>
          <w:i/>
          <w:spacing w:val="-9"/>
          <w:sz w:val="24"/>
          <w:szCs w:val="24"/>
          <w:lang w:val="en-GB"/>
        </w:rPr>
        <w:t xml:space="preserve"> </w:t>
      </w:r>
      <w:r w:rsidRPr="0044150C">
        <w:rPr>
          <w:rFonts w:ascii="Arial" w:hAnsi="Arial" w:cs="Arial"/>
          <w:i/>
          <w:sz w:val="24"/>
          <w:szCs w:val="24"/>
          <w:lang w:val="en-GB"/>
        </w:rPr>
        <w:t>obligation</w:t>
      </w:r>
      <w:r w:rsidRPr="0044150C">
        <w:rPr>
          <w:rFonts w:ascii="Arial" w:hAnsi="Arial" w:cs="Arial"/>
          <w:i/>
          <w:spacing w:val="-12"/>
          <w:sz w:val="24"/>
          <w:szCs w:val="24"/>
          <w:lang w:val="en-GB"/>
        </w:rPr>
        <w:t xml:space="preserve"> </w:t>
      </w:r>
      <w:r w:rsidRPr="0044150C">
        <w:rPr>
          <w:rFonts w:ascii="Arial" w:hAnsi="Arial" w:cs="Arial"/>
          <w:i/>
          <w:sz w:val="24"/>
          <w:szCs w:val="24"/>
          <w:lang w:val="en-GB"/>
        </w:rPr>
        <w:t>to</w:t>
      </w:r>
      <w:r w:rsidRPr="0044150C">
        <w:rPr>
          <w:rFonts w:ascii="Arial" w:hAnsi="Arial" w:cs="Arial"/>
          <w:i/>
          <w:spacing w:val="-11"/>
          <w:sz w:val="24"/>
          <w:szCs w:val="24"/>
          <w:lang w:val="en-GB"/>
        </w:rPr>
        <w:t xml:space="preserve"> </w:t>
      </w:r>
      <w:r w:rsidRPr="0044150C">
        <w:rPr>
          <w:rFonts w:ascii="Arial" w:hAnsi="Arial" w:cs="Arial"/>
          <w:i/>
          <w:sz w:val="24"/>
          <w:szCs w:val="24"/>
          <w:lang w:val="en-GB"/>
        </w:rPr>
        <w:t>make</w:t>
      </w:r>
      <w:r w:rsidRPr="0044150C">
        <w:rPr>
          <w:rFonts w:ascii="Arial" w:hAnsi="Arial" w:cs="Arial"/>
          <w:i/>
          <w:spacing w:val="-13"/>
          <w:sz w:val="24"/>
          <w:szCs w:val="24"/>
          <w:lang w:val="en-GB"/>
        </w:rPr>
        <w:t xml:space="preserve"> </w:t>
      </w:r>
      <w:r w:rsidRPr="0044150C">
        <w:rPr>
          <w:rFonts w:ascii="Arial" w:hAnsi="Arial" w:cs="Arial"/>
          <w:i/>
          <w:sz w:val="24"/>
          <w:szCs w:val="24"/>
          <w:lang w:val="en-GB"/>
        </w:rPr>
        <w:t>a</w:t>
      </w:r>
      <w:r w:rsidRPr="0044150C">
        <w:rPr>
          <w:rFonts w:ascii="Arial" w:hAnsi="Arial" w:cs="Arial"/>
          <w:i/>
          <w:spacing w:val="-9"/>
          <w:sz w:val="24"/>
          <w:szCs w:val="24"/>
          <w:lang w:val="en-GB"/>
        </w:rPr>
        <w:t xml:space="preserve"> </w:t>
      </w:r>
      <w:r w:rsidRPr="0044150C">
        <w:rPr>
          <w:rFonts w:ascii="Arial" w:hAnsi="Arial" w:cs="Arial"/>
          <w:i/>
          <w:sz w:val="24"/>
          <w:szCs w:val="24"/>
          <w:lang w:val="en-GB"/>
        </w:rPr>
        <w:t>direct transfer of funds which, in and of itself, is claimed and capable of conferring a benefit on the recipient</w:t>
      </w:r>
      <w:r w:rsidRPr="0044150C">
        <w:rPr>
          <w:rFonts w:ascii="Arial" w:hAnsi="Arial" w:cs="Arial"/>
          <w:i/>
          <w:spacing w:val="-11"/>
          <w:sz w:val="24"/>
          <w:szCs w:val="24"/>
          <w:lang w:val="en-GB"/>
        </w:rPr>
        <w:t xml:space="preserve"> </w:t>
      </w:r>
      <w:r w:rsidRPr="0044150C">
        <w:rPr>
          <w:rFonts w:ascii="Arial" w:hAnsi="Arial" w:cs="Arial"/>
          <w:i/>
          <w:sz w:val="24"/>
          <w:szCs w:val="24"/>
          <w:lang w:val="en-GB"/>
        </w:rPr>
        <w:t>that</w:t>
      </w:r>
      <w:r w:rsidRPr="0044150C">
        <w:rPr>
          <w:rFonts w:ascii="Arial" w:hAnsi="Arial" w:cs="Arial"/>
          <w:i/>
          <w:spacing w:val="-10"/>
          <w:sz w:val="24"/>
          <w:szCs w:val="24"/>
          <w:lang w:val="en-GB"/>
        </w:rPr>
        <w:t xml:space="preserve"> </w:t>
      </w:r>
      <w:r w:rsidRPr="0044150C">
        <w:rPr>
          <w:rFonts w:ascii="Arial" w:hAnsi="Arial" w:cs="Arial"/>
          <w:i/>
          <w:sz w:val="24"/>
          <w:szCs w:val="24"/>
          <w:lang w:val="en-GB"/>
        </w:rPr>
        <w:t>is</w:t>
      </w:r>
      <w:r w:rsidRPr="0044150C">
        <w:rPr>
          <w:rFonts w:ascii="Arial" w:hAnsi="Arial" w:cs="Arial"/>
          <w:i/>
          <w:spacing w:val="-10"/>
          <w:sz w:val="24"/>
          <w:szCs w:val="24"/>
          <w:lang w:val="en-GB"/>
        </w:rPr>
        <w:t xml:space="preserve"> </w:t>
      </w:r>
      <w:r w:rsidRPr="0044150C">
        <w:rPr>
          <w:rFonts w:ascii="Arial" w:hAnsi="Arial" w:cs="Arial"/>
          <w:i/>
          <w:sz w:val="24"/>
          <w:szCs w:val="24"/>
          <w:lang w:val="en-GB"/>
        </w:rPr>
        <w:t>separate</w:t>
      </w:r>
      <w:r w:rsidRPr="0044150C">
        <w:rPr>
          <w:rFonts w:ascii="Arial" w:hAnsi="Arial" w:cs="Arial"/>
          <w:i/>
          <w:spacing w:val="-14"/>
          <w:sz w:val="24"/>
          <w:szCs w:val="24"/>
          <w:lang w:val="en-GB"/>
        </w:rPr>
        <w:t xml:space="preserve"> </w:t>
      </w:r>
      <w:r w:rsidRPr="0044150C">
        <w:rPr>
          <w:rFonts w:ascii="Arial" w:hAnsi="Arial" w:cs="Arial"/>
          <w:i/>
          <w:sz w:val="24"/>
          <w:szCs w:val="24"/>
          <w:lang w:val="en-GB"/>
        </w:rPr>
        <w:t>and</w:t>
      </w:r>
      <w:r w:rsidRPr="0044150C">
        <w:rPr>
          <w:rFonts w:ascii="Arial" w:hAnsi="Arial" w:cs="Arial"/>
          <w:i/>
          <w:spacing w:val="-11"/>
          <w:sz w:val="24"/>
          <w:szCs w:val="24"/>
          <w:lang w:val="en-GB"/>
        </w:rPr>
        <w:t xml:space="preserve"> </w:t>
      </w:r>
      <w:r w:rsidRPr="0044150C">
        <w:rPr>
          <w:rFonts w:ascii="Arial" w:hAnsi="Arial" w:cs="Arial"/>
          <w:i/>
          <w:sz w:val="24"/>
          <w:szCs w:val="24"/>
          <w:lang w:val="en-GB"/>
        </w:rPr>
        <w:t>independent</w:t>
      </w:r>
      <w:r w:rsidRPr="0044150C">
        <w:rPr>
          <w:rFonts w:ascii="Arial" w:hAnsi="Arial" w:cs="Arial"/>
          <w:i/>
          <w:spacing w:val="-10"/>
          <w:sz w:val="24"/>
          <w:szCs w:val="24"/>
          <w:lang w:val="en-GB"/>
        </w:rPr>
        <w:t xml:space="preserve"> </w:t>
      </w:r>
      <w:r w:rsidRPr="0044150C">
        <w:rPr>
          <w:rFonts w:ascii="Arial" w:hAnsi="Arial" w:cs="Arial"/>
          <w:i/>
          <w:sz w:val="24"/>
          <w:szCs w:val="24"/>
          <w:lang w:val="en-GB"/>
        </w:rPr>
        <w:t>to</w:t>
      </w:r>
      <w:r w:rsidRPr="0044150C">
        <w:rPr>
          <w:rFonts w:ascii="Arial" w:hAnsi="Arial" w:cs="Arial"/>
          <w:i/>
          <w:spacing w:val="-11"/>
          <w:sz w:val="24"/>
          <w:szCs w:val="24"/>
          <w:lang w:val="en-GB"/>
        </w:rPr>
        <w:t xml:space="preserve"> </w:t>
      </w:r>
      <w:r w:rsidRPr="0044150C">
        <w:rPr>
          <w:rFonts w:ascii="Arial" w:hAnsi="Arial" w:cs="Arial"/>
          <w:i/>
          <w:sz w:val="24"/>
          <w:szCs w:val="24"/>
          <w:lang w:val="en-GB"/>
        </w:rPr>
        <w:t>the</w:t>
      </w:r>
      <w:r w:rsidRPr="0044150C">
        <w:rPr>
          <w:rFonts w:ascii="Arial" w:hAnsi="Arial" w:cs="Arial"/>
          <w:i/>
          <w:spacing w:val="-11"/>
          <w:sz w:val="24"/>
          <w:szCs w:val="24"/>
          <w:lang w:val="en-GB"/>
        </w:rPr>
        <w:t xml:space="preserve"> </w:t>
      </w:r>
      <w:r w:rsidRPr="0044150C">
        <w:rPr>
          <w:rFonts w:ascii="Arial" w:hAnsi="Arial" w:cs="Arial"/>
          <w:i/>
          <w:sz w:val="24"/>
          <w:szCs w:val="24"/>
          <w:lang w:val="en-GB"/>
        </w:rPr>
        <w:t>benefit</w:t>
      </w:r>
      <w:r w:rsidRPr="0044150C">
        <w:rPr>
          <w:rFonts w:ascii="Arial" w:hAnsi="Arial" w:cs="Arial"/>
          <w:i/>
          <w:spacing w:val="-10"/>
          <w:sz w:val="24"/>
          <w:szCs w:val="24"/>
          <w:lang w:val="en-GB"/>
        </w:rPr>
        <w:t xml:space="preserve"> </w:t>
      </w:r>
      <w:r w:rsidRPr="0044150C">
        <w:rPr>
          <w:rFonts w:ascii="Arial" w:hAnsi="Arial" w:cs="Arial"/>
          <w:i/>
          <w:sz w:val="24"/>
          <w:szCs w:val="24"/>
          <w:lang w:val="en-GB"/>
        </w:rPr>
        <w:t>that</w:t>
      </w:r>
      <w:r w:rsidRPr="0044150C">
        <w:rPr>
          <w:rFonts w:ascii="Arial" w:hAnsi="Arial" w:cs="Arial"/>
          <w:i/>
          <w:spacing w:val="-12"/>
          <w:sz w:val="24"/>
          <w:szCs w:val="24"/>
          <w:lang w:val="en-GB"/>
        </w:rPr>
        <w:t xml:space="preserve"> </w:t>
      </w:r>
      <w:r w:rsidRPr="0044150C">
        <w:rPr>
          <w:rFonts w:ascii="Arial" w:hAnsi="Arial" w:cs="Arial"/>
          <w:i/>
          <w:sz w:val="24"/>
          <w:szCs w:val="24"/>
          <w:lang w:val="en-GB"/>
        </w:rPr>
        <w:t>might</w:t>
      </w:r>
      <w:r w:rsidRPr="0044150C">
        <w:rPr>
          <w:rFonts w:ascii="Arial" w:hAnsi="Arial" w:cs="Arial"/>
          <w:i/>
          <w:spacing w:val="-10"/>
          <w:sz w:val="24"/>
          <w:szCs w:val="24"/>
          <w:lang w:val="en-GB"/>
        </w:rPr>
        <w:t xml:space="preserve"> </w:t>
      </w:r>
      <w:r w:rsidRPr="0044150C">
        <w:rPr>
          <w:rFonts w:ascii="Arial" w:hAnsi="Arial" w:cs="Arial"/>
          <w:i/>
          <w:sz w:val="24"/>
          <w:szCs w:val="24"/>
          <w:lang w:val="en-GB"/>
        </w:rPr>
        <w:t>be</w:t>
      </w:r>
      <w:r w:rsidRPr="0044150C">
        <w:rPr>
          <w:rFonts w:ascii="Arial" w:hAnsi="Arial" w:cs="Arial"/>
          <w:i/>
          <w:spacing w:val="-12"/>
          <w:sz w:val="24"/>
          <w:szCs w:val="24"/>
          <w:lang w:val="en-GB"/>
        </w:rPr>
        <w:t xml:space="preserve"> </w:t>
      </w:r>
      <w:r w:rsidRPr="0044150C">
        <w:rPr>
          <w:rFonts w:ascii="Arial" w:hAnsi="Arial" w:cs="Arial"/>
          <w:i/>
          <w:sz w:val="24"/>
          <w:szCs w:val="24"/>
          <w:lang w:val="en-GB"/>
        </w:rPr>
        <w:t>conferred</w:t>
      </w:r>
      <w:r w:rsidRPr="0044150C">
        <w:rPr>
          <w:rFonts w:ascii="Arial" w:hAnsi="Arial" w:cs="Arial"/>
          <w:i/>
          <w:spacing w:val="-12"/>
          <w:sz w:val="24"/>
          <w:szCs w:val="24"/>
          <w:lang w:val="en-GB"/>
        </w:rPr>
        <w:t xml:space="preserve"> </w:t>
      </w:r>
      <w:r w:rsidRPr="0044150C">
        <w:rPr>
          <w:rFonts w:ascii="Arial" w:hAnsi="Arial" w:cs="Arial"/>
          <w:i/>
          <w:spacing w:val="-3"/>
          <w:sz w:val="24"/>
          <w:szCs w:val="24"/>
          <w:lang w:val="en-GB"/>
        </w:rPr>
        <w:t>from</w:t>
      </w:r>
      <w:r w:rsidRPr="0044150C">
        <w:rPr>
          <w:rFonts w:ascii="Arial" w:hAnsi="Arial" w:cs="Arial"/>
          <w:i/>
          <w:spacing w:val="-11"/>
          <w:sz w:val="24"/>
          <w:szCs w:val="24"/>
          <w:lang w:val="en-GB"/>
        </w:rPr>
        <w:t xml:space="preserve"> </w:t>
      </w:r>
      <w:r w:rsidRPr="0044150C">
        <w:rPr>
          <w:rFonts w:ascii="Arial" w:hAnsi="Arial" w:cs="Arial"/>
          <w:i/>
          <w:sz w:val="24"/>
          <w:szCs w:val="24"/>
          <w:lang w:val="en-GB"/>
        </w:rPr>
        <w:t>any</w:t>
      </w:r>
      <w:r w:rsidRPr="0044150C">
        <w:rPr>
          <w:rFonts w:ascii="Arial" w:hAnsi="Arial" w:cs="Arial"/>
          <w:i/>
          <w:spacing w:val="-12"/>
          <w:sz w:val="24"/>
          <w:szCs w:val="24"/>
          <w:lang w:val="en-GB"/>
        </w:rPr>
        <w:t xml:space="preserve"> </w:t>
      </w:r>
      <w:r w:rsidRPr="0044150C">
        <w:rPr>
          <w:rFonts w:ascii="Arial" w:hAnsi="Arial" w:cs="Arial"/>
          <w:i/>
          <w:sz w:val="24"/>
          <w:szCs w:val="24"/>
          <w:lang w:val="en-GB"/>
        </w:rPr>
        <w:t>future transfer of funds</w:t>
      </w:r>
      <w:r w:rsidRPr="0044150C">
        <w:rPr>
          <w:rFonts w:ascii="Arial" w:hAnsi="Arial" w:cs="Arial"/>
          <w:sz w:val="24"/>
          <w:szCs w:val="24"/>
          <w:lang w:val="en-GB"/>
        </w:rPr>
        <w:t>.”</w:t>
      </w:r>
      <w:r w:rsidR="00DF2611" w:rsidRPr="0044150C">
        <w:rPr>
          <w:rStyle w:val="ab"/>
          <w:rFonts w:ascii="Arial" w:hAnsi="Arial" w:cs="Arial"/>
          <w:sz w:val="24"/>
          <w:szCs w:val="24"/>
          <w:lang w:val="en-GB"/>
        </w:rPr>
        <w:footnoteReference w:id="34"/>
      </w:r>
    </w:p>
    <w:p w14:paraId="7606E103" w14:textId="77777777" w:rsidR="00B30A18" w:rsidRPr="0044150C" w:rsidRDefault="00B30A18" w:rsidP="00B30A18">
      <w:pPr>
        <w:pStyle w:val="a9"/>
        <w:widowControl w:val="0"/>
        <w:tabs>
          <w:tab w:val="left" w:pos="917"/>
        </w:tabs>
        <w:autoSpaceDE w:val="0"/>
        <w:autoSpaceDN w:val="0"/>
        <w:spacing w:before="1"/>
        <w:ind w:right="95"/>
        <w:rPr>
          <w:rFonts w:ascii="Arial" w:hAnsi="Arial" w:cs="Arial"/>
          <w:sz w:val="24"/>
          <w:szCs w:val="24"/>
          <w:lang w:val="en-GB"/>
        </w:rPr>
      </w:pPr>
    </w:p>
    <w:p w14:paraId="730F7535" w14:textId="3B8C8A74" w:rsidR="00B30A18" w:rsidRPr="0044150C" w:rsidRDefault="009B1F6E" w:rsidP="001A4DBD">
      <w:pPr>
        <w:pStyle w:val="a7"/>
        <w:numPr>
          <w:ilvl w:val="0"/>
          <w:numId w:val="1"/>
        </w:numPr>
        <w:spacing w:before="100"/>
        <w:ind w:right="95" w:hanging="644"/>
        <w:rPr>
          <w:rFonts w:ascii="Arial" w:hAnsi="Arial" w:cs="Arial"/>
          <w:sz w:val="24"/>
          <w:szCs w:val="24"/>
        </w:rPr>
      </w:pPr>
      <w:r w:rsidRPr="0044150C">
        <w:rPr>
          <w:rFonts w:ascii="Arial" w:hAnsi="Arial" w:cs="Arial"/>
          <w:sz w:val="24"/>
          <w:szCs w:val="24"/>
        </w:rPr>
        <w:t>Furthermore, credit lines establish only a borrowing limit that a company can use; there is no financial</w:t>
      </w:r>
      <w:r w:rsidRPr="0044150C">
        <w:rPr>
          <w:rFonts w:ascii="Arial" w:hAnsi="Arial" w:cs="Arial"/>
          <w:spacing w:val="26"/>
          <w:sz w:val="24"/>
          <w:szCs w:val="24"/>
        </w:rPr>
        <w:t xml:space="preserve"> </w:t>
      </w:r>
      <w:r w:rsidRPr="0044150C">
        <w:rPr>
          <w:rFonts w:ascii="Arial" w:hAnsi="Arial" w:cs="Arial"/>
          <w:sz w:val="24"/>
          <w:szCs w:val="24"/>
        </w:rPr>
        <w:t>contribution</w:t>
      </w:r>
      <w:r w:rsidRPr="0044150C">
        <w:rPr>
          <w:rFonts w:ascii="Arial" w:hAnsi="Arial" w:cs="Arial"/>
          <w:spacing w:val="28"/>
          <w:sz w:val="24"/>
          <w:szCs w:val="24"/>
        </w:rPr>
        <w:t xml:space="preserve"> </w:t>
      </w:r>
      <w:r w:rsidRPr="0044150C">
        <w:rPr>
          <w:rFonts w:ascii="Arial" w:hAnsi="Arial" w:cs="Arial"/>
          <w:sz w:val="24"/>
          <w:szCs w:val="24"/>
        </w:rPr>
        <w:t>in</w:t>
      </w:r>
      <w:r w:rsidRPr="0044150C">
        <w:rPr>
          <w:rFonts w:ascii="Arial" w:hAnsi="Arial" w:cs="Arial"/>
          <w:spacing w:val="27"/>
          <w:sz w:val="24"/>
          <w:szCs w:val="24"/>
        </w:rPr>
        <w:t xml:space="preserve"> </w:t>
      </w:r>
      <w:r w:rsidRPr="0044150C">
        <w:rPr>
          <w:rFonts w:ascii="Arial" w:hAnsi="Arial" w:cs="Arial"/>
          <w:sz w:val="24"/>
          <w:szCs w:val="24"/>
        </w:rPr>
        <w:t>that</w:t>
      </w:r>
      <w:r w:rsidRPr="0044150C">
        <w:rPr>
          <w:rFonts w:ascii="Arial" w:hAnsi="Arial" w:cs="Arial"/>
          <w:spacing w:val="27"/>
          <w:sz w:val="24"/>
          <w:szCs w:val="24"/>
        </w:rPr>
        <w:t xml:space="preserve"> </w:t>
      </w:r>
      <w:r w:rsidRPr="0044150C">
        <w:rPr>
          <w:rFonts w:ascii="Arial" w:hAnsi="Arial" w:cs="Arial"/>
          <w:sz w:val="24"/>
          <w:szCs w:val="24"/>
        </w:rPr>
        <w:t>regard.</w:t>
      </w:r>
      <w:r w:rsidRPr="0044150C">
        <w:rPr>
          <w:rFonts w:ascii="Arial" w:hAnsi="Arial" w:cs="Arial"/>
          <w:spacing w:val="25"/>
          <w:sz w:val="24"/>
          <w:szCs w:val="24"/>
        </w:rPr>
        <w:t xml:space="preserve"> </w:t>
      </w:r>
      <w:r w:rsidRPr="0044150C">
        <w:rPr>
          <w:rFonts w:ascii="Arial" w:hAnsi="Arial" w:cs="Arial"/>
          <w:sz w:val="24"/>
          <w:szCs w:val="24"/>
        </w:rPr>
        <w:t>Moreover,</w:t>
      </w:r>
      <w:r w:rsidRPr="0044150C">
        <w:rPr>
          <w:rFonts w:ascii="Arial" w:hAnsi="Arial" w:cs="Arial"/>
          <w:spacing w:val="29"/>
          <w:sz w:val="24"/>
          <w:szCs w:val="24"/>
        </w:rPr>
        <w:t xml:space="preserve"> </w:t>
      </w:r>
      <w:r w:rsidRPr="0044150C">
        <w:rPr>
          <w:rFonts w:ascii="Arial" w:hAnsi="Arial" w:cs="Arial"/>
          <w:sz w:val="24"/>
          <w:szCs w:val="24"/>
        </w:rPr>
        <w:t>there</w:t>
      </w:r>
      <w:r w:rsidRPr="0044150C">
        <w:rPr>
          <w:rFonts w:ascii="Arial" w:hAnsi="Arial" w:cs="Arial"/>
          <w:spacing w:val="25"/>
          <w:sz w:val="24"/>
          <w:szCs w:val="24"/>
        </w:rPr>
        <w:t xml:space="preserve"> </w:t>
      </w:r>
      <w:r w:rsidRPr="0044150C">
        <w:rPr>
          <w:rFonts w:ascii="Arial" w:hAnsi="Arial" w:cs="Arial"/>
          <w:sz w:val="24"/>
          <w:szCs w:val="24"/>
        </w:rPr>
        <w:t>are</w:t>
      </w:r>
      <w:r w:rsidRPr="0044150C">
        <w:rPr>
          <w:rFonts w:ascii="Arial" w:hAnsi="Arial" w:cs="Arial"/>
          <w:spacing w:val="26"/>
          <w:sz w:val="24"/>
          <w:szCs w:val="24"/>
        </w:rPr>
        <w:t xml:space="preserve"> </w:t>
      </w:r>
      <w:r w:rsidRPr="0044150C">
        <w:rPr>
          <w:rFonts w:ascii="Arial" w:hAnsi="Arial" w:cs="Arial"/>
          <w:sz w:val="24"/>
          <w:szCs w:val="24"/>
        </w:rPr>
        <w:t>no</w:t>
      </w:r>
      <w:r w:rsidRPr="0044150C">
        <w:rPr>
          <w:rFonts w:ascii="Arial" w:hAnsi="Arial" w:cs="Arial"/>
          <w:spacing w:val="27"/>
          <w:sz w:val="24"/>
          <w:szCs w:val="24"/>
        </w:rPr>
        <w:t xml:space="preserve"> </w:t>
      </w:r>
      <w:r w:rsidRPr="0044150C">
        <w:rPr>
          <w:rFonts w:ascii="Arial" w:hAnsi="Arial" w:cs="Arial"/>
          <w:sz w:val="24"/>
          <w:szCs w:val="24"/>
        </w:rPr>
        <w:t>world-wide</w:t>
      </w:r>
      <w:r w:rsidRPr="0044150C">
        <w:rPr>
          <w:rFonts w:ascii="Arial" w:hAnsi="Arial" w:cs="Arial"/>
          <w:spacing w:val="27"/>
          <w:sz w:val="24"/>
          <w:szCs w:val="24"/>
        </w:rPr>
        <w:t xml:space="preserve"> </w:t>
      </w:r>
      <w:r w:rsidRPr="0044150C">
        <w:rPr>
          <w:rFonts w:ascii="Arial" w:hAnsi="Arial" w:cs="Arial"/>
          <w:sz w:val="24"/>
          <w:szCs w:val="24"/>
        </w:rPr>
        <w:t>accepted</w:t>
      </w:r>
      <w:r w:rsidRPr="0044150C">
        <w:rPr>
          <w:rFonts w:ascii="Arial" w:hAnsi="Arial" w:cs="Arial"/>
          <w:spacing w:val="27"/>
          <w:sz w:val="24"/>
          <w:szCs w:val="24"/>
        </w:rPr>
        <w:t xml:space="preserve"> </w:t>
      </w:r>
      <w:r w:rsidRPr="0044150C">
        <w:rPr>
          <w:rFonts w:ascii="Arial" w:hAnsi="Arial" w:cs="Arial"/>
          <w:sz w:val="24"/>
          <w:szCs w:val="24"/>
        </w:rPr>
        <w:t>standards</w:t>
      </w:r>
      <w:bookmarkEnd w:id="30"/>
      <w:r w:rsidR="00DF2611" w:rsidRPr="0044150C">
        <w:rPr>
          <w:rFonts w:ascii="Arial" w:hAnsi="Arial" w:cs="Arial"/>
          <w:sz w:val="24"/>
          <w:szCs w:val="24"/>
        </w:rPr>
        <w:t xml:space="preserve"> </w:t>
      </w:r>
      <w:bookmarkStart w:id="32" w:name="_Hlk161120519"/>
      <w:r w:rsidR="00B30A18" w:rsidRPr="0044150C">
        <w:rPr>
          <w:rFonts w:ascii="Arial" w:hAnsi="Arial" w:cs="Arial"/>
          <w:sz w:val="24"/>
          <w:szCs w:val="24"/>
        </w:rPr>
        <w:t>regarding the opening of a credit line or its operation. Universally, credit lines differ between banks and customers. Indeed, the amounts and conditions of credit lines are customer-specific.</w:t>
      </w:r>
      <w:bookmarkEnd w:id="32"/>
    </w:p>
    <w:p w14:paraId="0AC1B3E5" w14:textId="77777777" w:rsidR="00B30A18" w:rsidRPr="0044150C" w:rsidRDefault="00B30A18" w:rsidP="00B30A18">
      <w:pPr>
        <w:pStyle w:val="a9"/>
        <w:widowControl w:val="0"/>
        <w:tabs>
          <w:tab w:val="left" w:pos="917"/>
        </w:tabs>
        <w:autoSpaceDE w:val="0"/>
        <w:autoSpaceDN w:val="0"/>
        <w:spacing w:before="1"/>
        <w:ind w:right="95"/>
        <w:rPr>
          <w:rFonts w:ascii="Arial" w:hAnsi="Arial" w:cs="Arial"/>
          <w:sz w:val="24"/>
          <w:szCs w:val="24"/>
          <w:lang w:val="en-GB"/>
        </w:rPr>
      </w:pPr>
      <w:bookmarkStart w:id="33" w:name="_Hlk161120913"/>
    </w:p>
    <w:p w14:paraId="188B09AF" w14:textId="5F6DDC02" w:rsidR="00B30A18" w:rsidRPr="0044150C" w:rsidRDefault="00B30A18" w:rsidP="001A4DBD">
      <w:pPr>
        <w:pStyle w:val="a9"/>
        <w:widowControl w:val="0"/>
        <w:numPr>
          <w:ilvl w:val="0"/>
          <w:numId w:val="1"/>
        </w:numPr>
        <w:tabs>
          <w:tab w:val="left" w:pos="917"/>
        </w:tabs>
        <w:autoSpaceDE w:val="0"/>
        <w:autoSpaceDN w:val="0"/>
        <w:ind w:right="95" w:hanging="644"/>
        <w:rPr>
          <w:rFonts w:ascii="Arial" w:hAnsi="Arial" w:cs="Arial"/>
          <w:sz w:val="24"/>
          <w:szCs w:val="24"/>
          <w:lang w:val="en-GB"/>
        </w:rPr>
      </w:pPr>
      <w:r w:rsidRPr="0044150C">
        <w:rPr>
          <w:rFonts w:ascii="Arial" w:hAnsi="Arial" w:cs="Arial"/>
          <w:sz w:val="24"/>
          <w:szCs w:val="24"/>
          <w:lang w:val="en-GB"/>
        </w:rPr>
        <w:t xml:space="preserve">Third, as confirmed by the Appellate Body in </w:t>
      </w:r>
      <w:r w:rsidRPr="0044150C">
        <w:rPr>
          <w:rFonts w:ascii="Arial" w:hAnsi="Arial" w:cs="Arial"/>
          <w:i/>
          <w:sz w:val="24"/>
          <w:szCs w:val="24"/>
          <w:lang w:val="en-GB"/>
        </w:rPr>
        <w:t>EC and certain member States – Large Civil Aircraft</w:t>
      </w:r>
      <w:r w:rsidRPr="0044150C">
        <w:rPr>
          <w:rFonts w:ascii="Arial" w:hAnsi="Arial" w:cs="Arial"/>
          <w:sz w:val="24"/>
          <w:szCs w:val="24"/>
          <w:lang w:val="en-GB"/>
        </w:rPr>
        <w:t>, a “benefit” only exists if the financial contribution at issue makes the recipient better off than it would otherwise have been, absent that contribution.</w:t>
      </w:r>
      <w:r w:rsidRPr="0044150C">
        <w:rPr>
          <w:rFonts w:ascii="Arial" w:hAnsi="Arial" w:cs="Arial"/>
          <w:sz w:val="24"/>
          <w:szCs w:val="24"/>
          <w:vertAlign w:val="superscript"/>
          <w:lang w:val="en-GB"/>
        </w:rPr>
        <w:t>97</w:t>
      </w:r>
      <w:r w:rsidRPr="0044150C">
        <w:rPr>
          <w:rFonts w:ascii="Arial" w:hAnsi="Arial" w:cs="Arial"/>
          <w:sz w:val="24"/>
          <w:szCs w:val="24"/>
          <w:lang w:val="en-GB"/>
        </w:rPr>
        <w:t xml:space="preserve"> The Appellate Body further clarified that the marketplace provides an appropriate benchmark for this comparison to be made.</w:t>
      </w:r>
      <w:r w:rsidRPr="0044150C">
        <w:rPr>
          <w:rStyle w:val="ab"/>
          <w:rFonts w:ascii="Arial" w:hAnsi="Arial" w:cs="Arial"/>
          <w:sz w:val="24"/>
          <w:szCs w:val="24"/>
          <w:lang w:val="en-GB"/>
        </w:rPr>
        <w:footnoteReference w:id="35"/>
      </w:r>
      <w:r w:rsidRPr="0044150C">
        <w:rPr>
          <w:rFonts w:ascii="Arial" w:hAnsi="Arial" w:cs="Arial"/>
          <w:sz w:val="24"/>
          <w:szCs w:val="24"/>
          <w:lang w:val="en-GB"/>
        </w:rPr>
        <w:t xml:space="preserve"> In other words, in order for a benefit to exist, the recipient must have received a financial</w:t>
      </w:r>
      <w:r w:rsidRPr="0044150C">
        <w:rPr>
          <w:rFonts w:ascii="Arial" w:hAnsi="Arial" w:cs="Arial"/>
          <w:spacing w:val="-11"/>
          <w:sz w:val="24"/>
          <w:szCs w:val="24"/>
          <w:lang w:val="en-GB"/>
        </w:rPr>
        <w:t xml:space="preserve"> </w:t>
      </w:r>
      <w:r w:rsidRPr="0044150C">
        <w:rPr>
          <w:rFonts w:ascii="Arial" w:hAnsi="Arial" w:cs="Arial"/>
          <w:sz w:val="24"/>
          <w:szCs w:val="24"/>
          <w:lang w:val="en-GB"/>
        </w:rPr>
        <w:t>contribution</w:t>
      </w:r>
      <w:r w:rsidRPr="0044150C">
        <w:rPr>
          <w:rFonts w:ascii="Arial" w:hAnsi="Arial" w:cs="Arial"/>
          <w:spacing w:val="-12"/>
          <w:sz w:val="24"/>
          <w:szCs w:val="24"/>
          <w:lang w:val="en-GB"/>
        </w:rPr>
        <w:t xml:space="preserve"> </w:t>
      </w:r>
      <w:r w:rsidRPr="0044150C">
        <w:rPr>
          <w:rFonts w:ascii="Arial" w:hAnsi="Arial" w:cs="Arial"/>
          <w:sz w:val="24"/>
          <w:szCs w:val="24"/>
          <w:lang w:val="en-GB"/>
        </w:rPr>
        <w:t>on</w:t>
      </w:r>
      <w:r w:rsidRPr="0044150C">
        <w:rPr>
          <w:rFonts w:ascii="Arial" w:hAnsi="Arial" w:cs="Arial"/>
          <w:spacing w:val="-11"/>
          <w:sz w:val="24"/>
          <w:szCs w:val="24"/>
          <w:lang w:val="en-GB"/>
        </w:rPr>
        <w:t xml:space="preserve"> </w:t>
      </w:r>
      <w:r w:rsidRPr="0044150C">
        <w:rPr>
          <w:rFonts w:ascii="Arial" w:hAnsi="Arial" w:cs="Arial"/>
          <w:sz w:val="24"/>
          <w:szCs w:val="24"/>
          <w:lang w:val="en-GB"/>
        </w:rPr>
        <w:t>terms</w:t>
      </w:r>
      <w:r w:rsidRPr="0044150C">
        <w:rPr>
          <w:rFonts w:ascii="Arial" w:hAnsi="Arial" w:cs="Arial"/>
          <w:spacing w:val="-12"/>
          <w:sz w:val="24"/>
          <w:szCs w:val="24"/>
          <w:lang w:val="en-GB"/>
        </w:rPr>
        <w:t xml:space="preserve"> </w:t>
      </w:r>
      <w:r w:rsidRPr="0044150C">
        <w:rPr>
          <w:rFonts w:ascii="Arial" w:hAnsi="Arial" w:cs="Arial"/>
          <w:sz w:val="24"/>
          <w:szCs w:val="24"/>
          <w:lang w:val="en-GB"/>
        </w:rPr>
        <w:t>more</w:t>
      </w:r>
      <w:r w:rsidRPr="0044150C">
        <w:rPr>
          <w:rFonts w:ascii="Arial" w:hAnsi="Arial" w:cs="Arial"/>
          <w:spacing w:val="-12"/>
          <w:sz w:val="24"/>
          <w:szCs w:val="24"/>
          <w:lang w:val="en-GB"/>
        </w:rPr>
        <w:t xml:space="preserve"> </w:t>
      </w:r>
      <w:r w:rsidRPr="0044150C">
        <w:rPr>
          <w:rFonts w:ascii="Arial" w:hAnsi="Arial" w:cs="Arial"/>
          <w:sz w:val="24"/>
          <w:szCs w:val="24"/>
          <w:lang w:val="en-GB"/>
        </w:rPr>
        <w:t>favourable</w:t>
      </w:r>
      <w:r w:rsidRPr="0044150C">
        <w:rPr>
          <w:rFonts w:ascii="Arial" w:hAnsi="Arial" w:cs="Arial"/>
          <w:spacing w:val="-13"/>
          <w:sz w:val="24"/>
          <w:szCs w:val="24"/>
          <w:lang w:val="en-GB"/>
        </w:rPr>
        <w:t xml:space="preserve"> </w:t>
      </w:r>
      <w:r w:rsidRPr="0044150C">
        <w:rPr>
          <w:rFonts w:ascii="Arial" w:hAnsi="Arial" w:cs="Arial"/>
          <w:sz w:val="24"/>
          <w:szCs w:val="24"/>
          <w:lang w:val="en-GB"/>
        </w:rPr>
        <w:t>than</w:t>
      </w:r>
      <w:r w:rsidRPr="0044150C">
        <w:rPr>
          <w:rFonts w:ascii="Arial" w:hAnsi="Arial" w:cs="Arial"/>
          <w:spacing w:val="-13"/>
          <w:sz w:val="24"/>
          <w:szCs w:val="24"/>
          <w:lang w:val="en-GB"/>
        </w:rPr>
        <w:t xml:space="preserve"> </w:t>
      </w:r>
      <w:r w:rsidRPr="0044150C">
        <w:rPr>
          <w:rFonts w:ascii="Arial" w:hAnsi="Arial" w:cs="Arial"/>
          <w:sz w:val="24"/>
          <w:szCs w:val="24"/>
          <w:lang w:val="en-GB"/>
        </w:rPr>
        <w:t>those</w:t>
      </w:r>
      <w:r w:rsidRPr="0044150C">
        <w:rPr>
          <w:rFonts w:ascii="Arial" w:hAnsi="Arial" w:cs="Arial"/>
          <w:spacing w:val="-10"/>
          <w:sz w:val="24"/>
          <w:szCs w:val="24"/>
          <w:lang w:val="en-GB"/>
        </w:rPr>
        <w:t xml:space="preserve"> </w:t>
      </w:r>
      <w:r w:rsidRPr="0044150C">
        <w:rPr>
          <w:rFonts w:ascii="Arial" w:hAnsi="Arial" w:cs="Arial"/>
          <w:sz w:val="24"/>
          <w:szCs w:val="24"/>
          <w:lang w:val="en-GB"/>
        </w:rPr>
        <w:t>available</w:t>
      </w:r>
      <w:r w:rsidRPr="0044150C">
        <w:rPr>
          <w:rFonts w:ascii="Arial" w:hAnsi="Arial" w:cs="Arial"/>
          <w:spacing w:val="-13"/>
          <w:sz w:val="24"/>
          <w:szCs w:val="24"/>
          <w:lang w:val="en-GB"/>
        </w:rPr>
        <w:t xml:space="preserve"> </w:t>
      </w:r>
      <w:r w:rsidRPr="0044150C">
        <w:rPr>
          <w:rFonts w:ascii="Arial" w:hAnsi="Arial" w:cs="Arial"/>
          <w:sz w:val="24"/>
          <w:szCs w:val="24"/>
          <w:lang w:val="en-GB"/>
        </w:rPr>
        <w:t>on</w:t>
      </w:r>
      <w:r w:rsidRPr="0044150C">
        <w:rPr>
          <w:rFonts w:ascii="Arial" w:hAnsi="Arial" w:cs="Arial"/>
          <w:spacing w:val="-11"/>
          <w:sz w:val="24"/>
          <w:szCs w:val="24"/>
          <w:lang w:val="en-GB"/>
        </w:rPr>
        <w:t xml:space="preserve"> </w:t>
      </w:r>
      <w:r w:rsidRPr="0044150C">
        <w:rPr>
          <w:rFonts w:ascii="Arial" w:hAnsi="Arial" w:cs="Arial"/>
          <w:sz w:val="24"/>
          <w:szCs w:val="24"/>
          <w:lang w:val="en-GB"/>
        </w:rPr>
        <w:t>the</w:t>
      </w:r>
      <w:r w:rsidRPr="0044150C">
        <w:rPr>
          <w:rFonts w:ascii="Arial" w:hAnsi="Arial" w:cs="Arial"/>
          <w:spacing w:val="-10"/>
          <w:sz w:val="24"/>
          <w:szCs w:val="24"/>
          <w:lang w:val="en-GB"/>
        </w:rPr>
        <w:t xml:space="preserve"> </w:t>
      </w:r>
      <w:r w:rsidRPr="0044150C">
        <w:rPr>
          <w:rFonts w:ascii="Arial" w:hAnsi="Arial" w:cs="Arial"/>
          <w:sz w:val="24"/>
          <w:szCs w:val="24"/>
          <w:lang w:val="en-GB"/>
        </w:rPr>
        <w:t>market.</w:t>
      </w:r>
      <w:r w:rsidRPr="0044150C">
        <w:rPr>
          <w:rStyle w:val="ab"/>
          <w:rFonts w:ascii="Arial" w:hAnsi="Arial" w:cs="Arial"/>
          <w:sz w:val="24"/>
          <w:szCs w:val="24"/>
          <w:lang w:val="en-GB"/>
        </w:rPr>
        <w:footnoteReference w:id="36"/>
      </w:r>
      <w:r w:rsidRPr="0044150C">
        <w:rPr>
          <w:rFonts w:ascii="Arial" w:hAnsi="Arial" w:cs="Arial"/>
          <w:sz w:val="24"/>
          <w:szCs w:val="24"/>
          <w:lang w:val="en-GB"/>
        </w:rPr>
        <w:t xml:space="preserve"> In</w:t>
      </w:r>
      <w:r w:rsidRPr="0044150C">
        <w:rPr>
          <w:rFonts w:ascii="Arial" w:hAnsi="Arial" w:cs="Arial"/>
          <w:spacing w:val="-13"/>
          <w:sz w:val="24"/>
          <w:szCs w:val="24"/>
          <w:lang w:val="en-GB"/>
        </w:rPr>
        <w:t xml:space="preserve"> </w:t>
      </w:r>
      <w:r w:rsidRPr="0044150C">
        <w:rPr>
          <w:rFonts w:ascii="Arial" w:hAnsi="Arial" w:cs="Arial"/>
          <w:i/>
          <w:sz w:val="24"/>
          <w:szCs w:val="24"/>
          <w:lang w:val="en-GB"/>
        </w:rPr>
        <w:t>EC</w:t>
      </w:r>
      <w:r w:rsidRPr="0044150C">
        <w:rPr>
          <w:rFonts w:ascii="Arial" w:hAnsi="Arial" w:cs="Arial"/>
          <w:i/>
          <w:spacing w:val="-13"/>
          <w:sz w:val="24"/>
          <w:szCs w:val="24"/>
          <w:lang w:val="en-GB"/>
        </w:rPr>
        <w:t xml:space="preserve"> </w:t>
      </w:r>
      <w:r w:rsidRPr="0044150C">
        <w:rPr>
          <w:rFonts w:ascii="Arial" w:hAnsi="Arial" w:cs="Arial"/>
          <w:i/>
          <w:sz w:val="24"/>
          <w:szCs w:val="24"/>
          <w:lang w:val="en-GB"/>
        </w:rPr>
        <w:t>and certain</w:t>
      </w:r>
      <w:r w:rsidRPr="0044150C">
        <w:rPr>
          <w:rFonts w:ascii="Arial" w:hAnsi="Arial" w:cs="Arial"/>
          <w:i/>
          <w:spacing w:val="-6"/>
          <w:sz w:val="24"/>
          <w:szCs w:val="24"/>
          <w:lang w:val="en-GB"/>
        </w:rPr>
        <w:t xml:space="preserve"> </w:t>
      </w:r>
      <w:r w:rsidRPr="0044150C">
        <w:rPr>
          <w:rFonts w:ascii="Arial" w:hAnsi="Arial" w:cs="Arial"/>
          <w:i/>
          <w:sz w:val="24"/>
          <w:szCs w:val="24"/>
          <w:lang w:val="en-GB"/>
        </w:rPr>
        <w:t>member</w:t>
      </w:r>
      <w:r w:rsidRPr="0044150C">
        <w:rPr>
          <w:rFonts w:ascii="Arial" w:hAnsi="Arial" w:cs="Arial"/>
          <w:i/>
          <w:spacing w:val="-6"/>
          <w:sz w:val="24"/>
          <w:szCs w:val="24"/>
          <w:lang w:val="en-GB"/>
        </w:rPr>
        <w:t xml:space="preserve"> </w:t>
      </w:r>
      <w:r w:rsidRPr="0044150C">
        <w:rPr>
          <w:rFonts w:ascii="Arial" w:hAnsi="Arial" w:cs="Arial"/>
          <w:i/>
          <w:sz w:val="24"/>
          <w:szCs w:val="24"/>
          <w:lang w:val="en-GB"/>
        </w:rPr>
        <w:t>States</w:t>
      </w:r>
      <w:r w:rsidRPr="0044150C">
        <w:rPr>
          <w:rFonts w:ascii="Arial" w:hAnsi="Arial" w:cs="Arial"/>
          <w:i/>
          <w:spacing w:val="-2"/>
          <w:sz w:val="24"/>
          <w:szCs w:val="24"/>
          <w:lang w:val="en-GB"/>
        </w:rPr>
        <w:t xml:space="preserve"> </w:t>
      </w:r>
      <w:r w:rsidRPr="0044150C">
        <w:rPr>
          <w:rFonts w:ascii="Arial" w:hAnsi="Arial" w:cs="Arial"/>
          <w:i/>
          <w:sz w:val="24"/>
          <w:szCs w:val="24"/>
          <w:lang w:val="en-GB"/>
        </w:rPr>
        <w:t>–</w:t>
      </w:r>
      <w:r w:rsidRPr="0044150C">
        <w:rPr>
          <w:rFonts w:ascii="Arial" w:hAnsi="Arial" w:cs="Arial"/>
          <w:i/>
          <w:spacing w:val="-4"/>
          <w:sz w:val="24"/>
          <w:szCs w:val="24"/>
          <w:lang w:val="en-GB"/>
        </w:rPr>
        <w:t xml:space="preserve"> </w:t>
      </w:r>
      <w:r w:rsidRPr="0044150C">
        <w:rPr>
          <w:rFonts w:ascii="Arial" w:hAnsi="Arial" w:cs="Arial"/>
          <w:i/>
          <w:sz w:val="24"/>
          <w:szCs w:val="24"/>
          <w:lang w:val="en-GB"/>
        </w:rPr>
        <w:t>Large</w:t>
      </w:r>
      <w:r w:rsidRPr="0044150C">
        <w:rPr>
          <w:rFonts w:ascii="Arial" w:hAnsi="Arial" w:cs="Arial"/>
          <w:i/>
          <w:spacing w:val="-6"/>
          <w:sz w:val="24"/>
          <w:szCs w:val="24"/>
          <w:lang w:val="en-GB"/>
        </w:rPr>
        <w:t xml:space="preserve"> </w:t>
      </w:r>
      <w:r w:rsidRPr="0044150C">
        <w:rPr>
          <w:rFonts w:ascii="Arial" w:hAnsi="Arial" w:cs="Arial"/>
          <w:i/>
          <w:sz w:val="24"/>
          <w:szCs w:val="24"/>
          <w:lang w:val="en-GB"/>
        </w:rPr>
        <w:t>Civil</w:t>
      </w:r>
      <w:r w:rsidRPr="0044150C">
        <w:rPr>
          <w:rFonts w:ascii="Arial" w:hAnsi="Arial" w:cs="Arial"/>
          <w:i/>
          <w:spacing w:val="-8"/>
          <w:sz w:val="24"/>
          <w:szCs w:val="24"/>
          <w:lang w:val="en-GB"/>
        </w:rPr>
        <w:t xml:space="preserve"> </w:t>
      </w:r>
      <w:r w:rsidRPr="0044150C">
        <w:rPr>
          <w:rFonts w:ascii="Arial" w:hAnsi="Arial" w:cs="Arial"/>
          <w:i/>
          <w:sz w:val="24"/>
          <w:szCs w:val="24"/>
          <w:lang w:val="en-GB"/>
        </w:rPr>
        <w:t>Aircraft</w:t>
      </w:r>
      <w:r w:rsidRPr="0044150C">
        <w:rPr>
          <w:rFonts w:ascii="Arial" w:hAnsi="Arial" w:cs="Arial"/>
          <w:sz w:val="24"/>
          <w:szCs w:val="24"/>
          <w:lang w:val="en-GB"/>
        </w:rPr>
        <w:t>,</w:t>
      </w:r>
      <w:r w:rsidRPr="0044150C">
        <w:rPr>
          <w:rFonts w:ascii="Arial" w:hAnsi="Arial" w:cs="Arial"/>
          <w:spacing w:val="-6"/>
          <w:sz w:val="24"/>
          <w:szCs w:val="24"/>
          <w:lang w:val="en-GB"/>
        </w:rPr>
        <w:t xml:space="preserve"> </w:t>
      </w:r>
      <w:r w:rsidRPr="0044150C">
        <w:rPr>
          <w:rFonts w:ascii="Arial" w:hAnsi="Arial" w:cs="Arial"/>
          <w:sz w:val="24"/>
          <w:szCs w:val="24"/>
          <w:lang w:val="en-GB"/>
        </w:rPr>
        <w:t>the</w:t>
      </w:r>
      <w:r w:rsidRPr="0044150C">
        <w:rPr>
          <w:rFonts w:ascii="Arial" w:hAnsi="Arial" w:cs="Arial"/>
          <w:spacing w:val="-3"/>
          <w:sz w:val="24"/>
          <w:szCs w:val="24"/>
          <w:lang w:val="en-GB"/>
        </w:rPr>
        <w:t xml:space="preserve"> </w:t>
      </w:r>
      <w:r w:rsidRPr="0044150C">
        <w:rPr>
          <w:rFonts w:ascii="Arial" w:hAnsi="Arial" w:cs="Arial"/>
          <w:sz w:val="24"/>
          <w:szCs w:val="24"/>
          <w:lang w:val="en-GB"/>
        </w:rPr>
        <w:t>Panel</w:t>
      </w:r>
      <w:r w:rsidRPr="0044150C">
        <w:rPr>
          <w:rFonts w:ascii="Arial" w:hAnsi="Arial" w:cs="Arial"/>
          <w:spacing w:val="-5"/>
          <w:sz w:val="24"/>
          <w:szCs w:val="24"/>
          <w:lang w:val="en-GB"/>
        </w:rPr>
        <w:t xml:space="preserve"> </w:t>
      </w:r>
      <w:r w:rsidRPr="0044150C">
        <w:rPr>
          <w:rFonts w:ascii="Arial" w:hAnsi="Arial" w:cs="Arial"/>
          <w:sz w:val="24"/>
          <w:szCs w:val="24"/>
          <w:lang w:val="en-GB"/>
        </w:rPr>
        <w:t>held</w:t>
      </w:r>
      <w:r w:rsidRPr="0044150C">
        <w:rPr>
          <w:rFonts w:ascii="Arial" w:hAnsi="Arial" w:cs="Arial"/>
          <w:spacing w:val="-5"/>
          <w:sz w:val="24"/>
          <w:szCs w:val="24"/>
          <w:lang w:val="en-GB"/>
        </w:rPr>
        <w:t xml:space="preserve"> </w:t>
      </w:r>
      <w:r w:rsidRPr="0044150C">
        <w:rPr>
          <w:rFonts w:ascii="Arial" w:hAnsi="Arial" w:cs="Arial"/>
          <w:sz w:val="24"/>
          <w:szCs w:val="24"/>
          <w:lang w:val="en-GB"/>
        </w:rPr>
        <w:t>that</w:t>
      </w:r>
      <w:r w:rsidRPr="0044150C">
        <w:rPr>
          <w:rFonts w:ascii="Arial" w:hAnsi="Arial" w:cs="Arial"/>
          <w:spacing w:val="-5"/>
          <w:sz w:val="24"/>
          <w:szCs w:val="24"/>
          <w:lang w:val="en-GB"/>
        </w:rPr>
        <w:t xml:space="preserve"> </w:t>
      </w:r>
      <w:r w:rsidRPr="0044150C">
        <w:rPr>
          <w:rFonts w:ascii="Arial" w:hAnsi="Arial" w:cs="Arial"/>
          <w:sz w:val="24"/>
          <w:szCs w:val="24"/>
          <w:lang w:val="en-GB"/>
        </w:rPr>
        <w:t>the</w:t>
      </w:r>
      <w:r w:rsidRPr="0044150C">
        <w:rPr>
          <w:rFonts w:ascii="Arial" w:hAnsi="Arial" w:cs="Arial"/>
          <w:spacing w:val="-3"/>
          <w:sz w:val="24"/>
          <w:szCs w:val="24"/>
          <w:lang w:val="en-GB"/>
        </w:rPr>
        <w:t xml:space="preserve"> </w:t>
      </w:r>
      <w:r w:rsidRPr="0044150C">
        <w:rPr>
          <w:rFonts w:ascii="Arial" w:hAnsi="Arial" w:cs="Arial"/>
          <w:sz w:val="24"/>
          <w:szCs w:val="24"/>
          <w:lang w:val="en-GB"/>
        </w:rPr>
        <w:t>complainant</w:t>
      </w:r>
      <w:r w:rsidRPr="0044150C">
        <w:rPr>
          <w:rFonts w:ascii="Arial" w:hAnsi="Arial" w:cs="Arial"/>
          <w:spacing w:val="-5"/>
          <w:sz w:val="24"/>
          <w:szCs w:val="24"/>
          <w:lang w:val="en-GB"/>
        </w:rPr>
        <w:t xml:space="preserve"> </w:t>
      </w:r>
      <w:r w:rsidRPr="0044150C">
        <w:rPr>
          <w:rFonts w:ascii="Arial" w:hAnsi="Arial" w:cs="Arial"/>
          <w:i/>
          <w:sz w:val="24"/>
          <w:szCs w:val="24"/>
          <w:lang w:val="en-GB"/>
        </w:rPr>
        <w:t>“adduced</w:t>
      </w:r>
      <w:r w:rsidRPr="0044150C">
        <w:rPr>
          <w:rFonts w:ascii="Arial" w:hAnsi="Arial" w:cs="Arial"/>
          <w:i/>
          <w:spacing w:val="-4"/>
          <w:sz w:val="24"/>
          <w:szCs w:val="24"/>
          <w:lang w:val="en-GB"/>
        </w:rPr>
        <w:t xml:space="preserve"> </w:t>
      </w:r>
      <w:r w:rsidRPr="0044150C">
        <w:rPr>
          <w:rFonts w:ascii="Arial" w:hAnsi="Arial" w:cs="Arial"/>
          <w:i/>
          <w:sz w:val="24"/>
          <w:szCs w:val="24"/>
          <w:lang w:val="en-GB"/>
        </w:rPr>
        <w:t>no evidence nor advanced any particular argument to identify and explain the alleged benefit of the</w:t>
      </w:r>
      <w:r w:rsidRPr="0044150C">
        <w:rPr>
          <w:rFonts w:ascii="Arial" w:hAnsi="Arial" w:cs="Arial"/>
          <w:i/>
          <w:spacing w:val="-9"/>
          <w:sz w:val="24"/>
          <w:szCs w:val="24"/>
          <w:lang w:val="en-GB"/>
        </w:rPr>
        <w:t xml:space="preserve"> </w:t>
      </w:r>
      <w:r w:rsidRPr="0044150C">
        <w:rPr>
          <w:rFonts w:ascii="Arial" w:hAnsi="Arial" w:cs="Arial"/>
          <w:i/>
          <w:sz w:val="24"/>
          <w:szCs w:val="24"/>
          <w:lang w:val="en-GB"/>
        </w:rPr>
        <w:t>promise</w:t>
      </w:r>
      <w:r w:rsidRPr="0044150C">
        <w:rPr>
          <w:rFonts w:ascii="Arial" w:hAnsi="Arial" w:cs="Arial"/>
          <w:i/>
          <w:spacing w:val="-10"/>
          <w:sz w:val="24"/>
          <w:szCs w:val="24"/>
          <w:lang w:val="en-GB"/>
        </w:rPr>
        <w:t xml:space="preserve"> </w:t>
      </w:r>
      <w:r w:rsidRPr="0044150C">
        <w:rPr>
          <w:rFonts w:ascii="Arial" w:hAnsi="Arial" w:cs="Arial"/>
          <w:i/>
          <w:sz w:val="24"/>
          <w:szCs w:val="24"/>
          <w:lang w:val="en-GB"/>
        </w:rPr>
        <w:t>to</w:t>
      </w:r>
      <w:r w:rsidRPr="0044150C">
        <w:rPr>
          <w:rFonts w:ascii="Arial" w:hAnsi="Arial" w:cs="Arial"/>
          <w:i/>
          <w:spacing w:val="-8"/>
          <w:sz w:val="24"/>
          <w:szCs w:val="24"/>
          <w:lang w:val="en-GB"/>
        </w:rPr>
        <w:t xml:space="preserve"> </w:t>
      </w:r>
      <w:r w:rsidRPr="0044150C">
        <w:rPr>
          <w:rFonts w:ascii="Arial" w:hAnsi="Arial" w:cs="Arial"/>
          <w:i/>
          <w:sz w:val="24"/>
          <w:szCs w:val="24"/>
          <w:lang w:val="en-GB"/>
        </w:rPr>
        <w:t>obtain</w:t>
      </w:r>
      <w:r w:rsidRPr="0044150C">
        <w:rPr>
          <w:rFonts w:ascii="Arial" w:hAnsi="Arial" w:cs="Arial"/>
          <w:i/>
          <w:spacing w:val="-9"/>
          <w:sz w:val="24"/>
          <w:szCs w:val="24"/>
          <w:lang w:val="en-GB"/>
        </w:rPr>
        <w:t xml:space="preserve"> </w:t>
      </w:r>
      <w:r w:rsidRPr="0044150C">
        <w:rPr>
          <w:rFonts w:ascii="Arial" w:hAnsi="Arial" w:cs="Arial"/>
          <w:i/>
          <w:sz w:val="24"/>
          <w:szCs w:val="24"/>
          <w:lang w:val="en-GB"/>
        </w:rPr>
        <w:t>liquidity</w:t>
      </w:r>
      <w:r w:rsidRPr="0044150C">
        <w:rPr>
          <w:rFonts w:ascii="Arial" w:hAnsi="Arial" w:cs="Arial"/>
          <w:i/>
          <w:spacing w:val="-9"/>
          <w:sz w:val="24"/>
          <w:szCs w:val="24"/>
          <w:lang w:val="en-GB"/>
        </w:rPr>
        <w:t xml:space="preserve"> </w:t>
      </w:r>
      <w:r w:rsidRPr="0044150C">
        <w:rPr>
          <w:rFonts w:ascii="Arial" w:hAnsi="Arial" w:cs="Arial"/>
          <w:i/>
          <w:sz w:val="24"/>
          <w:szCs w:val="24"/>
          <w:lang w:val="en-GB"/>
        </w:rPr>
        <w:t>on</w:t>
      </w:r>
      <w:r w:rsidRPr="0044150C">
        <w:rPr>
          <w:rFonts w:ascii="Arial" w:hAnsi="Arial" w:cs="Arial"/>
          <w:i/>
          <w:spacing w:val="-9"/>
          <w:sz w:val="24"/>
          <w:szCs w:val="24"/>
          <w:lang w:val="en-GB"/>
        </w:rPr>
        <w:t xml:space="preserve"> </w:t>
      </w:r>
      <w:r w:rsidRPr="0044150C">
        <w:rPr>
          <w:rFonts w:ascii="Arial" w:hAnsi="Arial" w:cs="Arial"/>
          <w:i/>
          <w:sz w:val="24"/>
          <w:szCs w:val="24"/>
          <w:lang w:val="en-GB"/>
        </w:rPr>
        <w:t>favourable</w:t>
      </w:r>
      <w:r w:rsidRPr="0044150C">
        <w:rPr>
          <w:rFonts w:ascii="Arial" w:hAnsi="Arial" w:cs="Arial"/>
          <w:i/>
          <w:spacing w:val="-9"/>
          <w:sz w:val="24"/>
          <w:szCs w:val="24"/>
          <w:lang w:val="en-GB"/>
        </w:rPr>
        <w:t xml:space="preserve"> </w:t>
      </w:r>
      <w:r w:rsidRPr="0044150C">
        <w:rPr>
          <w:rFonts w:ascii="Arial" w:hAnsi="Arial" w:cs="Arial"/>
          <w:i/>
          <w:sz w:val="24"/>
          <w:szCs w:val="24"/>
          <w:lang w:val="en-GB"/>
        </w:rPr>
        <w:t>terms</w:t>
      </w:r>
      <w:r w:rsidRPr="0044150C">
        <w:rPr>
          <w:rFonts w:ascii="Arial" w:hAnsi="Arial" w:cs="Arial"/>
          <w:i/>
          <w:spacing w:val="-6"/>
          <w:sz w:val="24"/>
          <w:szCs w:val="24"/>
          <w:lang w:val="en-GB"/>
        </w:rPr>
        <w:t xml:space="preserve"> </w:t>
      </w:r>
      <w:r w:rsidRPr="0044150C">
        <w:rPr>
          <w:rFonts w:ascii="Arial" w:hAnsi="Arial" w:cs="Arial"/>
          <w:i/>
          <w:sz w:val="24"/>
          <w:szCs w:val="24"/>
          <w:lang w:val="en-GB"/>
        </w:rPr>
        <w:t>for</w:t>
      </w:r>
      <w:r w:rsidRPr="0044150C">
        <w:rPr>
          <w:rFonts w:ascii="Arial" w:hAnsi="Arial" w:cs="Arial"/>
          <w:i/>
          <w:spacing w:val="-8"/>
          <w:sz w:val="24"/>
          <w:szCs w:val="24"/>
          <w:lang w:val="en-GB"/>
        </w:rPr>
        <w:t xml:space="preserve"> </w:t>
      </w:r>
      <w:r w:rsidRPr="0044150C">
        <w:rPr>
          <w:rFonts w:ascii="Arial" w:hAnsi="Arial" w:cs="Arial"/>
          <w:i/>
          <w:sz w:val="24"/>
          <w:szCs w:val="24"/>
          <w:lang w:val="en-GB"/>
        </w:rPr>
        <w:t>EADS.</w:t>
      </w:r>
      <w:r w:rsidRPr="0044150C">
        <w:rPr>
          <w:rFonts w:ascii="Arial" w:hAnsi="Arial" w:cs="Arial"/>
          <w:i/>
          <w:spacing w:val="-8"/>
          <w:sz w:val="24"/>
          <w:szCs w:val="24"/>
          <w:lang w:val="en-GB"/>
        </w:rPr>
        <w:t xml:space="preserve"> </w:t>
      </w:r>
      <w:r w:rsidRPr="0044150C">
        <w:rPr>
          <w:rFonts w:ascii="Arial" w:hAnsi="Arial" w:cs="Arial"/>
          <w:i/>
          <w:spacing w:val="-12"/>
          <w:sz w:val="24"/>
          <w:szCs w:val="24"/>
          <w:lang w:val="en-GB"/>
        </w:rPr>
        <w:t>We</w:t>
      </w:r>
      <w:r w:rsidRPr="0044150C">
        <w:rPr>
          <w:rFonts w:ascii="Arial" w:hAnsi="Arial" w:cs="Arial"/>
          <w:i/>
          <w:spacing w:val="-10"/>
          <w:sz w:val="24"/>
          <w:szCs w:val="24"/>
          <w:lang w:val="en-GB"/>
        </w:rPr>
        <w:t xml:space="preserve"> </w:t>
      </w:r>
      <w:r w:rsidRPr="0044150C">
        <w:rPr>
          <w:rFonts w:ascii="Arial" w:hAnsi="Arial" w:cs="Arial"/>
          <w:i/>
          <w:spacing w:val="-3"/>
          <w:sz w:val="24"/>
          <w:szCs w:val="24"/>
          <w:lang w:val="en-GB"/>
        </w:rPr>
        <w:t>are</w:t>
      </w:r>
      <w:r w:rsidRPr="0044150C">
        <w:rPr>
          <w:rFonts w:ascii="Arial" w:hAnsi="Arial" w:cs="Arial"/>
          <w:i/>
          <w:spacing w:val="-10"/>
          <w:sz w:val="24"/>
          <w:szCs w:val="24"/>
          <w:lang w:val="en-GB"/>
        </w:rPr>
        <w:t xml:space="preserve"> </w:t>
      </w:r>
      <w:r w:rsidRPr="0044150C">
        <w:rPr>
          <w:rFonts w:ascii="Arial" w:hAnsi="Arial" w:cs="Arial"/>
          <w:i/>
          <w:sz w:val="24"/>
          <w:szCs w:val="24"/>
          <w:lang w:val="en-GB"/>
        </w:rPr>
        <w:t>not</w:t>
      </w:r>
      <w:r w:rsidRPr="0044150C">
        <w:rPr>
          <w:rFonts w:ascii="Arial" w:hAnsi="Arial" w:cs="Arial"/>
          <w:i/>
          <w:spacing w:val="-6"/>
          <w:sz w:val="24"/>
          <w:szCs w:val="24"/>
          <w:lang w:val="en-GB"/>
        </w:rPr>
        <w:t xml:space="preserve"> </w:t>
      </w:r>
      <w:r w:rsidRPr="0044150C">
        <w:rPr>
          <w:rFonts w:ascii="Arial" w:hAnsi="Arial" w:cs="Arial"/>
          <w:i/>
          <w:sz w:val="24"/>
          <w:szCs w:val="24"/>
          <w:lang w:val="en-GB"/>
        </w:rPr>
        <w:t>convinced</w:t>
      </w:r>
      <w:r w:rsidRPr="0044150C">
        <w:rPr>
          <w:rFonts w:ascii="Arial" w:hAnsi="Arial" w:cs="Arial"/>
          <w:i/>
          <w:spacing w:val="-9"/>
          <w:sz w:val="24"/>
          <w:szCs w:val="24"/>
          <w:lang w:val="en-GB"/>
        </w:rPr>
        <w:t xml:space="preserve"> </w:t>
      </w:r>
      <w:r w:rsidRPr="0044150C">
        <w:rPr>
          <w:rFonts w:ascii="Arial" w:hAnsi="Arial" w:cs="Arial"/>
          <w:i/>
          <w:sz w:val="24"/>
          <w:szCs w:val="24"/>
          <w:lang w:val="en-GB"/>
        </w:rPr>
        <w:t>that</w:t>
      </w:r>
      <w:r w:rsidRPr="0044150C">
        <w:rPr>
          <w:rFonts w:ascii="Arial" w:hAnsi="Arial" w:cs="Arial"/>
          <w:i/>
          <w:spacing w:val="-8"/>
          <w:sz w:val="24"/>
          <w:szCs w:val="24"/>
          <w:lang w:val="en-GB"/>
        </w:rPr>
        <w:t xml:space="preserve"> </w:t>
      </w:r>
      <w:r w:rsidRPr="0044150C">
        <w:rPr>
          <w:rFonts w:ascii="Arial" w:hAnsi="Arial" w:cs="Arial"/>
          <w:i/>
          <w:sz w:val="24"/>
          <w:szCs w:val="24"/>
          <w:lang w:val="en-GB"/>
        </w:rPr>
        <w:t xml:space="preserve">simply showing that a credit line has been granted on beneficial terms is enough to establish that it </w:t>
      </w:r>
      <w:r w:rsidRPr="0044150C">
        <w:rPr>
          <w:rFonts w:ascii="Arial" w:hAnsi="Arial" w:cs="Arial"/>
          <w:i/>
          <w:sz w:val="24"/>
          <w:szCs w:val="24"/>
          <w:lang w:val="en-GB"/>
        </w:rPr>
        <w:lastRenderedPageBreak/>
        <w:t>has placed its recipient in a better position than it otherwise would have been in absent availability</w:t>
      </w:r>
      <w:r w:rsidRPr="0044150C">
        <w:rPr>
          <w:rFonts w:ascii="Arial" w:hAnsi="Arial" w:cs="Arial"/>
          <w:i/>
          <w:spacing w:val="-10"/>
          <w:sz w:val="24"/>
          <w:szCs w:val="24"/>
          <w:lang w:val="en-GB"/>
        </w:rPr>
        <w:t xml:space="preserve"> </w:t>
      </w:r>
      <w:r w:rsidRPr="0044150C">
        <w:rPr>
          <w:rFonts w:ascii="Arial" w:hAnsi="Arial" w:cs="Arial"/>
          <w:i/>
          <w:sz w:val="24"/>
          <w:szCs w:val="24"/>
          <w:lang w:val="en-GB"/>
        </w:rPr>
        <w:t>of</w:t>
      </w:r>
      <w:r w:rsidRPr="0044150C">
        <w:rPr>
          <w:rFonts w:ascii="Arial" w:hAnsi="Arial" w:cs="Arial"/>
          <w:i/>
          <w:spacing w:val="-10"/>
          <w:sz w:val="24"/>
          <w:szCs w:val="24"/>
          <w:lang w:val="en-GB"/>
        </w:rPr>
        <w:t xml:space="preserve"> </w:t>
      </w:r>
      <w:r w:rsidRPr="0044150C">
        <w:rPr>
          <w:rFonts w:ascii="Arial" w:hAnsi="Arial" w:cs="Arial"/>
          <w:i/>
          <w:sz w:val="24"/>
          <w:szCs w:val="24"/>
          <w:lang w:val="en-GB"/>
        </w:rPr>
        <w:t>the</w:t>
      </w:r>
      <w:r w:rsidRPr="0044150C">
        <w:rPr>
          <w:rFonts w:ascii="Arial" w:hAnsi="Arial" w:cs="Arial"/>
          <w:i/>
          <w:spacing w:val="-8"/>
          <w:sz w:val="24"/>
          <w:szCs w:val="24"/>
          <w:lang w:val="en-GB"/>
        </w:rPr>
        <w:t xml:space="preserve"> </w:t>
      </w:r>
      <w:r w:rsidRPr="0044150C">
        <w:rPr>
          <w:rFonts w:ascii="Arial" w:hAnsi="Arial" w:cs="Arial"/>
          <w:i/>
          <w:sz w:val="24"/>
          <w:szCs w:val="24"/>
          <w:lang w:val="en-GB"/>
        </w:rPr>
        <w:t>particular</w:t>
      </w:r>
      <w:r w:rsidRPr="0044150C">
        <w:rPr>
          <w:rFonts w:ascii="Arial" w:hAnsi="Arial" w:cs="Arial"/>
          <w:i/>
          <w:spacing w:val="-8"/>
          <w:sz w:val="24"/>
          <w:szCs w:val="24"/>
          <w:lang w:val="en-GB"/>
        </w:rPr>
        <w:t xml:space="preserve"> </w:t>
      </w:r>
      <w:r w:rsidRPr="0044150C">
        <w:rPr>
          <w:rFonts w:ascii="Arial" w:hAnsi="Arial" w:cs="Arial"/>
          <w:i/>
          <w:spacing w:val="-2"/>
          <w:sz w:val="24"/>
          <w:szCs w:val="24"/>
          <w:lang w:val="en-GB"/>
        </w:rPr>
        <w:t>credit</w:t>
      </w:r>
      <w:r w:rsidRPr="0044150C">
        <w:rPr>
          <w:rFonts w:ascii="Arial" w:hAnsi="Arial" w:cs="Arial"/>
          <w:i/>
          <w:spacing w:val="-7"/>
          <w:sz w:val="24"/>
          <w:szCs w:val="24"/>
          <w:lang w:val="en-GB"/>
        </w:rPr>
        <w:t xml:space="preserve"> </w:t>
      </w:r>
      <w:r w:rsidRPr="0044150C">
        <w:rPr>
          <w:rFonts w:ascii="Arial" w:hAnsi="Arial" w:cs="Arial"/>
          <w:i/>
          <w:sz w:val="24"/>
          <w:szCs w:val="24"/>
          <w:lang w:val="en-GB"/>
        </w:rPr>
        <w:t>line.</w:t>
      </w:r>
      <w:r w:rsidRPr="0044150C">
        <w:rPr>
          <w:rFonts w:ascii="Arial" w:hAnsi="Arial" w:cs="Arial"/>
          <w:i/>
          <w:spacing w:val="-9"/>
          <w:sz w:val="24"/>
          <w:szCs w:val="24"/>
          <w:lang w:val="en-GB"/>
        </w:rPr>
        <w:t xml:space="preserve"> </w:t>
      </w:r>
      <w:r w:rsidRPr="0044150C">
        <w:rPr>
          <w:rFonts w:ascii="Arial" w:hAnsi="Arial" w:cs="Arial"/>
          <w:i/>
          <w:sz w:val="24"/>
          <w:szCs w:val="24"/>
          <w:lang w:val="en-GB"/>
        </w:rPr>
        <w:t>In</w:t>
      </w:r>
      <w:r w:rsidRPr="0044150C">
        <w:rPr>
          <w:rFonts w:ascii="Arial" w:hAnsi="Arial" w:cs="Arial"/>
          <w:i/>
          <w:spacing w:val="-8"/>
          <w:sz w:val="24"/>
          <w:szCs w:val="24"/>
          <w:lang w:val="en-GB"/>
        </w:rPr>
        <w:t xml:space="preserve"> </w:t>
      </w:r>
      <w:r w:rsidRPr="0044150C">
        <w:rPr>
          <w:rFonts w:ascii="Arial" w:hAnsi="Arial" w:cs="Arial"/>
          <w:i/>
          <w:sz w:val="24"/>
          <w:szCs w:val="24"/>
          <w:lang w:val="en-GB"/>
        </w:rPr>
        <w:t>our</w:t>
      </w:r>
      <w:r w:rsidRPr="0044150C">
        <w:rPr>
          <w:rFonts w:ascii="Arial" w:hAnsi="Arial" w:cs="Arial"/>
          <w:i/>
          <w:spacing w:val="-7"/>
          <w:sz w:val="24"/>
          <w:szCs w:val="24"/>
          <w:lang w:val="en-GB"/>
        </w:rPr>
        <w:t xml:space="preserve"> </w:t>
      </w:r>
      <w:r w:rsidRPr="0044150C">
        <w:rPr>
          <w:rFonts w:ascii="Arial" w:hAnsi="Arial" w:cs="Arial"/>
          <w:i/>
          <w:spacing w:val="-5"/>
          <w:sz w:val="24"/>
          <w:szCs w:val="24"/>
          <w:lang w:val="en-GB"/>
        </w:rPr>
        <w:t>view,</w:t>
      </w:r>
      <w:r w:rsidRPr="0044150C">
        <w:rPr>
          <w:rFonts w:ascii="Arial" w:hAnsi="Arial" w:cs="Arial"/>
          <w:i/>
          <w:spacing w:val="-9"/>
          <w:sz w:val="24"/>
          <w:szCs w:val="24"/>
          <w:lang w:val="en-GB"/>
        </w:rPr>
        <w:t xml:space="preserve"> </w:t>
      </w:r>
      <w:r w:rsidRPr="0044150C">
        <w:rPr>
          <w:rFonts w:ascii="Arial" w:hAnsi="Arial" w:cs="Arial"/>
          <w:i/>
          <w:sz w:val="24"/>
          <w:szCs w:val="24"/>
          <w:lang w:val="en-GB"/>
        </w:rPr>
        <w:t>something</w:t>
      </w:r>
      <w:r w:rsidRPr="0044150C">
        <w:rPr>
          <w:rFonts w:ascii="Arial" w:hAnsi="Arial" w:cs="Arial"/>
          <w:i/>
          <w:spacing w:val="-8"/>
          <w:sz w:val="24"/>
          <w:szCs w:val="24"/>
          <w:lang w:val="en-GB"/>
        </w:rPr>
        <w:t xml:space="preserve"> </w:t>
      </w:r>
      <w:r w:rsidRPr="0044150C">
        <w:rPr>
          <w:rFonts w:ascii="Arial" w:hAnsi="Arial" w:cs="Arial"/>
          <w:i/>
          <w:spacing w:val="-3"/>
          <w:sz w:val="24"/>
          <w:szCs w:val="24"/>
          <w:lang w:val="en-GB"/>
        </w:rPr>
        <w:t>more</w:t>
      </w:r>
      <w:r w:rsidRPr="0044150C">
        <w:rPr>
          <w:rFonts w:ascii="Arial" w:hAnsi="Arial" w:cs="Arial"/>
          <w:i/>
          <w:spacing w:val="-9"/>
          <w:sz w:val="24"/>
          <w:szCs w:val="24"/>
          <w:lang w:val="en-GB"/>
        </w:rPr>
        <w:t xml:space="preserve"> </w:t>
      </w:r>
      <w:r w:rsidRPr="0044150C">
        <w:rPr>
          <w:rFonts w:ascii="Arial" w:hAnsi="Arial" w:cs="Arial"/>
          <w:i/>
          <w:sz w:val="24"/>
          <w:szCs w:val="24"/>
          <w:lang w:val="en-GB"/>
        </w:rPr>
        <w:t>is</w:t>
      </w:r>
      <w:r w:rsidRPr="0044150C">
        <w:rPr>
          <w:rFonts w:ascii="Arial" w:hAnsi="Arial" w:cs="Arial"/>
          <w:i/>
          <w:spacing w:val="-8"/>
          <w:sz w:val="24"/>
          <w:szCs w:val="24"/>
          <w:lang w:val="en-GB"/>
        </w:rPr>
        <w:t xml:space="preserve"> </w:t>
      </w:r>
      <w:r w:rsidRPr="0044150C">
        <w:rPr>
          <w:rFonts w:ascii="Arial" w:hAnsi="Arial" w:cs="Arial"/>
          <w:i/>
          <w:spacing w:val="-3"/>
          <w:sz w:val="24"/>
          <w:szCs w:val="24"/>
          <w:lang w:val="en-GB"/>
        </w:rPr>
        <w:t>required</w:t>
      </w:r>
      <w:r w:rsidRPr="0044150C">
        <w:rPr>
          <w:rFonts w:ascii="Arial" w:hAnsi="Arial" w:cs="Arial"/>
          <w:i/>
          <w:spacing w:val="-8"/>
          <w:sz w:val="24"/>
          <w:szCs w:val="24"/>
          <w:lang w:val="en-GB"/>
        </w:rPr>
        <w:t xml:space="preserve"> </w:t>
      </w:r>
      <w:r w:rsidRPr="0044150C">
        <w:rPr>
          <w:rFonts w:ascii="Arial" w:hAnsi="Arial" w:cs="Arial"/>
          <w:i/>
          <w:sz w:val="24"/>
          <w:szCs w:val="24"/>
          <w:lang w:val="en-GB"/>
        </w:rPr>
        <w:t>to</w:t>
      </w:r>
      <w:r w:rsidRPr="0044150C">
        <w:rPr>
          <w:rFonts w:ascii="Arial" w:hAnsi="Arial" w:cs="Arial"/>
          <w:i/>
          <w:spacing w:val="-7"/>
          <w:sz w:val="24"/>
          <w:szCs w:val="24"/>
          <w:lang w:val="en-GB"/>
        </w:rPr>
        <w:t xml:space="preserve"> </w:t>
      </w:r>
      <w:r w:rsidRPr="0044150C">
        <w:rPr>
          <w:rFonts w:ascii="Arial" w:hAnsi="Arial" w:cs="Arial"/>
          <w:i/>
          <w:sz w:val="24"/>
          <w:szCs w:val="24"/>
          <w:lang w:val="en-GB"/>
        </w:rPr>
        <w:t>demonstrate that a promise to provide ‘cheap’ financing, in and of itself, confers a</w:t>
      </w:r>
      <w:r w:rsidRPr="0044150C">
        <w:rPr>
          <w:rFonts w:ascii="Arial" w:hAnsi="Arial" w:cs="Arial"/>
          <w:i/>
          <w:spacing w:val="-35"/>
          <w:sz w:val="24"/>
          <w:szCs w:val="24"/>
          <w:lang w:val="en-GB"/>
        </w:rPr>
        <w:t xml:space="preserve"> </w:t>
      </w:r>
      <w:r w:rsidRPr="0044150C">
        <w:rPr>
          <w:rFonts w:ascii="Arial" w:hAnsi="Arial" w:cs="Arial"/>
          <w:i/>
          <w:sz w:val="24"/>
          <w:szCs w:val="24"/>
          <w:lang w:val="en-GB"/>
        </w:rPr>
        <w:t>benefit.”</w:t>
      </w:r>
      <w:r w:rsidRPr="0044150C">
        <w:rPr>
          <w:rStyle w:val="ab"/>
          <w:rFonts w:ascii="Arial" w:hAnsi="Arial" w:cs="Arial"/>
          <w:i/>
          <w:sz w:val="24"/>
          <w:szCs w:val="24"/>
          <w:lang w:val="en-GB"/>
        </w:rPr>
        <w:footnoteReference w:id="37"/>
      </w:r>
    </w:p>
    <w:p w14:paraId="63248478" w14:textId="77777777" w:rsidR="00B30A18" w:rsidRPr="0044150C" w:rsidRDefault="00B30A18" w:rsidP="00B30A18">
      <w:pPr>
        <w:pStyle w:val="a9"/>
        <w:widowControl w:val="0"/>
        <w:tabs>
          <w:tab w:val="left" w:pos="917"/>
        </w:tabs>
        <w:autoSpaceDE w:val="0"/>
        <w:autoSpaceDN w:val="0"/>
        <w:spacing w:before="243"/>
        <w:ind w:left="644" w:right="95"/>
        <w:rPr>
          <w:rFonts w:ascii="Arial" w:hAnsi="Arial" w:cs="Arial"/>
          <w:sz w:val="24"/>
          <w:szCs w:val="24"/>
          <w:lang w:val="en-GB"/>
        </w:rPr>
      </w:pPr>
    </w:p>
    <w:p w14:paraId="3A2D1B1C" w14:textId="525652F6" w:rsidR="003627B4" w:rsidRPr="0044150C" w:rsidRDefault="00B30A18" w:rsidP="001A4DBD">
      <w:pPr>
        <w:pStyle w:val="a7"/>
        <w:numPr>
          <w:ilvl w:val="0"/>
          <w:numId w:val="1"/>
        </w:numPr>
        <w:spacing w:before="100"/>
        <w:ind w:right="95" w:hanging="644"/>
        <w:rPr>
          <w:rFonts w:ascii="Arial" w:hAnsi="Arial" w:cs="Arial"/>
          <w:sz w:val="24"/>
          <w:szCs w:val="24"/>
        </w:rPr>
      </w:pPr>
      <w:r w:rsidRPr="0044150C">
        <w:rPr>
          <w:rFonts w:ascii="Arial" w:hAnsi="Arial" w:cs="Arial"/>
          <w:sz w:val="24"/>
          <w:szCs w:val="24"/>
        </w:rPr>
        <w:t xml:space="preserve">Fourth, no evidence of specificity has been provided by the Applicant. Indeed, as already discussed in section 3.2 above, </w:t>
      </w:r>
      <w:r w:rsidR="009C3948" w:rsidRPr="0044150C">
        <w:rPr>
          <w:rFonts w:ascii="Arial" w:hAnsi="Arial" w:cs="Arial"/>
          <w:sz w:val="24"/>
          <w:szCs w:val="24"/>
        </w:rPr>
        <w:t>boom lift</w:t>
      </w:r>
      <w:r w:rsidRPr="0044150C">
        <w:rPr>
          <w:rFonts w:ascii="Arial" w:hAnsi="Arial" w:cs="Arial"/>
          <w:sz w:val="24"/>
          <w:szCs w:val="24"/>
        </w:rPr>
        <w:t xml:space="preserve"> is not an encouraged industry, and none of the</w:t>
      </w:r>
      <w:r w:rsidRPr="0044150C">
        <w:rPr>
          <w:rFonts w:ascii="Arial" w:hAnsi="Arial" w:cs="Arial"/>
          <w:spacing w:val="-20"/>
          <w:sz w:val="24"/>
          <w:szCs w:val="24"/>
        </w:rPr>
        <w:t xml:space="preserve"> </w:t>
      </w:r>
      <w:r w:rsidRPr="0044150C">
        <w:rPr>
          <w:rFonts w:ascii="Arial" w:hAnsi="Arial" w:cs="Arial"/>
          <w:sz w:val="24"/>
          <w:szCs w:val="24"/>
        </w:rPr>
        <w:t xml:space="preserve">documents referred to by the Applicant in this regard show that the credit lines provided to the </w:t>
      </w:r>
      <w:r w:rsidR="009C3948" w:rsidRPr="0044150C">
        <w:rPr>
          <w:rFonts w:ascii="Arial" w:hAnsi="Arial" w:cs="Arial"/>
          <w:sz w:val="24"/>
          <w:szCs w:val="24"/>
        </w:rPr>
        <w:t>boom lift</w:t>
      </w:r>
      <w:r w:rsidRPr="0044150C">
        <w:rPr>
          <w:rFonts w:ascii="Arial" w:hAnsi="Arial" w:cs="Arial"/>
          <w:sz w:val="24"/>
          <w:szCs w:val="24"/>
        </w:rPr>
        <w:t xml:space="preserve"> industry</w:t>
      </w:r>
      <w:r w:rsidRPr="0044150C">
        <w:rPr>
          <w:rFonts w:ascii="Arial" w:hAnsi="Arial" w:cs="Arial"/>
          <w:spacing w:val="-4"/>
          <w:sz w:val="24"/>
          <w:szCs w:val="24"/>
        </w:rPr>
        <w:t xml:space="preserve"> </w:t>
      </w:r>
      <w:r w:rsidRPr="0044150C">
        <w:rPr>
          <w:rFonts w:ascii="Arial" w:hAnsi="Arial" w:cs="Arial"/>
          <w:sz w:val="24"/>
          <w:szCs w:val="24"/>
        </w:rPr>
        <w:t>are</w:t>
      </w:r>
      <w:r w:rsidRPr="0044150C">
        <w:rPr>
          <w:rFonts w:ascii="Arial" w:hAnsi="Arial" w:cs="Arial"/>
          <w:spacing w:val="-3"/>
          <w:sz w:val="24"/>
          <w:szCs w:val="24"/>
        </w:rPr>
        <w:t xml:space="preserve"> </w:t>
      </w:r>
      <w:r w:rsidRPr="0044150C">
        <w:rPr>
          <w:rFonts w:ascii="Arial" w:hAnsi="Arial" w:cs="Arial"/>
          <w:sz w:val="24"/>
          <w:szCs w:val="24"/>
        </w:rPr>
        <w:t>specific</w:t>
      </w:r>
      <w:r w:rsidRPr="0044150C">
        <w:rPr>
          <w:rFonts w:ascii="Arial" w:hAnsi="Arial" w:cs="Arial"/>
          <w:spacing w:val="-1"/>
          <w:sz w:val="24"/>
          <w:szCs w:val="24"/>
        </w:rPr>
        <w:t xml:space="preserve"> </w:t>
      </w:r>
      <w:r w:rsidRPr="0044150C">
        <w:rPr>
          <w:rFonts w:ascii="Arial" w:hAnsi="Arial" w:cs="Arial"/>
          <w:sz w:val="24"/>
          <w:szCs w:val="24"/>
        </w:rPr>
        <w:t>within</w:t>
      </w:r>
      <w:r w:rsidRPr="0044150C">
        <w:rPr>
          <w:rFonts w:ascii="Arial" w:hAnsi="Arial" w:cs="Arial"/>
          <w:spacing w:val="-4"/>
          <w:sz w:val="24"/>
          <w:szCs w:val="24"/>
        </w:rPr>
        <w:t xml:space="preserve"> </w:t>
      </w:r>
      <w:r w:rsidRPr="0044150C">
        <w:rPr>
          <w:rFonts w:ascii="Arial" w:hAnsi="Arial" w:cs="Arial"/>
          <w:sz w:val="24"/>
          <w:szCs w:val="24"/>
        </w:rPr>
        <w:t>the</w:t>
      </w:r>
      <w:r w:rsidRPr="0044150C">
        <w:rPr>
          <w:rFonts w:ascii="Arial" w:hAnsi="Arial" w:cs="Arial"/>
          <w:spacing w:val="-3"/>
          <w:sz w:val="24"/>
          <w:szCs w:val="24"/>
        </w:rPr>
        <w:t xml:space="preserve"> </w:t>
      </w:r>
      <w:r w:rsidRPr="0044150C">
        <w:rPr>
          <w:rFonts w:ascii="Arial" w:hAnsi="Arial" w:cs="Arial"/>
          <w:sz w:val="24"/>
          <w:szCs w:val="24"/>
        </w:rPr>
        <w:t>meaning</w:t>
      </w:r>
      <w:r w:rsidRPr="0044150C">
        <w:rPr>
          <w:rFonts w:ascii="Arial" w:hAnsi="Arial" w:cs="Arial"/>
          <w:spacing w:val="-3"/>
          <w:sz w:val="24"/>
          <w:szCs w:val="24"/>
        </w:rPr>
        <w:t xml:space="preserve"> </w:t>
      </w:r>
      <w:r w:rsidRPr="0044150C">
        <w:rPr>
          <w:rFonts w:ascii="Arial" w:hAnsi="Arial" w:cs="Arial"/>
          <w:sz w:val="24"/>
          <w:szCs w:val="24"/>
        </w:rPr>
        <w:t>of</w:t>
      </w:r>
      <w:r w:rsidRPr="0044150C">
        <w:rPr>
          <w:rFonts w:ascii="Arial" w:hAnsi="Arial" w:cs="Arial"/>
          <w:spacing w:val="-17"/>
          <w:sz w:val="24"/>
          <w:szCs w:val="24"/>
        </w:rPr>
        <w:t xml:space="preserve"> </w:t>
      </w:r>
      <w:r w:rsidRPr="0044150C">
        <w:rPr>
          <w:rFonts w:ascii="Arial" w:hAnsi="Arial" w:cs="Arial"/>
          <w:sz w:val="24"/>
          <w:szCs w:val="24"/>
        </w:rPr>
        <w:t>Article 2</w:t>
      </w:r>
      <w:r w:rsidRPr="0044150C">
        <w:rPr>
          <w:rFonts w:ascii="Arial" w:hAnsi="Arial" w:cs="Arial"/>
          <w:spacing w:val="-4"/>
          <w:sz w:val="24"/>
          <w:szCs w:val="24"/>
        </w:rPr>
        <w:t xml:space="preserve"> </w:t>
      </w:r>
      <w:r w:rsidRPr="0044150C">
        <w:rPr>
          <w:rFonts w:ascii="Arial" w:hAnsi="Arial" w:cs="Arial"/>
          <w:sz w:val="24"/>
          <w:szCs w:val="24"/>
        </w:rPr>
        <w:t>of</w:t>
      </w:r>
      <w:r w:rsidRPr="0044150C">
        <w:rPr>
          <w:rFonts w:ascii="Arial" w:hAnsi="Arial" w:cs="Arial"/>
          <w:spacing w:val="-4"/>
          <w:sz w:val="24"/>
          <w:szCs w:val="24"/>
        </w:rPr>
        <w:t xml:space="preserve"> </w:t>
      </w:r>
      <w:r w:rsidRPr="0044150C">
        <w:rPr>
          <w:rFonts w:ascii="Arial" w:hAnsi="Arial" w:cs="Arial"/>
          <w:sz w:val="24"/>
          <w:szCs w:val="24"/>
        </w:rPr>
        <w:t>the</w:t>
      </w:r>
      <w:r w:rsidRPr="0044150C">
        <w:rPr>
          <w:rFonts w:ascii="Arial" w:hAnsi="Arial" w:cs="Arial"/>
          <w:spacing w:val="-2"/>
          <w:sz w:val="24"/>
          <w:szCs w:val="24"/>
        </w:rPr>
        <w:t xml:space="preserve"> </w:t>
      </w:r>
      <w:r w:rsidRPr="0044150C">
        <w:rPr>
          <w:rFonts w:ascii="Arial" w:hAnsi="Arial" w:cs="Arial"/>
          <w:sz w:val="24"/>
          <w:szCs w:val="24"/>
        </w:rPr>
        <w:t>SCM</w:t>
      </w:r>
      <w:r w:rsidRPr="0044150C">
        <w:rPr>
          <w:rFonts w:ascii="Arial" w:hAnsi="Arial" w:cs="Arial"/>
          <w:spacing w:val="-15"/>
          <w:sz w:val="24"/>
          <w:szCs w:val="24"/>
        </w:rPr>
        <w:t xml:space="preserve"> </w:t>
      </w:r>
      <w:r w:rsidRPr="0044150C">
        <w:rPr>
          <w:rFonts w:ascii="Arial" w:hAnsi="Arial" w:cs="Arial"/>
          <w:sz w:val="24"/>
          <w:szCs w:val="24"/>
        </w:rPr>
        <w:t>Agreement.</w:t>
      </w:r>
      <w:r w:rsidRPr="0044150C">
        <w:rPr>
          <w:rFonts w:ascii="Arial" w:hAnsi="Arial" w:cs="Arial"/>
          <w:spacing w:val="-6"/>
          <w:sz w:val="24"/>
          <w:szCs w:val="24"/>
        </w:rPr>
        <w:t xml:space="preserve"> </w:t>
      </w:r>
      <w:r w:rsidRPr="0044150C">
        <w:rPr>
          <w:rFonts w:ascii="Arial" w:hAnsi="Arial" w:cs="Arial"/>
          <w:spacing w:val="-9"/>
          <w:sz w:val="24"/>
          <w:szCs w:val="24"/>
        </w:rPr>
        <w:t>To</w:t>
      </w:r>
      <w:r w:rsidRPr="0044150C">
        <w:rPr>
          <w:rFonts w:ascii="Arial" w:hAnsi="Arial" w:cs="Arial"/>
          <w:spacing w:val="-4"/>
          <w:sz w:val="24"/>
          <w:szCs w:val="24"/>
        </w:rPr>
        <w:t xml:space="preserve"> </w:t>
      </w:r>
      <w:r w:rsidRPr="0044150C">
        <w:rPr>
          <w:rFonts w:ascii="Arial" w:hAnsi="Arial" w:cs="Arial"/>
          <w:sz w:val="24"/>
          <w:szCs w:val="24"/>
        </w:rPr>
        <w:t>recall,</w:t>
      </w:r>
      <w:r w:rsidRPr="0044150C">
        <w:rPr>
          <w:rFonts w:ascii="Arial" w:hAnsi="Arial" w:cs="Arial"/>
          <w:spacing w:val="-2"/>
          <w:sz w:val="24"/>
          <w:szCs w:val="24"/>
        </w:rPr>
        <w:t xml:space="preserve"> </w:t>
      </w:r>
      <w:r w:rsidRPr="0044150C">
        <w:rPr>
          <w:rFonts w:ascii="Arial" w:hAnsi="Arial" w:cs="Arial"/>
          <w:sz w:val="24"/>
          <w:szCs w:val="24"/>
        </w:rPr>
        <w:t>general</w:t>
      </w:r>
      <w:bookmarkEnd w:id="33"/>
      <w:r w:rsidRPr="0044150C">
        <w:rPr>
          <w:rFonts w:ascii="Arial" w:hAnsi="Arial" w:cs="Arial"/>
          <w:sz w:val="24"/>
          <w:szCs w:val="24"/>
        </w:rPr>
        <w:t xml:space="preserve"> </w:t>
      </w:r>
      <w:bookmarkStart w:id="36" w:name="_Hlk161121431"/>
      <w:r w:rsidR="003627B4" w:rsidRPr="0044150C">
        <w:rPr>
          <w:rFonts w:ascii="Arial" w:hAnsi="Arial" w:cs="Arial"/>
          <w:sz w:val="24"/>
          <w:szCs w:val="24"/>
        </w:rPr>
        <w:t>information</w:t>
      </w:r>
      <w:r w:rsidR="003627B4" w:rsidRPr="0044150C">
        <w:rPr>
          <w:rFonts w:ascii="Arial" w:hAnsi="Arial" w:cs="Arial"/>
          <w:spacing w:val="-10"/>
          <w:sz w:val="24"/>
          <w:szCs w:val="24"/>
        </w:rPr>
        <w:t xml:space="preserve"> </w:t>
      </w:r>
      <w:r w:rsidR="003627B4" w:rsidRPr="0044150C">
        <w:rPr>
          <w:rFonts w:ascii="Arial" w:hAnsi="Arial" w:cs="Arial"/>
          <w:sz w:val="24"/>
          <w:szCs w:val="24"/>
        </w:rPr>
        <w:t>about</w:t>
      </w:r>
      <w:r w:rsidR="003627B4" w:rsidRPr="0044150C">
        <w:rPr>
          <w:rFonts w:ascii="Arial" w:hAnsi="Arial" w:cs="Arial"/>
          <w:spacing w:val="-10"/>
          <w:sz w:val="24"/>
          <w:szCs w:val="24"/>
        </w:rPr>
        <w:t xml:space="preserve"> </w:t>
      </w:r>
      <w:r w:rsidR="003627B4" w:rsidRPr="0044150C">
        <w:rPr>
          <w:rFonts w:ascii="Arial" w:hAnsi="Arial" w:cs="Arial"/>
          <w:sz w:val="24"/>
          <w:szCs w:val="24"/>
        </w:rPr>
        <w:t>government</w:t>
      </w:r>
      <w:r w:rsidR="003627B4" w:rsidRPr="0044150C">
        <w:rPr>
          <w:rFonts w:ascii="Arial" w:hAnsi="Arial" w:cs="Arial"/>
          <w:spacing w:val="-10"/>
          <w:sz w:val="24"/>
          <w:szCs w:val="24"/>
        </w:rPr>
        <w:t xml:space="preserve"> </w:t>
      </w:r>
      <w:r w:rsidR="003627B4" w:rsidRPr="0044150C">
        <w:rPr>
          <w:rFonts w:ascii="Arial" w:hAnsi="Arial" w:cs="Arial"/>
          <w:spacing w:val="-3"/>
          <w:sz w:val="24"/>
          <w:szCs w:val="24"/>
        </w:rPr>
        <w:t>policy,</w:t>
      </w:r>
      <w:r w:rsidR="003627B4" w:rsidRPr="0044150C">
        <w:rPr>
          <w:rFonts w:ascii="Arial" w:hAnsi="Arial" w:cs="Arial"/>
          <w:spacing w:val="-10"/>
          <w:sz w:val="24"/>
          <w:szCs w:val="24"/>
        </w:rPr>
        <w:t xml:space="preserve"> </w:t>
      </w:r>
      <w:r w:rsidR="003627B4" w:rsidRPr="0044150C">
        <w:rPr>
          <w:rFonts w:ascii="Arial" w:hAnsi="Arial" w:cs="Arial"/>
          <w:sz w:val="24"/>
          <w:szCs w:val="24"/>
        </w:rPr>
        <w:t>with</w:t>
      </w:r>
      <w:r w:rsidR="003627B4" w:rsidRPr="0044150C">
        <w:rPr>
          <w:rFonts w:ascii="Arial" w:hAnsi="Arial" w:cs="Arial"/>
          <w:spacing w:val="-10"/>
          <w:sz w:val="24"/>
          <w:szCs w:val="24"/>
        </w:rPr>
        <w:t xml:space="preserve"> </w:t>
      </w:r>
      <w:r w:rsidR="003627B4" w:rsidRPr="0044150C">
        <w:rPr>
          <w:rFonts w:ascii="Arial" w:hAnsi="Arial" w:cs="Arial"/>
          <w:sz w:val="24"/>
          <w:szCs w:val="24"/>
        </w:rPr>
        <w:t>no</w:t>
      </w:r>
      <w:r w:rsidR="003627B4" w:rsidRPr="0044150C">
        <w:rPr>
          <w:rFonts w:ascii="Arial" w:hAnsi="Arial" w:cs="Arial"/>
          <w:spacing w:val="-10"/>
          <w:sz w:val="24"/>
          <w:szCs w:val="24"/>
        </w:rPr>
        <w:t xml:space="preserve"> </w:t>
      </w:r>
      <w:r w:rsidR="003627B4" w:rsidRPr="0044150C">
        <w:rPr>
          <w:rFonts w:ascii="Arial" w:hAnsi="Arial" w:cs="Arial"/>
          <w:sz w:val="24"/>
          <w:szCs w:val="24"/>
        </w:rPr>
        <w:t>direct</w:t>
      </w:r>
      <w:r w:rsidR="003627B4" w:rsidRPr="0044150C">
        <w:rPr>
          <w:rFonts w:ascii="Arial" w:hAnsi="Arial" w:cs="Arial"/>
          <w:spacing w:val="-10"/>
          <w:sz w:val="24"/>
          <w:szCs w:val="24"/>
        </w:rPr>
        <w:t xml:space="preserve"> </w:t>
      </w:r>
      <w:r w:rsidR="003627B4" w:rsidRPr="0044150C">
        <w:rPr>
          <w:rFonts w:ascii="Arial" w:hAnsi="Arial" w:cs="Arial"/>
          <w:sz w:val="24"/>
          <w:szCs w:val="24"/>
        </w:rPr>
        <w:t>connection</w:t>
      </w:r>
      <w:r w:rsidR="003627B4" w:rsidRPr="0044150C">
        <w:rPr>
          <w:rFonts w:ascii="Arial" w:hAnsi="Arial" w:cs="Arial"/>
          <w:spacing w:val="-10"/>
          <w:sz w:val="24"/>
          <w:szCs w:val="24"/>
        </w:rPr>
        <w:t xml:space="preserve"> </w:t>
      </w:r>
      <w:r w:rsidR="003627B4" w:rsidRPr="0044150C">
        <w:rPr>
          <w:rFonts w:ascii="Arial" w:hAnsi="Arial" w:cs="Arial"/>
          <w:sz w:val="24"/>
          <w:szCs w:val="24"/>
        </w:rPr>
        <w:t>to</w:t>
      </w:r>
      <w:r w:rsidR="003627B4" w:rsidRPr="0044150C">
        <w:rPr>
          <w:rFonts w:ascii="Arial" w:hAnsi="Arial" w:cs="Arial"/>
          <w:spacing w:val="-10"/>
          <w:sz w:val="24"/>
          <w:szCs w:val="24"/>
        </w:rPr>
        <w:t xml:space="preserve"> </w:t>
      </w:r>
      <w:r w:rsidR="003627B4" w:rsidRPr="0044150C">
        <w:rPr>
          <w:rFonts w:ascii="Arial" w:hAnsi="Arial" w:cs="Arial"/>
          <w:sz w:val="24"/>
          <w:szCs w:val="24"/>
        </w:rPr>
        <w:t>the</w:t>
      </w:r>
      <w:r w:rsidR="003627B4" w:rsidRPr="0044150C">
        <w:rPr>
          <w:rFonts w:ascii="Arial" w:hAnsi="Arial" w:cs="Arial"/>
          <w:spacing w:val="-8"/>
          <w:sz w:val="24"/>
          <w:szCs w:val="24"/>
        </w:rPr>
        <w:t xml:space="preserve"> </w:t>
      </w:r>
      <w:r w:rsidR="003627B4" w:rsidRPr="0044150C">
        <w:rPr>
          <w:rFonts w:ascii="Arial" w:hAnsi="Arial" w:cs="Arial"/>
          <w:sz w:val="24"/>
          <w:szCs w:val="24"/>
        </w:rPr>
        <w:t>programs</w:t>
      </w:r>
      <w:r w:rsidR="003627B4" w:rsidRPr="0044150C">
        <w:rPr>
          <w:rFonts w:ascii="Arial" w:hAnsi="Arial" w:cs="Arial"/>
          <w:spacing w:val="-9"/>
          <w:sz w:val="24"/>
          <w:szCs w:val="24"/>
        </w:rPr>
        <w:t xml:space="preserve"> </w:t>
      </w:r>
      <w:r w:rsidR="003627B4" w:rsidRPr="0044150C">
        <w:rPr>
          <w:rFonts w:ascii="Arial" w:hAnsi="Arial" w:cs="Arial"/>
          <w:sz w:val="24"/>
          <w:szCs w:val="24"/>
        </w:rPr>
        <w:t>at</w:t>
      </w:r>
      <w:r w:rsidR="003627B4" w:rsidRPr="0044150C">
        <w:rPr>
          <w:rFonts w:ascii="Arial" w:hAnsi="Arial" w:cs="Arial"/>
          <w:spacing w:val="-10"/>
          <w:sz w:val="24"/>
          <w:szCs w:val="24"/>
        </w:rPr>
        <w:t xml:space="preserve"> </w:t>
      </w:r>
      <w:r w:rsidR="003627B4" w:rsidRPr="0044150C">
        <w:rPr>
          <w:rFonts w:ascii="Arial" w:hAnsi="Arial" w:cs="Arial"/>
          <w:sz w:val="24"/>
          <w:szCs w:val="24"/>
        </w:rPr>
        <w:t>issue</w:t>
      </w:r>
      <w:r w:rsidR="003627B4" w:rsidRPr="0044150C">
        <w:rPr>
          <w:rFonts w:ascii="Arial" w:hAnsi="Arial" w:cs="Arial"/>
          <w:spacing w:val="-9"/>
          <w:sz w:val="24"/>
          <w:szCs w:val="24"/>
        </w:rPr>
        <w:t xml:space="preserve"> </w:t>
      </w:r>
      <w:r w:rsidR="003627B4" w:rsidRPr="0044150C">
        <w:rPr>
          <w:rFonts w:ascii="Arial" w:hAnsi="Arial" w:cs="Arial"/>
          <w:sz w:val="24"/>
          <w:szCs w:val="24"/>
        </w:rPr>
        <w:t>cannot constitute sufficient evidence of specificity.</w:t>
      </w:r>
      <w:r w:rsidR="003627B4" w:rsidRPr="0044150C">
        <w:rPr>
          <w:rFonts w:ascii="Arial" w:hAnsi="Arial" w:cs="Arial"/>
          <w:spacing w:val="-21"/>
          <w:sz w:val="24"/>
          <w:szCs w:val="24"/>
        </w:rPr>
        <w:t xml:space="preserve"> </w:t>
      </w:r>
      <w:r w:rsidR="003627B4" w:rsidRPr="0044150C">
        <w:rPr>
          <w:rStyle w:val="ab"/>
          <w:rFonts w:ascii="Arial" w:hAnsi="Arial" w:cs="Arial"/>
          <w:spacing w:val="-21"/>
          <w:sz w:val="24"/>
          <w:szCs w:val="24"/>
        </w:rPr>
        <w:footnoteReference w:id="38"/>
      </w:r>
    </w:p>
    <w:p w14:paraId="6F75DE61" w14:textId="74F23273" w:rsidR="003627B4" w:rsidRPr="0044150C" w:rsidRDefault="003627B4" w:rsidP="001A4DBD">
      <w:pPr>
        <w:pStyle w:val="a9"/>
        <w:widowControl w:val="0"/>
        <w:numPr>
          <w:ilvl w:val="0"/>
          <w:numId w:val="1"/>
        </w:numPr>
        <w:tabs>
          <w:tab w:val="left" w:pos="917"/>
        </w:tabs>
        <w:autoSpaceDE w:val="0"/>
        <w:autoSpaceDN w:val="0"/>
        <w:spacing w:before="240"/>
        <w:ind w:right="95" w:hanging="644"/>
        <w:contextualSpacing w:val="0"/>
        <w:rPr>
          <w:rFonts w:ascii="Arial" w:hAnsi="Arial" w:cs="Arial"/>
          <w:sz w:val="24"/>
          <w:szCs w:val="24"/>
          <w:lang w:val="en-GB"/>
        </w:rPr>
      </w:pPr>
      <w:r w:rsidRPr="0044150C">
        <w:rPr>
          <w:rFonts w:ascii="Arial" w:hAnsi="Arial" w:cs="Arial"/>
          <w:sz w:val="24"/>
          <w:szCs w:val="24"/>
          <w:lang w:val="en-GB"/>
        </w:rPr>
        <w:t xml:space="preserve">Moreover, the fact is that there is no preferential policy and access to the credit lines is not </w:t>
      </w:r>
      <w:r w:rsidRPr="0044150C">
        <w:rPr>
          <w:rFonts w:ascii="Arial" w:hAnsi="Arial" w:cs="Arial"/>
          <w:i/>
          <w:sz w:val="24"/>
          <w:szCs w:val="24"/>
          <w:lang w:val="en-GB"/>
        </w:rPr>
        <w:t xml:space="preserve">explicitly limited </w:t>
      </w:r>
      <w:r w:rsidRPr="0044150C">
        <w:rPr>
          <w:rFonts w:ascii="Arial" w:hAnsi="Arial" w:cs="Arial"/>
          <w:sz w:val="24"/>
          <w:szCs w:val="24"/>
          <w:lang w:val="en-GB"/>
        </w:rPr>
        <w:t xml:space="preserve">to the </w:t>
      </w:r>
      <w:r w:rsidR="009C3948" w:rsidRPr="0044150C">
        <w:rPr>
          <w:rFonts w:ascii="Arial" w:hAnsi="Arial" w:cs="Arial"/>
          <w:sz w:val="24"/>
          <w:szCs w:val="24"/>
          <w:lang w:val="en-GB"/>
        </w:rPr>
        <w:t>boom lift</w:t>
      </w:r>
      <w:r w:rsidRPr="0044150C">
        <w:rPr>
          <w:rFonts w:ascii="Arial" w:hAnsi="Arial" w:cs="Arial"/>
          <w:sz w:val="24"/>
          <w:szCs w:val="24"/>
          <w:lang w:val="en-GB"/>
        </w:rPr>
        <w:t xml:space="preserve"> industry. The GOC underlines that all enterprises in China, regardless of industry type, are equally eligible for obtaining credit lines and this is no more than a borrowing limit for</w:t>
      </w:r>
      <w:r w:rsidRPr="0044150C">
        <w:rPr>
          <w:rFonts w:ascii="Arial" w:hAnsi="Arial" w:cs="Arial"/>
          <w:spacing w:val="-4"/>
          <w:sz w:val="24"/>
          <w:szCs w:val="24"/>
          <w:lang w:val="en-GB"/>
        </w:rPr>
        <w:t xml:space="preserve"> </w:t>
      </w:r>
      <w:r w:rsidRPr="0044150C">
        <w:rPr>
          <w:rFonts w:ascii="Arial" w:hAnsi="Arial" w:cs="Arial"/>
          <w:sz w:val="24"/>
          <w:szCs w:val="24"/>
          <w:lang w:val="en-GB"/>
        </w:rPr>
        <w:t>companies.</w:t>
      </w:r>
    </w:p>
    <w:p w14:paraId="17E12DF2" w14:textId="77777777" w:rsidR="003627B4" w:rsidRPr="0044150C" w:rsidRDefault="003627B4" w:rsidP="003627B4">
      <w:pPr>
        <w:pStyle w:val="a7"/>
        <w:spacing w:before="10"/>
        <w:ind w:leftChars="-1" w:left="-2" w:right="95" w:firstLine="1"/>
        <w:rPr>
          <w:rFonts w:ascii="Arial" w:hAnsi="Arial" w:cs="Arial"/>
          <w:sz w:val="24"/>
          <w:szCs w:val="24"/>
        </w:rPr>
      </w:pPr>
    </w:p>
    <w:p w14:paraId="2FBC63A3" w14:textId="1313F432" w:rsidR="003F0A0B" w:rsidRPr="0044150C" w:rsidRDefault="003627B4" w:rsidP="001A4DBD">
      <w:pPr>
        <w:pStyle w:val="a9"/>
        <w:widowControl w:val="0"/>
        <w:numPr>
          <w:ilvl w:val="0"/>
          <w:numId w:val="1"/>
        </w:numPr>
        <w:tabs>
          <w:tab w:val="left" w:pos="917"/>
        </w:tabs>
        <w:autoSpaceDE w:val="0"/>
        <w:autoSpaceDN w:val="0"/>
        <w:spacing w:before="240"/>
        <w:ind w:right="95" w:hanging="644"/>
        <w:contextualSpacing w:val="0"/>
        <w:rPr>
          <w:rFonts w:ascii="Arial" w:hAnsi="Arial" w:cs="Arial"/>
          <w:sz w:val="24"/>
          <w:szCs w:val="24"/>
          <w:lang w:val="en-GB"/>
        </w:rPr>
      </w:pPr>
      <w:r w:rsidRPr="0044150C">
        <w:rPr>
          <w:rFonts w:ascii="Arial" w:hAnsi="Arial" w:cs="Arial"/>
          <w:sz w:val="24"/>
          <w:szCs w:val="24"/>
          <w:lang w:val="en-GB"/>
        </w:rPr>
        <w:t>Thus, the Application lacks evidence of the existence of subsidies in the form of preferential financing through credit lines and, as such, the initiation and continuation of the present investigation – as far as credit lines are concerned – is unjustified and WTO-inconsistent.</w:t>
      </w:r>
      <w:bookmarkEnd w:id="36"/>
    </w:p>
    <w:p w14:paraId="1B37948C" w14:textId="77777777" w:rsidR="003627B4" w:rsidRPr="0044150C" w:rsidRDefault="003627B4" w:rsidP="003627B4">
      <w:pPr>
        <w:widowControl w:val="0"/>
        <w:tabs>
          <w:tab w:val="left" w:pos="917"/>
        </w:tabs>
        <w:autoSpaceDE w:val="0"/>
        <w:autoSpaceDN w:val="0"/>
        <w:spacing w:before="240"/>
        <w:ind w:right="95"/>
        <w:rPr>
          <w:rFonts w:ascii="Arial" w:hAnsi="Arial" w:cs="Arial"/>
          <w:sz w:val="24"/>
          <w:szCs w:val="24"/>
          <w:lang w:val="en-GB"/>
        </w:rPr>
      </w:pPr>
    </w:p>
    <w:p w14:paraId="462FA754" w14:textId="1994FD67" w:rsidR="003627B4" w:rsidRPr="0044150C" w:rsidRDefault="003627B4" w:rsidP="003627B4">
      <w:pPr>
        <w:pStyle w:val="3"/>
        <w:spacing w:before="0"/>
        <w:rPr>
          <w:rFonts w:ascii="Arial" w:eastAsia="Times New Roman" w:hAnsi="Arial" w:cs="Arial"/>
          <w:b/>
          <w:bCs/>
          <w:color w:val="auto"/>
          <w:lang w:val="en-GB" w:eastAsia="en-US"/>
        </w:rPr>
      </w:pPr>
      <w:bookmarkStart w:id="38" w:name="_Toc226652295"/>
      <w:r w:rsidRPr="0044150C">
        <w:rPr>
          <w:rFonts w:ascii="Arial" w:eastAsia="Times New Roman" w:hAnsi="Arial" w:cs="Arial"/>
          <w:b/>
          <w:bCs/>
          <w:color w:val="auto"/>
          <w:lang w:val="en-GB" w:eastAsia="en-US"/>
        </w:rPr>
        <w:t xml:space="preserve">Preferential </w:t>
      </w:r>
      <w:r w:rsidR="00681297" w:rsidRPr="0044150C">
        <w:rPr>
          <w:rFonts w:ascii="Arial" w:eastAsia="Times New Roman" w:hAnsi="Arial" w:cs="Arial"/>
          <w:b/>
          <w:bCs/>
          <w:color w:val="auto"/>
          <w:lang w:val="en-GB" w:eastAsia="en-US"/>
        </w:rPr>
        <w:t>access to bond financing</w:t>
      </w:r>
      <w:bookmarkEnd w:id="38"/>
    </w:p>
    <w:p w14:paraId="6FDD3960" w14:textId="77777777" w:rsidR="00B30A18" w:rsidRPr="0044150C" w:rsidRDefault="00B30A18" w:rsidP="003627B4">
      <w:pPr>
        <w:ind w:right="95"/>
        <w:rPr>
          <w:rFonts w:ascii="Arial" w:hAnsi="Arial" w:cs="Arial"/>
          <w:sz w:val="24"/>
          <w:szCs w:val="24"/>
          <w:lang w:val="en-GB"/>
        </w:rPr>
      </w:pPr>
    </w:p>
    <w:p w14:paraId="57B3DFB7" w14:textId="2A9A614C" w:rsidR="00A77481" w:rsidRPr="0044150C" w:rsidRDefault="00354C68" w:rsidP="00935F9B">
      <w:pPr>
        <w:pStyle w:val="a9"/>
        <w:widowControl w:val="0"/>
        <w:numPr>
          <w:ilvl w:val="0"/>
          <w:numId w:val="1"/>
        </w:numPr>
        <w:tabs>
          <w:tab w:val="left" w:pos="917"/>
        </w:tabs>
        <w:autoSpaceDE w:val="0"/>
        <w:autoSpaceDN w:val="0"/>
        <w:spacing w:before="240"/>
        <w:ind w:right="-46" w:hanging="644"/>
        <w:contextualSpacing w:val="0"/>
        <w:rPr>
          <w:rFonts w:ascii="Arial" w:hAnsi="Arial" w:cs="Arial"/>
          <w:sz w:val="24"/>
          <w:szCs w:val="24"/>
          <w:lang w:val="en-GB"/>
        </w:rPr>
      </w:pPr>
      <w:bookmarkStart w:id="39" w:name="_Hlk161122418"/>
      <w:r w:rsidRPr="0044150C">
        <w:rPr>
          <w:rFonts w:ascii="Arial" w:hAnsi="Arial" w:cs="Arial"/>
          <w:sz w:val="24"/>
          <w:szCs w:val="24"/>
          <w:lang w:val="en-GB"/>
        </w:rPr>
        <w:t xml:space="preserve">According to the Applicant, </w:t>
      </w:r>
      <w:r w:rsidR="00681297" w:rsidRPr="0044150C">
        <w:rPr>
          <w:rFonts w:ascii="Arial" w:hAnsi="Arial" w:cs="Arial"/>
          <w:sz w:val="24"/>
          <w:szCs w:val="24"/>
          <w:lang w:val="en-GB"/>
        </w:rPr>
        <w:t>construction machinery producers benefit from preferential access to bond financing,</w:t>
      </w:r>
      <w:r w:rsidRPr="0044150C">
        <w:rPr>
          <w:rFonts w:ascii="Arial" w:hAnsi="Arial" w:cs="Arial"/>
          <w:sz w:val="24"/>
          <w:szCs w:val="24"/>
          <w:lang w:val="en-GB"/>
        </w:rPr>
        <w:t xml:space="preserve"> constitut</w:t>
      </w:r>
      <w:r w:rsidR="00681297" w:rsidRPr="0044150C">
        <w:rPr>
          <w:rFonts w:ascii="Arial" w:hAnsi="Arial" w:cs="Arial"/>
          <w:sz w:val="24"/>
          <w:szCs w:val="24"/>
          <w:lang w:val="en-GB"/>
        </w:rPr>
        <w:t>ing</w:t>
      </w:r>
      <w:r w:rsidRPr="0044150C">
        <w:rPr>
          <w:rFonts w:ascii="Arial" w:hAnsi="Arial" w:cs="Arial"/>
          <w:sz w:val="24"/>
          <w:szCs w:val="24"/>
          <w:lang w:val="en-GB"/>
        </w:rPr>
        <w:t xml:space="preserve"> countervailable subsidies. The GOC </w:t>
      </w:r>
      <w:r w:rsidR="002B32AB" w:rsidRPr="0044150C">
        <w:rPr>
          <w:rFonts w:ascii="Arial" w:hAnsi="Arial" w:cs="Arial"/>
          <w:sz w:val="24"/>
          <w:szCs w:val="24"/>
          <w:lang w:val="en-GB"/>
        </w:rPr>
        <w:t xml:space="preserve">strongly </w:t>
      </w:r>
      <w:r w:rsidRPr="0044150C">
        <w:rPr>
          <w:rFonts w:ascii="Arial" w:hAnsi="Arial" w:cs="Arial"/>
          <w:sz w:val="24"/>
          <w:szCs w:val="24"/>
          <w:lang w:val="en-GB"/>
        </w:rPr>
        <w:t>disagrees.</w:t>
      </w:r>
      <w:bookmarkStart w:id="40" w:name="_Hlk161122793"/>
      <w:bookmarkEnd w:id="39"/>
    </w:p>
    <w:p w14:paraId="7F937713" w14:textId="77777777" w:rsidR="00A77481" w:rsidRPr="0044150C" w:rsidRDefault="00A77481" w:rsidP="00A77481">
      <w:pPr>
        <w:pStyle w:val="a9"/>
        <w:widowControl w:val="0"/>
        <w:tabs>
          <w:tab w:val="left" w:pos="917"/>
        </w:tabs>
        <w:autoSpaceDE w:val="0"/>
        <w:autoSpaceDN w:val="0"/>
        <w:spacing w:before="240"/>
        <w:ind w:left="644" w:right="-46"/>
        <w:contextualSpacing w:val="0"/>
        <w:rPr>
          <w:rFonts w:ascii="Arial" w:hAnsi="Arial" w:cs="Arial"/>
          <w:sz w:val="24"/>
          <w:szCs w:val="24"/>
          <w:lang w:val="en-GB"/>
        </w:rPr>
      </w:pPr>
    </w:p>
    <w:p w14:paraId="2CFF67BD" w14:textId="7D4D52E1" w:rsidR="00E7126F" w:rsidRPr="0044150C" w:rsidRDefault="00D117AE" w:rsidP="00935F9B">
      <w:pPr>
        <w:pStyle w:val="a9"/>
        <w:widowControl w:val="0"/>
        <w:numPr>
          <w:ilvl w:val="0"/>
          <w:numId w:val="1"/>
        </w:numPr>
        <w:tabs>
          <w:tab w:val="left" w:pos="917"/>
        </w:tabs>
        <w:autoSpaceDE w:val="0"/>
        <w:autoSpaceDN w:val="0"/>
        <w:spacing w:before="240"/>
        <w:ind w:right="-46" w:hanging="644"/>
        <w:contextualSpacing w:val="0"/>
        <w:rPr>
          <w:rFonts w:ascii="Arial" w:hAnsi="Arial" w:cs="Arial"/>
          <w:sz w:val="24"/>
          <w:szCs w:val="24"/>
          <w:lang w:val="en-GB"/>
        </w:rPr>
      </w:pPr>
      <w:r w:rsidRPr="0044150C">
        <w:rPr>
          <w:rFonts w:ascii="Arial" w:hAnsi="Arial" w:cs="Arial"/>
          <w:sz w:val="24"/>
          <w:szCs w:val="24"/>
          <w:lang w:val="en-GB"/>
        </w:rPr>
        <w:t>First and foremost, as the GOC has clarified above in section 3.2 and in its answers to the questionaries, boom lift is not an “encouraged” industry.  T</w:t>
      </w:r>
      <w:r w:rsidR="00E7126F" w:rsidRPr="0044150C">
        <w:rPr>
          <w:rFonts w:ascii="Arial" w:hAnsi="Arial" w:cs="Arial"/>
          <w:sz w:val="24"/>
          <w:szCs w:val="24"/>
          <w:lang w:val="en-GB"/>
        </w:rPr>
        <w:t>he</w:t>
      </w:r>
      <w:r w:rsidR="00E7126F" w:rsidRPr="0044150C">
        <w:rPr>
          <w:rFonts w:ascii="Arial" w:hAnsi="Arial" w:cs="Arial"/>
          <w:spacing w:val="-16"/>
          <w:sz w:val="24"/>
          <w:szCs w:val="24"/>
          <w:lang w:val="en-GB"/>
        </w:rPr>
        <w:t xml:space="preserve"> </w:t>
      </w:r>
      <w:r w:rsidR="00E7126F" w:rsidRPr="0044150C">
        <w:rPr>
          <w:rFonts w:ascii="Arial" w:hAnsi="Arial" w:cs="Arial"/>
          <w:sz w:val="24"/>
          <w:szCs w:val="24"/>
          <w:lang w:val="en-GB"/>
        </w:rPr>
        <w:t>Applicant</w:t>
      </w:r>
      <w:r w:rsidR="00E7126F" w:rsidRPr="0044150C">
        <w:rPr>
          <w:rFonts w:ascii="Arial" w:hAnsi="Arial" w:cs="Arial"/>
          <w:spacing w:val="-3"/>
          <w:sz w:val="24"/>
          <w:szCs w:val="24"/>
          <w:lang w:val="en-GB"/>
        </w:rPr>
        <w:t xml:space="preserve"> </w:t>
      </w:r>
      <w:r w:rsidR="00E7126F" w:rsidRPr="0044150C">
        <w:rPr>
          <w:rFonts w:ascii="Arial" w:hAnsi="Arial" w:cs="Arial"/>
          <w:sz w:val="24"/>
          <w:szCs w:val="24"/>
          <w:lang w:val="en-GB"/>
        </w:rPr>
        <w:t>provides</w:t>
      </w:r>
      <w:r w:rsidR="00E7126F" w:rsidRPr="0044150C">
        <w:rPr>
          <w:rFonts w:ascii="Arial" w:hAnsi="Arial" w:cs="Arial"/>
          <w:spacing w:val="-5"/>
          <w:sz w:val="24"/>
          <w:szCs w:val="24"/>
          <w:lang w:val="en-GB"/>
        </w:rPr>
        <w:t xml:space="preserve"> </w:t>
      </w:r>
      <w:r w:rsidR="00E7126F" w:rsidRPr="0044150C">
        <w:rPr>
          <w:rFonts w:ascii="Arial" w:hAnsi="Arial" w:cs="Arial"/>
          <w:sz w:val="24"/>
          <w:szCs w:val="24"/>
          <w:lang w:val="en-GB"/>
        </w:rPr>
        <w:t>no</w:t>
      </w:r>
      <w:r w:rsidR="00E7126F" w:rsidRPr="0044150C">
        <w:rPr>
          <w:rFonts w:ascii="Arial" w:hAnsi="Arial" w:cs="Arial"/>
          <w:spacing w:val="-4"/>
          <w:sz w:val="24"/>
          <w:szCs w:val="24"/>
          <w:lang w:val="en-GB"/>
        </w:rPr>
        <w:t xml:space="preserve"> </w:t>
      </w:r>
      <w:r w:rsidR="00E7126F" w:rsidRPr="0044150C">
        <w:rPr>
          <w:rFonts w:ascii="Arial" w:hAnsi="Arial" w:cs="Arial"/>
          <w:sz w:val="24"/>
          <w:szCs w:val="24"/>
          <w:lang w:val="en-GB"/>
        </w:rPr>
        <w:t>evidence</w:t>
      </w:r>
      <w:r w:rsidR="00E7126F" w:rsidRPr="0044150C">
        <w:rPr>
          <w:rFonts w:ascii="Arial" w:hAnsi="Arial" w:cs="Arial"/>
          <w:spacing w:val="-3"/>
          <w:sz w:val="24"/>
          <w:szCs w:val="24"/>
          <w:lang w:val="en-GB"/>
        </w:rPr>
        <w:t xml:space="preserve"> </w:t>
      </w:r>
      <w:r w:rsidR="00E7126F" w:rsidRPr="0044150C">
        <w:rPr>
          <w:rFonts w:ascii="Arial" w:hAnsi="Arial" w:cs="Arial"/>
          <w:sz w:val="24"/>
          <w:szCs w:val="24"/>
          <w:lang w:val="en-GB"/>
        </w:rPr>
        <w:t>of</w:t>
      </w:r>
      <w:r w:rsidR="00E7126F" w:rsidRPr="0044150C">
        <w:rPr>
          <w:rFonts w:ascii="Arial" w:hAnsi="Arial" w:cs="Arial"/>
          <w:spacing w:val="-6"/>
          <w:sz w:val="24"/>
          <w:szCs w:val="24"/>
          <w:lang w:val="en-GB"/>
        </w:rPr>
        <w:t xml:space="preserve"> </w:t>
      </w:r>
      <w:r w:rsidR="00E7126F" w:rsidRPr="0044150C">
        <w:rPr>
          <w:rFonts w:ascii="Arial" w:hAnsi="Arial" w:cs="Arial"/>
          <w:sz w:val="24"/>
          <w:szCs w:val="24"/>
          <w:lang w:val="en-GB"/>
        </w:rPr>
        <w:t>specificity</w:t>
      </w:r>
      <w:r w:rsidR="00E7126F" w:rsidRPr="0044150C">
        <w:rPr>
          <w:rFonts w:ascii="Arial" w:hAnsi="Arial" w:cs="Arial"/>
          <w:spacing w:val="-4"/>
          <w:sz w:val="24"/>
          <w:szCs w:val="24"/>
          <w:lang w:val="en-GB"/>
        </w:rPr>
        <w:t xml:space="preserve"> </w:t>
      </w:r>
      <w:r w:rsidR="00E7126F" w:rsidRPr="0044150C">
        <w:rPr>
          <w:rFonts w:ascii="Arial" w:hAnsi="Arial" w:cs="Arial"/>
          <w:spacing w:val="-3"/>
          <w:sz w:val="24"/>
          <w:szCs w:val="24"/>
          <w:lang w:val="en-GB"/>
        </w:rPr>
        <w:t>either.</w:t>
      </w:r>
      <w:r w:rsidR="00E7126F" w:rsidRPr="0044150C">
        <w:rPr>
          <w:rFonts w:ascii="Arial" w:hAnsi="Arial" w:cs="Arial"/>
          <w:spacing w:val="-9"/>
          <w:sz w:val="24"/>
          <w:szCs w:val="24"/>
          <w:lang w:val="en-GB"/>
        </w:rPr>
        <w:t xml:space="preserve"> </w:t>
      </w:r>
      <w:r w:rsidR="00E7126F" w:rsidRPr="0044150C">
        <w:rPr>
          <w:rFonts w:ascii="Arial" w:hAnsi="Arial" w:cs="Arial"/>
          <w:sz w:val="24"/>
          <w:szCs w:val="24"/>
          <w:lang w:val="en-GB"/>
        </w:rPr>
        <w:t>The</w:t>
      </w:r>
      <w:r w:rsidR="00E7126F" w:rsidRPr="0044150C">
        <w:rPr>
          <w:rFonts w:ascii="Arial" w:hAnsi="Arial" w:cs="Arial"/>
          <w:spacing w:val="-6"/>
          <w:sz w:val="24"/>
          <w:szCs w:val="24"/>
          <w:lang w:val="en-GB"/>
        </w:rPr>
        <w:t xml:space="preserve"> </w:t>
      </w:r>
      <w:r w:rsidR="00E7126F" w:rsidRPr="0044150C">
        <w:rPr>
          <w:rFonts w:ascii="Arial" w:hAnsi="Arial" w:cs="Arial"/>
          <w:sz w:val="24"/>
          <w:szCs w:val="24"/>
          <w:lang w:val="en-GB"/>
        </w:rPr>
        <w:t>mere statement</w:t>
      </w:r>
      <w:r w:rsidR="00E7126F" w:rsidRPr="0044150C">
        <w:rPr>
          <w:rFonts w:ascii="Arial" w:hAnsi="Arial" w:cs="Arial"/>
          <w:spacing w:val="-4"/>
          <w:sz w:val="24"/>
          <w:szCs w:val="24"/>
          <w:lang w:val="en-GB"/>
        </w:rPr>
        <w:t xml:space="preserve"> </w:t>
      </w:r>
      <w:r w:rsidR="00E7126F" w:rsidRPr="0044150C">
        <w:rPr>
          <w:rFonts w:ascii="Arial" w:hAnsi="Arial" w:cs="Arial"/>
          <w:sz w:val="24"/>
          <w:szCs w:val="24"/>
          <w:lang w:val="en-GB"/>
        </w:rPr>
        <w:t>that</w:t>
      </w:r>
      <w:r w:rsidR="00E7126F" w:rsidRPr="0044150C">
        <w:rPr>
          <w:rFonts w:ascii="Arial" w:hAnsi="Arial" w:cs="Arial"/>
          <w:spacing w:val="-5"/>
          <w:sz w:val="24"/>
          <w:szCs w:val="24"/>
          <w:lang w:val="en-GB"/>
        </w:rPr>
        <w:t xml:space="preserve"> </w:t>
      </w:r>
      <w:r w:rsidR="00681297" w:rsidRPr="0044150C">
        <w:rPr>
          <w:rFonts w:ascii="Arial" w:hAnsi="Arial" w:cs="Arial"/>
          <w:spacing w:val="-5"/>
          <w:sz w:val="24"/>
          <w:szCs w:val="24"/>
          <w:lang w:val="en-GB"/>
        </w:rPr>
        <w:t xml:space="preserve">firms aligned with </w:t>
      </w:r>
      <w:r w:rsidR="00012F3A" w:rsidRPr="0044150C">
        <w:rPr>
          <w:rFonts w:ascii="Arial" w:hAnsi="Arial" w:cs="Arial"/>
          <w:spacing w:val="-5"/>
          <w:sz w:val="24"/>
          <w:szCs w:val="24"/>
          <w:lang w:val="en-GB"/>
        </w:rPr>
        <w:t>s</w:t>
      </w:r>
      <w:r w:rsidR="00681297" w:rsidRPr="0044150C">
        <w:rPr>
          <w:rFonts w:ascii="Arial" w:hAnsi="Arial" w:cs="Arial"/>
          <w:spacing w:val="-5"/>
          <w:sz w:val="24"/>
          <w:szCs w:val="24"/>
          <w:lang w:val="en-GB"/>
        </w:rPr>
        <w:t>tate industrial policy objectives are able to access bonds at more favourable conditions than comparable companies in non-prioritised sectors</w:t>
      </w:r>
      <w:r w:rsidRPr="0044150C">
        <w:rPr>
          <w:rFonts w:ascii="Arial" w:hAnsi="Arial" w:cs="Arial"/>
          <w:spacing w:val="-5"/>
          <w:sz w:val="24"/>
          <w:szCs w:val="24"/>
          <w:lang w:val="en-GB"/>
        </w:rPr>
        <w:t xml:space="preserve"> and a reference to a general provision on China’s Securities Law </w:t>
      </w:r>
      <w:r w:rsidR="00E7126F" w:rsidRPr="0044150C">
        <w:rPr>
          <w:rFonts w:ascii="Arial" w:hAnsi="Arial" w:cs="Arial"/>
          <w:sz w:val="24"/>
          <w:szCs w:val="24"/>
          <w:lang w:val="en-GB"/>
        </w:rPr>
        <w:t xml:space="preserve"> does not</w:t>
      </w:r>
      <w:r w:rsidR="00E7126F" w:rsidRPr="0044150C">
        <w:rPr>
          <w:rFonts w:ascii="Arial" w:hAnsi="Arial" w:cs="Arial"/>
          <w:spacing w:val="-38"/>
          <w:sz w:val="24"/>
          <w:szCs w:val="24"/>
          <w:lang w:val="en-GB"/>
        </w:rPr>
        <w:t xml:space="preserve"> </w:t>
      </w:r>
      <w:r w:rsidR="00E7126F" w:rsidRPr="0044150C">
        <w:rPr>
          <w:rFonts w:ascii="Arial" w:hAnsi="Arial" w:cs="Arial"/>
          <w:sz w:val="24"/>
          <w:szCs w:val="24"/>
          <w:lang w:val="en-GB"/>
        </w:rPr>
        <w:t xml:space="preserve">establish specificity even on a </w:t>
      </w:r>
      <w:r w:rsidR="00E7126F" w:rsidRPr="0044150C">
        <w:rPr>
          <w:rFonts w:ascii="Arial" w:hAnsi="Arial" w:cs="Arial"/>
          <w:i/>
          <w:sz w:val="24"/>
          <w:szCs w:val="24"/>
          <w:lang w:val="en-GB"/>
        </w:rPr>
        <w:t xml:space="preserve">prima facie </w:t>
      </w:r>
      <w:r w:rsidR="00E7126F" w:rsidRPr="0044150C">
        <w:rPr>
          <w:rFonts w:ascii="Arial" w:hAnsi="Arial" w:cs="Arial"/>
          <w:sz w:val="24"/>
          <w:szCs w:val="24"/>
          <w:lang w:val="en-GB"/>
        </w:rPr>
        <w:t>basis.</w:t>
      </w:r>
      <w:r w:rsidRPr="0044150C">
        <w:rPr>
          <w:rFonts w:ascii="Arial" w:hAnsi="Arial" w:cs="Arial"/>
          <w:sz w:val="24"/>
          <w:szCs w:val="24"/>
          <w:lang w:val="en-GB"/>
        </w:rPr>
        <w:t xml:space="preserve"> Article 13 of the </w:t>
      </w:r>
      <w:r w:rsidR="00706C18" w:rsidRPr="0044150C">
        <w:rPr>
          <w:rFonts w:ascii="Arial" w:hAnsi="Arial" w:cs="Arial"/>
          <w:spacing w:val="-5"/>
          <w:sz w:val="24"/>
          <w:szCs w:val="24"/>
          <w:lang w:val="en-GB"/>
        </w:rPr>
        <w:t>Administrative Measures for the Issuance and Trading of Corporate Bonds</w:t>
      </w:r>
      <w:r w:rsidRPr="0044150C">
        <w:rPr>
          <w:rFonts w:ascii="Arial" w:hAnsi="Arial" w:cs="Arial"/>
          <w:spacing w:val="-5"/>
          <w:sz w:val="24"/>
          <w:szCs w:val="24"/>
          <w:lang w:val="en-GB"/>
        </w:rPr>
        <w:t xml:space="preserve"> does not entrust nor direct any bank to provide preferential access to bond financing for enterprises.</w:t>
      </w:r>
      <w:r w:rsidR="00E7126F" w:rsidRPr="0044150C">
        <w:rPr>
          <w:rFonts w:ascii="Arial" w:hAnsi="Arial" w:cs="Arial"/>
          <w:sz w:val="24"/>
          <w:szCs w:val="24"/>
          <w:lang w:val="en-GB"/>
        </w:rPr>
        <w:t xml:space="preserve"> </w:t>
      </w:r>
      <w:r w:rsidR="00012F3A" w:rsidRPr="0044150C">
        <w:rPr>
          <w:rFonts w:ascii="Arial" w:hAnsi="Arial" w:cs="Arial"/>
          <w:sz w:val="24"/>
          <w:szCs w:val="24"/>
          <w:lang w:val="en-GB"/>
        </w:rPr>
        <w:t xml:space="preserve"> </w:t>
      </w:r>
      <w:r w:rsidR="00E07486" w:rsidRPr="0044150C">
        <w:rPr>
          <w:rFonts w:ascii="Arial" w:hAnsi="Arial" w:cs="Arial"/>
          <w:sz w:val="24"/>
          <w:szCs w:val="24"/>
          <w:lang w:val="en-GB"/>
        </w:rPr>
        <w:t>In fact, according to</w:t>
      </w:r>
      <w:r w:rsidR="002567DC" w:rsidRPr="0044150C">
        <w:rPr>
          <w:rFonts w:ascii="Arial" w:hAnsi="Arial" w:cs="Arial"/>
          <w:sz w:val="24"/>
          <w:szCs w:val="24"/>
          <w:lang w:val="en-GB"/>
        </w:rPr>
        <w:t xml:space="preserve"> the information provided by</w:t>
      </w:r>
      <w:r w:rsidR="00E07486" w:rsidRPr="0044150C">
        <w:rPr>
          <w:rFonts w:ascii="Arial" w:hAnsi="Arial" w:cs="Arial"/>
          <w:sz w:val="24"/>
          <w:szCs w:val="24"/>
          <w:lang w:val="en-GB"/>
        </w:rPr>
        <w:t xml:space="preserve"> China Securities Regulatory Commission</w:t>
      </w:r>
      <w:r w:rsidR="00012F3A" w:rsidRPr="0044150C">
        <w:rPr>
          <w:rFonts w:ascii="Arial" w:hAnsi="Arial" w:cs="Arial"/>
          <w:sz w:val="24"/>
          <w:szCs w:val="24"/>
          <w:lang w:val="en-GB"/>
        </w:rPr>
        <w:t xml:space="preserve">, none of the respondent </w:t>
      </w:r>
      <w:r w:rsidR="000F6438" w:rsidRPr="0044150C">
        <w:rPr>
          <w:rFonts w:ascii="Arial" w:hAnsi="Arial" w:cs="Arial"/>
          <w:sz w:val="24"/>
          <w:szCs w:val="24"/>
          <w:lang w:val="en-GB"/>
        </w:rPr>
        <w:t>producer</w:t>
      </w:r>
      <w:r w:rsidR="00012F3A" w:rsidRPr="0044150C">
        <w:rPr>
          <w:rFonts w:ascii="Arial" w:hAnsi="Arial" w:cs="Arial"/>
          <w:sz w:val="24"/>
          <w:szCs w:val="24"/>
          <w:lang w:val="en-GB"/>
        </w:rPr>
        <w:t xml:space="preserve">s </w:t>
      </w:r>
      <w:r w:rsidR="00E07486" w:rsidRPr="0044150C">
        <w:rPr>
          <w:rFonts w:ascii="Arial" w:hAnsi="Arial" w:cs="Arial"/>
          <w:sz w:val="24"/>
          <w:szCs w:val="24"/>
          <w:lang w:val="en-GB"/>
        </w:rPr>
        <w:t>issues</w:t>
      </w:r>
      <w:r w:rsidR="000F6438" w:rsidRPr="0044150C">
        <w:rPr>
          <w:rFonts w:ascii="Arial" w:hAnsi="Arial" w:cs="Arial"/>
          <w:sz w:val="24"/>
          <w:szCs w:val="24"/>
          <w:lang w:val="en-GB"/>
        </w:rPr>
        <w:t xml:space="preserve"> the</w:t>
      </w:r>
      <w:r w:rsidR="00E07486" w:rsidRPr="0044150C">
        <w:rPr>
          <w:rFonts w:ascii="Arial" w:hAnsi="Arial" w:cs="Arial"/>
          <w:sz w:val="24"/>
          <w:szCs w:val="24"/>
          <w:lang w:val="en-GB"/>
        </w:rPr>
        <w:t xml:space="preserve"> corporate bond during the POI</w:t>
      </w:r>
      <w:r w:rsidR="00012F3A" w:rsidRPr="0044150C">
        <w:rPr>
          <w:rFonts w:ascii="Arial" w:hAnsi="Arial" w:cs="Arial"/>
          <w:sz w:val="24"/>
          <w:szCs w:val="24"/>
          <w:lang w:val="en-GB"/>
        </w:rPr>
        <w:t xml:space="preserve">. </w:t>
      </w:r>
    </w:p>
    <w:p w14:paraId="0EF79349" w14:textId="77777777" w:rsidR="00A77481" w:rsidRPr="0044150C" w:rsidRDefault="00A77481" w:rsidP="00A77481">
      <w:pPr>
        <w:pStyle w:val="a9"/>
        <w:rPr>
          <w:rFonts w:ascii="Arial" w:hAnsi="Arial" w:cs="Arial"/>
          <w:sz w:val="24"/>
          <w:szCs w:val="24"/>
          <w:lang w:val="en-GB"/>
        </w:rPr>
      </w:pPr>
    </w:p>
    <w:p w14:paraId="4E4C764E" w14:textId="73F33E5D" w:rsidR="00354C68" w:rsidRPr="0044150C" w:rsidRDefault="00E7126F" w:rsidP="00A77481">
      <w:pPr>
        <w:pStyle w:val="a9"/>
        <w:widowControl w:val="0"/>
        <w:numPr>
          <w:ilvl w:val="0"/>
          <w:numId w:val="1"/>
        </w:numPr>
        <w:tabs>
          <w:tab w:val="left" w:pos="917"/>
        </w:tabs>
        <w:autoSpaceDE w:val="0"/>
        <w:autoSpaceDN w:val="0"/>
        <w:ind w:right="-46" w:hanging="644"/>
        <w:contextualSpacing w:val="0"/>
        <w:rPr>
          <w:rFonts w:ascii="Arial" w:hAnsi="Arial" w:cs="Arial"/>
          <w:sz w:val="24"/>
          <w:szCs w:val="24"/>
          <w:lang w:val="en-GB"/>
        </w:rPr>
      </w:pPr>
      <w:r w:rsidRPr="0044150C">
        <w:rPr>
          <w:rFonts w:ascii="Arial" w:hAnsi="Arial" w:cs="Arial"/>
          <w:sz w:val="24"/>
          <w:szCs w:val="24"/>
          <w:lang w:val="en-GB"/>
        </w:rPr>
        <w:t>In sum, the investigation of</w:t>
      </w:r>
      <w:r w:rsidR="00012F3A" w:rsidRPr="0044150C">
        <w:rPr>
          <w:rFonts w:ascii="Arial" w:hAnsi="Arial" w:cs="Arial"/>
          <w:sz w:val="24"/>
          <w:szCs w:val="24"/>
          <w:lang w:val="en-GB"/>
        </w:rPr>
        <w:t xml:space="preserve"> this program</w:t>
      </w:r>
      <w:r w:rsidRPr="0044150C">
        <w:rPr>
          <w:rFonts w:ascii="Arial" w:hAnsi="Arial" w:cs="Arial"/>
          <w:sz w:val="24"/>
          <w:szCs w:val="24"/>
          <w:lang w:val="en-GB"/>
        </w:rPr>
        <w:t xml:space="preserve"> will be in violation of Article 11.3 of the SCM Agreement.</w:t>
      </w:r>
      <w:bookmarkEnd w:id="40"/>
    </w:p>
    <w:p w14:paraId="04B6ED6A" w14:textId="1F95564A" w:rsidR="00E7126F" w:rsidRPr="0044150C" w:rsidRDefault="00E7126F" w:rsidP="0038092C">
      <w:pPr>
        <w:rPr>
          <w:rFonts w:ascii="Arial" w:hAnsi="Arial" w:cs="Arial"/>
          <w:sz w:val="24"/>
          <w:szCs w:val="24"/>
          <w:lang w:val="en-GB"/>
        </w:rPr>
      </w:pPr>
    </w:p>
    <w:p w14:paraId="3F1C0FDA" w14:textId="053BCF82" w:rsidR="00985587" w:rsidRPr="0044150C" w:rsidRDefault="00985587" w:rsidP="00985587">
      <w:pPr>
        <w:pStyle w:val="3"/>
        <w:spacing w:before="0"/>
        <w:rPr>
          <w:rFonts w:ascii="Arial" w:eastAsiaTheme="minorEastAsia" w:hAnsi="Arial" w:cs="Arial"/>
          <w:b/>
          <w:bCs/>
          <w:color w:val="auto"/>
          <w:lang w:val="en-GB"/>
        </w:rPr>
      </w:pPr>
      <w:bookmarkStart w:id="41" w:name="_Toc226652296"/>
      <w:r w:rsidRPr="0044150C">
        <w:rPr>
          <w:rFonts w:ascii="Arial" w:eastAsiaTheme="minorEastAsia" w:hAnsi="Arial" w:cs="Arial"/>
          <w:b/>
          <w:bCs/>
          <w:color w:val="auto"/>
          <w:lang w:val="en-GB"/>
        </w:rPr>
        <w:t>Alleged bank acceptance drafts</w:t>
      </w:r>
      <w:bookmarkEnd w:id="41"/>
    </w:p>
    <w:p w14:paraId="239F5D6D" w14:textId="77777777" w:rsidR="002777F2" w:rsidRPr="0044150C" w:rsidRDefault="002777F2" w:rsidP="002777F2">
      <w:pPr>
        <w:rPr>
          <w:rFonts w:ascii="Arial" w:hAnsi="Arial" w:cs="Arial"/>
          <w:sz w:val="24"/>
          <w:szCs w:val="24"/>
          <w:lang w:val="en-GB"/>
        </w:rPr>
      </w:pPr>
    </w:p>
    <w:p w14:paraId="0AB42493" w14:textId="37DBE0F2" w:rsidR="000C0EA3" w:rsidRPr="0044150C" w:rsidRDefault="002777F2" w:rsidP="00A77481">
      <w:pPr>
        <w:pStyle w:val="a9"/>
        <w:widowControl w:val="0"/>
        <w:numPr>
          <w:ilvl w:val="0"/>
          <w:numId w:val="1"/>
        </w:numPr>
        <w:tabs>
          <w:tab w:val="left" w:pos="917"/>
        </w:tabs>
        <w:autoSpaceDE w:val="0"/>
        <w:autoSpaceDN w:val="0"/>
        <w:ind w:right="95" w:hanging="644"/>
        <w:rPr>
          <w:rFonts w:ascii="Arial" w:hAnsi="Arial" w:cs="Arial"/>
          <w:sz w:val="24"/>
          <w:szCs w:val="24"/>
          <w:lang w:val="en-GB"/>
        </w:rPr>
      </w:pPr>
      <w:r w:rsidRPr="0044150C">
        <w:rPr>
          <w:rFonts w:ascii="Arial" w:hAnsi="Arial" w:cs="Arial"/>
          <w:sz w:val="24"/>
          <w:szCs w:val="24"/>
          <w:lang w:val="en-GB"/>
        </w:rPr>
        <w:t xml:space="preserve">According to the Applicant, Chinese boom lift producers were subsidized through the </w:t>
      </w:r>
      <w:r w:rsidR="004D0564" w:rsidRPr="0044150C">
        <w:rPr>
          <w:rFonts w:ascii="Arial" w:hAnsi="Arial" w:cs="Arial"/>
          <w:sz w:val="24"/>
          <w:szCs w:val="24"/>
          <w:lang w:val="en-GB"/>
        </w:rPr>
        <w:t>bank acceptance drafts</w:t>
      </w:r>
      <w:r w:rsidR="002E2D17" w:rsidRPr="0044150C">
        <w:rPr>
          <w:rFonts w:ascii="Arial" w:hAnsi="Arial" w:cs="Arial"/>
          <w:sz w:val="24"/>
          <w:szCs w:val="24"/>
          <w:lang w:val="en-GB"/>
        </w:rPr>
        <w:t xml:space="preserve"> (BADs)</w:t>
      </w:r>
      <w:r w:rsidRPr="0044150C">
        <w:rPr>
          <w:rFonts w:ascii="Arial" w:hAnsi="Arial" w:cs="Arial"/>
          <w:sz w:val="24"/>
          <w:szCs w:val="24"/>
          <w:lang w:val="en-GB"/>
        </w:rPr>
        <w:t>.</w:t>
      </w:r>
      <w:r w:rsidR="00F675AB" w:rsidRPr="0044150C">
        <w:rPr>
          <w:rFonts w:ascii="Arial" w:hAnsi="Arial" w:cs="Arial"/>
          <w:sz w:val="24"/>
          <w:szCs w:val="24"/>
          <w:lang w:val="en-GB"/>
        </w:rPr>
        <w:t xml:space="preserve"> The Applicant alleges that bank acceptance drafts are utilised by encouraged industries such as construction machinery to defer cash payment for several months, preserving liquidity in the company. The Applicant further alleges that, although nominal concessions may apply, recipients do not bear financing costs equivalent to normal short-term borrowing</w:t>
      </w:r>
      <w:r w:rsidR="000C0EA3" w:rsidRPr="0044150C">
        <w:rPr>
          <w:rFonts w:ascii="Arial" w:hAnsi="Arial" w:cs="Arial"/>
          <w:sz w:val="24"/>
          <w:szCs w:val="24"/>
          <w:lang w:val="en-GB"/>
        </w:rPr>
        <w:t xml:space="preserve">, and requests the TRA to calculate the benefit received by the Chinese exporting producers using a calculation methodology proposed by it. </w:t>
      </w:r>
    </w:p>
    <w:p w14:paraId="09517AD6" w14:textId="77777777" w:rsidR="009C43AD" w:rsidRPr="0044150C" w:rsidRDefault="009C43AD" w:rsidP="009C43AD">
      <w:pPr>
        <w:pStyle w:val="a9"/>
        <w:widowControl w:val="0"/>
        <w:tabs>
          <w:tab w:val="left" w:pos="917"/>
        </w:tabs>
        <w:autoSpaceDE w:val="0"/>
        <w:autoSpaceDN w:val="0"/>
        <w:ind w:left="644" w:right="95"/>
        <w:rPr>
          <w:rFonts w:ascii="Arial" w:hAnsi="Arial" w:cs="Arial"/>
          <w:sz w:val="24"/>
          <w:szCs w:val="24"/>
          <w:lang w:val="en-GB"/>
        </w:rPr>
      </w:pPr>
    </w:p>
    <w:p w14:paraId="7715DF27" w14:textId="15E20BD5" w:rsidR="002777F2" w:rsidRPr="0044150C" w:rsidRDefault="00984B70" w:rsidP="00A77481">
      <w:pPr>
        <w:pStyle w:val="a9"/>
        <w:widowControl w:val="0"/>
        <w:numPr>
          <w:ilvl w:val="0"/>
          <w:numId w:val="1"/>
        </w:numPr>
        <w:tabs>
          <w:tab w:val="left" w:pos="917"/>
        </w:tabs>
        <w:autoSpaceDE w:val="0"/>
        <w:autoSpaceDN w:val="0"/>
        <w:ind w:right="95" w:hanging="644"/>
        <w:contextualSpacing w:val="0"/>
        <w:rPr>
          <w:rFonts w:ascii="Arial" w:hAnsi="Arial" w:cs="Arial"/>
          <w:sz w:val="24"/>
          <w:szCs w:val="24"/>
          <w:lang w:val="en-GB"/>
        </w:rPr>
      </w:pPr>
      <w:r w:rsidRPr="0044150C">
        <w:rPr>
          <w:rFonts w:ascii="Arial" w:hAnsi="Arial" w:cs="Arial"/>
          <w:sz w:val="24"/>
          <w:szCs w:val="24"/>
          <w:lang w:val="en-GB"/>
        </w:rPr>
        <w:t>The GOC strongly disagrees with the Applicant’s baseless allegation and proposed methodology.</w:t>
      </w:r>
      <w:r w:rsidR="001D6CE8" w:rsidRPr="0044150C">
        <w:rPr>
          <w:rFonts w:ascii="Arial" w:hAnsi="Arial" w:cs="Arial"/>
          <w:sz w:val="24"/>
          <w:szCs w:val="24"/>
          <w:lang w:val="en-GB"/>
        </w:rPr>
        <w:t xml:space="preserve"> The Application provides no evidence regarding the existence of such subsidy, nor the benefit to the exporting producers of boom </w:t>
      </w:r>
      <w:r w:rsidR="001D6CE8" w:rsidRPr="0044150C">
        <w:rPr>
          <w:rFonts w:ascii="Arial" w:hAnsi="Arial" w:cs="Arial"/>
          <w:sz w:val="24"/>
          <w:szCs w:val="24"/>
          <w:lang w:val="en-GB"/>
        </w:rPr>
        <w:lastRenderedPageBreak/>
        <w:t xml:space="preserve">lift and specificity. </w:t>
      </w:r>
      <w:r w:rsidR="002E2D17" w:rsidRPr="0044150C">
        <w:rPr>
          <w:rFonts w:ascii="Arial" w:hAnsi="Arial" w:cs="Arial"/>
          <w:sz w:val="24"/>
          <w:szCs w:val="24"/>
          <w:lang w:val="en-GB"/>
        </w:rPr>
        <w:t xml:space="preserve">Indeed, the Applicant admits that it did not submit evidence of key information concerning the contractual term of each BAD, actual length of the term and the interest rates. Its allegation that “encouraged industries such as construction machinery” can “defer cash payment for several months, preserving liquidity in the company” is completely groundless and not supported by any factual evidence. </w:t>
      </w:r>
      <w:r w:rsidR="00447080" w:rsidRPr="0044150C">
        <w:rPr>
          <w:rFonts w:ascii="Arial" w:hAnsi="Arial" w:cs="Arial"/>
          <w:sz w:val="24"/>
          <w:szCs w:val="24"/>
          <w:lang w:val="en-GB"/>
        </w:rPr>
        <w:t>Moreover, as the GOC has stated in above section 3.2, boom lifts industry is not an “encouraged” industry and hence, even if such subsidy program allegedly exists, boom lifts producers would not be able to benefit from it.</w:t>
      </w:r>
    </w:p>
    <w:p w14:paraId="60764076" w14:textId="77777777" w:rsidR="009C43AD" w:rsidRPr="0044150C" w:rsidRDefault="009C43AD" w:rsidP="009C43AD">
      <w:pPr>
        <w:pStyle w:val="a9"/>
        <w:rPr>
          <w:rFonts w:ascii="Arial" w:hAnsi="Arial" w:cs="Arial"/>
          <w:sz w:val="24"/>
          <w:szCs w:val="24"/>
          <w:lang w:val="en-GB"/>
        </w:rPr>
      </w:pPr>
    </w:p>
    <w:p w14:paraId="1BECA4AD" w14:textId="77777777" w:rsidR="009C43AD" w:rsidRPr="0044150C" w:rsidRDefault="009C43AD" w:rsidP="009C43AD">
      <w:pPr>
        <w:pStyle w:val="a9"/>
        <w:widowControl w:val="0"/>
        <w:tabs>
          <w:tab w:val="left" w:pos="917"/>
        </w:tabs>
        <w:autoSpaceDE w:val="0"/>
        <w:autoSpaceDN w:val="0"/>
        <w:ind w:left="644" w:right="95"/>
        <w:contextualSpacing w:val="0"/>
        <w:rPr>
          <w:rFonts w:ascii="Arial" w:hAnsi="Arial" w:cs="Arial"/>
          <w:sz w:val="24"/>
          <w:szCs w:val="24"/>
          <w:lang w:val="en-GB"/>
        </w:rPr>
      </w:pPr>
    </w:p>
    <w:p w14:paraId="7E376031" w14:textId="1DB6D133" w:rsidR="00447080" w:rsidRPr="0044150C" w:rsidRDefault="00447080" w:rsidP="00A77481">
      <w:pPr>
        <w:pStyle w:val="a9"/>
        <w:widowControl w:val="0"/>
        <w:numPr>
          <w:ilvl w:val="0"/>
          <w:numId w:val="1"/>
        </w:numPr>
        <w:autoSpaceDE w:val="0"/>
        <w:autoSpaceDN w:val="0"/>
        <w:ind w:right="95" w:hanging="644"/>
        <w:contextualSpacing w:val="0"/>
        <w:rPr>
          <w:rFonts w:ascii="Arial" w:hAnsi="Arial" w:cs="Arial"/>
          <w:sz w:val="24"/>
          <w:szCs w:val="24"/>
          <w:lang w:val="en-GB"/>
        </w:rPr>
      </w:pPr>
      <w:r w:rsidRPr="0044150C">
        <w:rPr>
          <w:rFonts w:ascii="Arial" w:hAnsi="Arial" w:cs="Arial"/>
          <w:sz w:val="24"/>
          <w:szCs w:val="24"/>
          <w:lang w:val="en-GB"/>
        </w:rPr>
        <w:t>In sum, the Application provides no evidence regarding the existence of this subsidy, nor benefit to the exporting producers of boom lift and specificity. Therefore, any investigation of this alleged program is inconsistent with Articles 11.2 and 11.3 of the SCM Agreement.</w:t>
      </w:r>
    </w:p>
    <w:p w14:paraId="63EDF90D" w14:textId="77777777" w:rsidR="00985587" w:rsidRPr="0044150C" w:rsidRDefault="00985587" w:rsidP="00985587">
      <w:pPr>
        <w:rPr>
          <w:rFonts w:ascii="Arial" w:hAnsi="Arial" w:cs="Arial"/>
          <w:sz w:val="24"/>
          <w:szCs w:val="24"/>
          <w:lang w:val="en-GB"/>
        </w:rPr>
      </w:pPr>
    </w:p>
    <w:p w14:paraId="7DD7BE4A" w14:textId="58AC2361" w:rsidR="005B7DE9" w:rsidRPr="0044150C" w:rsidRDefault="00A8371D" w:rsidP="00673F74">
      <w:pPr>
        <w:pStyle w:val="2"/>
        <w:ind w:left="720" w:hanging="720"/>
        <w:rPr>
          <w:lang w:val="en-GB"/>
        </w:rPr>
      </w:pPr>
      <w:hyperlink w:anchor="_bookmark14" w:history="1">
        <w:bookmarkStart w:id="42" w:name="_Toc226652297"/>
        <w:r w:rsidR="005B7DE9" w:rsidRPr="0044150C">
          <w:rPr>
            <w:lang w:val="en-GB"/>
          </w:rPr>
          <w:t>Alleged provision of goods and services at less than adequate remuneration</w:t>
        </w:r>
        <w:bookmarkEnd w:id="42"/>
      </w:hyperlink>
    </w:p>
    <w:p w14:paraId="39F78214" w14:textId="77777777" w:rsidR="0038092C" w:rsidRPr="0044150C" w:rsidRDefault="0038092C" w:rsidP="0038092C">
      <w:pPr>
        <w:rPr>
          <w:rFonts w:ascii="Arial" w:hAnsi="Arial" w:cs="Arial"/>
          <w:b/>
          <w:bCs/>
          <w:sz w:val="24"/>
          <w:szCs w:val="24"/>
          <w:lang w:val="en-GB"/>
        </w:rPr>
      </w:pPr>
    </w:p>
    <w:p w14:paraId="42BDA0A1" w14:textId="6B5035DE" w:rsidR="0038092C" w:rsidRPr="0044150C" w:rsidDel="00B43638" w:rsidRDefault="0038092C" w:rsidP="0038092C">
      <w:pPr>
        <w:pStyle w:val="3"/>
        <w:spacing w:before="0"/>
        <w:rPr>
          <w:rFonts w:ascii="Arial" w:eastAsiaTheme="minorEastAsia" w:hAnsi="Arial" w:cs="Arial"/>
          <w:b/>
          <w:bCs/>
          <w:color w:val="auto"/>
          <w:lang w:val="en-GB"/>
        </w:rPr>
      </w:pPr>
      <w:bookmarkStart w:id="43" w:name="_Toc226652298"/>
      <w:r w:rsidRPr="0044150C" w:rsidDel="00B43638">
        <w:rPr>
          <w:rFonts w:ascii="Arial" w:eastAsia="Times New Roman" w:hAnsi="Arial" w:cs="Arial"/>
          <w:b/>
          <w:bCs/>
          <w:color w:val="auto"/>
          <w:lang w:val="en-GB" w:eastAsia="en-US"/>
        </w:rPr>
        <w:t>Alleged provision of land-use rights at LTAR</w:t>
      </w:r>
      <w:bookmarkEnd w:id="43"/>
      <w:r w:rsidRPr="0044150C" w:rsidDel="00B43638">
        <w:rPr>
          <w:rFonts w:ascii="Arial" w:eastAsia="Times New Roman" w:hAnsi="Arial" w:cs="Arial"/>
          <w:b/>
          <w:bCs/>
          <w:color w:val="auto"/>
          <w:lang w:val="en-GB" w:eastAsia="en-US"/>
        </w:rPr>
        <w:t xml:space="preserve"> </w:t>
      </w:r>
    </w:p>
    <w:p w14:paraId="1D503AE2" w14:textId="28F9B41D" w:rsidR="00204111" w:rsidRPr="0044150C" w:rsidDel="00B43638" w:rsidRDefault="00204111" w:rsidP="00204111">
      <w:pPr>
        <w:rPr>
          <w:rFonts w:ascii="Arial" w:hAnsi="Arial" w:cs="Arial"/>
          <w:sz w:val="24"/>
          <w:szCs w:val="24"/>
          <w:lang w:val="en-GB"/>
        </w:rPr>
      </w:pPr>
    </w:p>
    <w:p w14:paraId="57459602" w14:textId="5CF96FA0" w:rsidR="00204111" w:rsidRPr="0044150C" w:rsidDel="00B43638" w:rsidRDefault="00204111" w:rsidP="00A77481">
      <w:pPr>
        <w:pStyle w:val="a9"/>
        <w:widowControl w:val="0"/>
        <w:numPr>
          <w:ilvl w:val="0"/>
          <w:numId w:val="1"/>
        </w:numPr>
        <w:tabs>
          <w:tab w:val="left" w:pos="917"/>
        </w:tabs>
        <w:autoSpaceDE w:val="0"/>
        <w:autoSpaceDN w:val="0"/>
        <w:ind w:right="95" w:hanging="644"/>
        <w:contextualSpacing w:val="0"/>
        <w:rPr>
          <w:rFonts w:ascii="Arial" w:hAnsi="Arial" w:cs="Arial"/>
          <w:sz w:val="24"/>
          <w:szCs w:val="24"/>
          <w:lang w:val="en-GB"/>
        </w:rPr>
      </w:pPr>
      <w:r w:rsidRPr="0044150C" w:rsidDel="00B43638">
        <w:rPr>
          <w:rFonts w:ascii="Arial" w:hAnsi="Arial" w:cs="Arial"/>
          <w:sz w:val="24"/>
          <w:szCs w:val="24"/>
          <w:lang w:val="en-GB"/>
        </w:rPr>
        <w:t xml:space="preserve">According to the Applicant, Chinese </w:t>
      </w:r>
      <w:r w:rsidR="009C3948" w:rsidRPr="0044150C" w:rsidDel="00B43638">
        <w:rPr>
          <w:rFonts w:ascii="Arial" w:hAnsi="Arial" w:cs="Arial"/>
          <w:sz w:val="24"/>
          <w:szCs w:val="24"/>
          <w:lang w:val="en-GB"/>
        </w:rPr>
        <w:t>boom lift</w:t>
      </w:r>
      <w:r w:rsidRPr="0044150C" w:rsidDel="00B43638">
        <w:rPr>
          <w:rFonts w:ascii="Arial" w:hAnsi="Arial" w:cs="Arial"/>
          <w:sz w:val="24"/>
          <w:szCs w:val="24"/>
          <w:lang w:val="en-GB"/>
        </w:rPr>
        <w:t xml:space="preserve"> producers were subsidized through the provision of land-use rights (“LURs”) by the GOC </w:t>
      </w:r>
      <w:r w:rsidR="00FD47B0" w:rsidRPr="0044150C" w:rsidDel="00B43638">
        <w:rPr>
          <w:rFonts w:ascii="Arial" w:hAnsi="Arial" w:cs="Arial"/>
          <w:sz w:val="24"/>
          <w:szCs w:val="24"/>
          <w:lang w:val="en-GB"/>
        </w:rPr>
        <w:t>for</w:t>
      </w:r>
      <w:r w:rsidRPr="0044150C" w:rsidDel="00B43638">
        <w:rPr>
          <w:rFonts w:ascii="Arial" w:hAnsi="Arial" w:cs="Arial"/>
          <w:sz w:val="24"/>
          <w:szCs w:val="24"/>
          <w:lang w:val="en-GB"/>
        </w:rPr>
        <w:t xml:space="preserve"> less than adequate remuneration(“LTAR”).</w:t>
      </w:r>
      <w:r w:rsidRPr="0044150C" w:rsidDel="00B43638">
        <w:rPr>
          <w:rFonts w:ascii="Arial" w:hAnsi="Arial" w:cs="Arial"/>
          <w:spacing w:val="-5"/>
          <w:sz w:val="24"/>
          <w:szCs w:val="24"/>
          <w:lang w:val="en-GB"/>
        </w:rPr>
        <w:t xml:space="preserve"> </w:t>
      </w:r>
      <w:r w:rsidR="00FD47B0" w:rsidRPr="0044150C" w:rsidDel="00B43638">
        <w:rPr>
          <w:rFonts w:ascii="Arial" w:hAnsi="Arial" w:cs="Arial"/>
          <w:spacing w:val="-5"/>
          <w:sz w:val="24"/>
          <w:szCs w:val="24"/>
          <w:lang w:val="en-GB"/>
        </w:rPr>
        <w:t>T</w:t>
      </w:r>
      <w:r w:rsidR="00FD47B0" w:rsidRPr="0044150C" w:rsidDel="00B43638">
        <w:rPr>
          <w:rFonts w:ascii="Arial" w:hAnsi="Arial" w:cs="Arial"/>
          <w:sz w:val="24"/>
          <w:szCs w:val="24"/>
          <w:lang w:val="en-GB"/>
        </w:rPr>
        <w:t>he Applicant alleges that land use in the PRC is not governed by market principles and instead effectively supplied to enterprises by the State. Land-use rights are granted to companies in line with national industrial policies. Furthermore,</w:t>
      </w:r>
      <w:r w:rsidR="00FD47B0" w:rsidRPr="0044150C" w:rsidDel="00B43638">
        <w:rPr>
          <w:rFonts w:ascii="Arial" w:hAnsi="Arial" w:cs="Arial"/>
          <w:spacing w:val="-9"/>
          <w:sz w:val="24"/>
          <w:szCs w:val="24"/>
          <w:lang w:val="en-GB"/>
        </w:rPr>
        <w:t xml:space="preserve"> i</w:t>
      </w:r>
      <w:r w:rsidR="00FD47B0" w:rsidRPr="0044150C" w:rsidDel="00B43638">
        <w:rPr>
          <w:rFonts w:ascii="Arial" w:hAnsi="Arial" w:cs="Arial"/>
          <w:sz w:val="24"/>
          <w:szCs w:val="24"/>
          <w:lang w:val="en-GB"/>
        </w:rPr>
        <w:t>t alleged that MAE producers, as part of an encouraged industry, benefit from below-market land-use rights from local governments.</w:t>
      </w:r>
    </w:p>
    <w:p w14:paraId="2398AEFC" w14:textId="4B9A1C5D" w:rsidR="00204111" w:rsidRPr="0044150C" w:rsidDel="00B43638" w:rsidRDefault="00204111" w:rsidP="00A77481">
      <w:pPr>
        <w:pStyle w:val="a9"/>
        <w:widowControl w:val="0"/>
        <w:numPr>
          <w:ilvl w:val="0"/>
          <w:numId w:val="1"/>
        </w:numPr>
        <w:tabs>
          <w:tab w:val="left" w:pos="917"/>
        </w:tabs>
        <w:autoSpaceDE w:val="0"/>
        <w:autoSpaceDN w:val="0"/>
        <w:spacing w:before="242"/>
        <w:ind w:right="95" w:hanging="644"/>
        <w:contextualSpacing w:val="0"/>
        <w:rPr>
          <w:rFonts w:ascii="Arial" w:hAnsi="Arial" w:cs="Arial"/>
          <w:sz w:val="24"/>
          <w:szCs w:val="24"/>
          <w:lang w:val="en-GB"/>
        </w:rPr>
      </w:pPr>
      <w:r w:rsidRPr="0044150C" w:rsidDel="00B43638">
        <w:rPr>
          <w:rFonts w:ascii="Arial" w:hAnsi="Arial" w:cs="Arial"/>
          <w:sz w:val="24"/>
          <w:szCs w:val="24"/>
          <w:lang w:val="en-GB"/>
        </w:rPr>
        <w:t xml:space="preserve">The GOC submits that the provision of LURs does not constitute a subsidy and that, </w:t>
      </w:r>
      <w:r w:rsidR="00FD47B0" w:rsidRPr="0044150C" w:rsidDel="00B43638">
        <w:rPr>
          <w:rFonts w:ascii="Arial" w:hAnsi="Arial" w:cs="Arial"/>
          <w:sz w:val="24"/>
          <w:szCs w:val="24"/>
          <w:lang w:val="en-GB"/>
        </w:rPr>
        <w:t xml:space="preserve">again, neither MAE </w:t>
      </w:r>
      <w:r w:rsidR="00113B50" w:rsidRPr="0044150C" w:rsidDel="00B43638">
        <w:rPr>
          <w:rFonts w:ascii="Arial" w:hAnsi="Arial" w:cs="Arial"/>
          <w:sz w:val="24"/>
          <w:szCs w:val="24"/>
          <w:lang w:val="en-GB"/>
        </w:rPr>
        <w:t>n</w:t>
      </w:r>
      <w:r w:rsidR="00FD47B0" w:rsidRPr="0044150C" w:rsidDel="00B43638">
        <w:rPr>
          <w:rFonts w:ascii="Arial" w:hAnsi="Arial" w:cs="Arial"/>
          <w:sz w:val="24"/>
          <w:szCs w:val="24"/>
          <w:lang w:val="en-GB"/>
        </w:rPr>
        <w:t>or boom lift is an “encouraged” industry, and</w:t>
      </w:r>
      <w:r w:rsidR="0055776B" w:rsidRPr="0044150C" w:rsidDel="00B43638">
        <w:rPr>
          <w:rFonts w:ascii="Arial" w:hAnsi="Arial" w:cs="Arial"/>
          <w:sz w:val="24"/>
          <w:szCs w:val="24"/>
          <w:lang w:val="en-GB"/>
        </w:rPr>
        <w:t xml:space="preserve"> China’s </w:t>
      </w:r>
      <w:r w:rsidR="0055776B" w:rsidRPr="0044150C" w:rsidDel="00B43638">
        <w:rPr>
          <w:rFonts w:ascii="Arial" w:hAnsi="Arial" w:cs="Arial"/>
          <w:sz w:val="24"/>
          <w:szCs w:val="24"/>
          <w:lang w:val="en-GB"/>
        </w:rPr>
        <w:lastRenderedPageBreak/>
        <w:t>Land use rights are transferred through bidding, auction, or quotation governed by market principles</w:t>
      </w:r>
      <w:r w:rsidRPr="0044150C" w:rsidDel="00B43638">
        <w:rPr>
          <w:rFonts w:ascii="Arial" w:hAnsi="Arial" w:cs="Arial"/>
          <w:sz w:val="24"/>
          <w:szCs w:val="24"/>
          <w:lang w:val="en-GB"/>
        </w:rPr>
        <w:t>.</w:t>
      </w:r>
    </w:p>
    <w:p w14:paraId="337DBCC2" w14:textId="723EF6AC" w:rsidR="00204111" w:rsidRPr="0044150C" w:rsidDel="00B43638" w:rsidRDefault="00204111" w:rsidP="00204111">
      <w:pPr>
        <w:pStyle w:val="a7"/>
        <w:spacing w:before="10"/>
        <w:ind w:right="95" w:hanging="1058"/>
        <w:rPr>
          <w:rFonts w:ascii="Arial" w:hAnsi="Arial" w:cs="Arial"/>
          <w:sz w:val="24"/>
          <w:szCs w:val="24"/>
        </w:rPr>
      </w:pPr>
    </w:p>
    <w:p w14:paraId="79BF35B1" w14:textId="78137584" w:rsidR="00204111" w:rsidRPr="0044150C" w:rsidDel="00B43638" w:rsidRDefault="00204111" w:rsidP="00A77481">
      <w:pPr>
        <w:pStyle w:val="a9"/>
        <w:widowControl w:val="0"/>
        <w:numPr>
          <w:ilvl w:val="0"/>
          <w:numId w:val="1"/>
        </w:numPr>
        <w:tabs>
          <w:tab w:val="left" w:pos="917"/>
        </w:tabs>
        <w:autoSpaceDE w:val="0"/>
        <w:autoSpaceDN w:val="0"/>
        <w:ind w:right="95" w:hanging="644"/>
        <w:contextualSpacing w:val="0"/>
        <w:rPr>
          <w:rFonts w:ascii="Arial" w:hAnsi="Arial" w:cs="Arial"/>
          <w:sz w:val="24"/>
          <w:szCs w:val="24"/>
          <w:lang w:val="en-GB"/>
        </w:rPr>
      </w:pPr>
      <w:r w:rsidRPr="0044150C" w:rsidDel="00B43638">
        <w:rPr>
          <w:rFonts w:ascii="Arial" w:hAnsi="Arial" w:cs="Arial"/>
          <w:sz w:val="24"/>
          <w:szCs w:val="24"/>
          <w:lang w:val="en-GB"/>
        </w:rPr>
        <w:t>First,</w:t>
      </w:r>
      <w:r w:rsidRPr="0044150C" w:rsidDel="00B43638">
        <w:rPr>
          <w:rFonts w:ascii="Arial" w:hAnsi="Arial" w:cs="Arial"/>
          <w:spacing w:val="-16"/>
          <w:sz w:val="24"/>
          <w:szCs w:val="24"/>
          <w:lang w:val="en-GB"/>
        </w:rPr>
        <w:t xml:space="preserve"> </w:t>
      </w:r>
      <w:r w:rsidRPr="0044150C" w:rsidDel="00B43638">
        <w:rPr>
          <w:rFonts w:ascii="Arial" w:hAnsi="Arial" w:cs="Arial"/>
          <w:sz w:val="24"/>
          <w:szCs w:val="24"/>
          <w:lang w:val="en-GB"/>
        </w:rPr>
        <w:t xml:space="preserve">LURs are transferred by public bidding, quotation, or auction in accordance with Land Administration </w:t>
      </w:r>
      <w:r w:rsidRPr="0044150C" w:rsidDel="00B43638">
        <w:rPr>
          <w:rFonts w:ascii="Arial" w:hAnsi="Arial" w:cs="Arial"/>
          <w:spacing w:val="-4"/>
          <w:sz w:val="24"/>
          <w:szCs w:val="24"/>
          <w:lang w:val="en-GB"/>
        </w:rPr>
        <w:t xml:space="preserve">Law. </w:t>
      </w:r>
      <w:r w:rsidRPr="0044150C" w:rsidDel="00B43638">
        <w:rPr>
          <w:rFonts w:ascii="Arial" w:hAnsi="Arial" w:cs="Arial"/>
          <w:sz w:val="24"/>
          <w:szCs w:val="24"/>
          <w:lang w:val="en-GB"/>
        </w:rPr>
        <w:t>Indeed, pursuant to Article 347 of the Civil Code of the People’s Republic of</w:t>
      </w:r>
      <w:r w:rsidRPr="0044150C" w:rsidDel="00B43638">
        <w:rPr>
          <w:rFonts w:ascii="Arial" w:hAnsi="Arial" w:cs="Arial"/>
          <w:spacing w:val="-2"/>
          <w:sz w:val="24"/>
          <w:szCs w:val="24"/>
          <w:lang w:val="en-GB"/>
        </w:rPr>
        <w:t xml:space="preserve"> </w:t>
      </w:r>
      <w:r w:rsidRPr="0044150C" w:rsidDel="00B43638">
        <w:rPr>
          <w:rFonts w:ascii="Arial" w:hAnsi="Arial" w:cs="Arial"/>
          <w:sz w:val="24"/>
          <w:szCs w:val="24"/>
          <w:lang w:val="en-GB"/>
        </w:rPr>
        <w:t>China:</w:t>
      </w:r>
    </w:p>
    <w:p w14:paraId="20E392EC" w14:textId="629B8223" w:rsidR="0038092C" w:rsidRPr="0044150C" w:rsidDel="00B43638" w:rsidRDefault="00204111" w:rsidP="00672C19">
      <w:pPr>
        <w:ind w:left="1440" w:right="95"/>
        <w:rPr>
          <w:rFonts w:ascii="Arial" w:hAnsi="Arial" w:cs="Arial"/>
          <w:i/>
          <w:sz w:val="24"/>
          <w:szCs w:val="24"/>
          <w:lang w:val="en-GB"/>
        </w:rPr>
      </w:pPr>
      <w:r w:rsidRPr="0044150C" w:rsidDel="00B43638">
        <w:rPr>
          <w:rFonts w:ascii="Arial" w:hAnsi="Arial" w:cs="Arial"/>
          <w:sz w:val="24"/>
          <w:szCs w:val="24"/>
          <w:lang w:val="en-GB"/>
        </w:rPr>
        <w:t>“</w:t>
      </w:r>
      <w:r w:rsidRPr="0044150C" w:rsidDel="00B43638">
        <w:rPr>
          <w:rFonts w:ascii="Arial" w:hAnsi="Arial" w:cs="Arial"/>
          <w:i/>
          <w:sz w:val="24"/>
          <w:szCs w:val="24"/>
          <w:lang w:val="en-GB"/>
        </w:rPr>
        <w:t xml:space="preserve">[W]here land is used for industrial, commercial, tourist or entertaining purposes, as commodity residence, or for other profit-making purposes, or there </w:t>
      </w:r>
      <w:r w:rsidRPr="0044150C" w:rsidDel="00B43638">
        <w:rPr>
          <w:rFonts w:ascii="Arial" w:hAnsi="Arial" w:cs="Arial"/>
          <w:i/>
          <w:spacing w:val="-3"/>
          <w:sz w:val="24"/>
          <w:szCs w:val="24"/>
          <w:lang w:val="en-GB"/>
        </w:rPr>
        <w:t xml:space="preserve">are </w:t>
      </w:r>
      <w:r w:rsidRPr="0044150C" w:rsidDel="00B43638">
        <w:rPr>
          <w:rFonts w:ascii="Arial" w:hAnsi="Arial" w:cs="Arial"/>
          <w:i/>
          <w:sz w:val="24"/>
          <w:szCs w:val="24"/>
          <w:lang w:val="en-GB"/>
        </w:rPr>
        <w:t xml:space="preserve">two or </w:t>
      </w:r>
      <w:r w:rsidRPr="0044150C" w:rsidDel="00B43638">
        <w:rPr>
          <w:rFonts w:ascii="Arial" w:hAnsi="Arial" w:cs="Arial"/>
          <w:i/>
          <w:spacing w:val="-3"/>
          <w:sz w:val="24"/>
          <w:szCs w:val="24"/>
          <w:lang w:val="en-GB"/>
        </w:rPr>
        <w:t>more</w:t>
      </w:r>
      <w:r w:rsidRPr="0044150C" w:rsidDel="00B43638">
        <w:rPr>
          <w:rFonts w:ascii="Arial" w:hAnsi="Arial" w:cs="Arial"/>
          <w:i/>
          <w:spacing w:val="54"/>
          <w:sz w:val="24"/>
          <w:szCs w:val="24"/>
          <w:lang w:val="en-GB"/>
        </w:rPr>
        <w:t xml:space="preserve"> </w:t>
      </w:r>
      <w:r w:rsidRPr="0044150C" w:rsidDel="00B43638">
        <w:rPr>
          <w:rFonts w:ascii="Arial" w:hAnsi="Arial" w:cs="Arial"/>
          <w:i/>
          <w:sz w:val="24"/>
          <w:szCs w:val="24"/>
          <w:lang w:val="en-GB"/>
        </w:rPr>
        <w:t xml:space="preserve">persons who </w:t>
      </w:r>
      <w:r w:rsidRPr="0044150C" w:rsidDel="00B43638">
        <w:rPr>
          <w:rFonts w:ascii="Arial" w:hAnsi="Arial" w:cs="Arial"/>
          <w:i/>
          <w:spacing w:val="-4"/>
          <w:sz w:val="24"/>
          <w:szCs w:val="24"/>
          <w:lang w:val="en-GB"/>
        </w:rPr>
        <w:t xml:space="preserve">are </w:t>
      </w:r>
      <w:r w:rsidRPr="0044150C" w:rsidDel="00B43638">
        <w:rPr>
          <w:rFonts w:ascii="Arial" w:hAnsi="Arial" w:cs="Arial"/>
          <w:i/>
          <w:sz w:val="24"/>
          <w:szCs w:val="24"/>
          <w:lang w:val="en-GB"/>
        </w:rPr>
        <w:t>willing to use the same piece of land, the right to the use of land for</w:t>
      </w:r>
      <w:r w:rsidR="00672C19" w:rsidRPr="0044150C" w:rsidDel="00B43638">
        <w:rPr>
          <w:rFonts w:ascii="Arial" w:hAnsi="Arial" w:cs="Arial"/>
          <w:i/>
          <w:sz w:val="24"/>
          <w:szCs w:val="24"/>
          <w:lang w:val="en-GB"/>
        </w:rPr>
        <w:t xml:space="preserve"> construction shall be assigned through bid invitation, auction or other open bidding. The price of the land is established through market competition.”</w:t>
      </w:r>
    </w:p>
    <w:p w14:paraId="39FF7312" w14:textId="02DC5C60" w:rsidR="00672C19" w:rsidRPr="0044150C" w:rsidDel="00B43638" w:rsidRDefault="00672C19" w:rsidP="00672C19">
      <w:pPr>
        <w:ind w:right="95"/>
        <w:rPr>
          <w:rFonts w:ascii="Arial" w:hAnsi="Arial" w:cs="Arial"/>
          <w:iCs/>
          <w:sz w:val="24"/>
          <w:szCs w:val="24"/>
          <w:lang w:val="en-GB"/>
        </w:rPr>
      </w:pPr>
    </w:p>
    <w:p w14:paraId="657CF876" w14:textId="453DE3A5" w:rsidR="00672C19" w:rsidRPr="0044150C" w:rsidDel="00B43638" w:rsidRDefault="00672C19" w:rsidP="00A77481">
      <w:pPr>
        <w:pStyle w:val="a9"/>
        <w:widowControl w:val="0"/>
        <w:numPr>
          <w:ilvl w:val="0"/>
          <w:numId w:val="1"/>
        </w:numPr>
        <w:autoSpaceDE w:val="0"/>
        <w:autoSpaceDN w:val="0"/>
        <w:ind w:right="95" w:hanging="644"/>
        <w:contextualSpacing w:val="0"/>
        <w:rPr>
          <w:rFonts w:ascii="Arial" w:hAnsi="Arial" w:cs="Arial"/>
          <w:sz w:val="24"/>
          <w:szCs w:val="24"/>
          <w:lang w:val="en-GB"/>
        </w:rPr>
      </w:pPr>
      <w:r w:rsidRPr="0044150C" w:rsidDel="00B43638">
        <w:rPr>
          <w:rFonts w:ascii="Arial" w:hAnsi="Arial" w:cs="Arial"/>
          <w:sz w:val="24"/>
          <w:szCs w:val="24"/>
          <w:lang w:val="en-GB"/>
        </w:rPr>
        <w:t>Moreover, Article 3 of the Interim Regulations of the PRC Concerning the Assignment and Transfer of the Right to the Use of the State-owned Land in Urban provides</w:t>
      </w:r>
      <w:r w:rsidRPr="0044150C" w:rsidDel="00B43638">
        <w:rPr>
          <w:rFonts w:ascii="Arial" w:hAnsi="Arial" w:cs="Arial"/>
          <w:spacing w:val="-13"/>
          <w:sz w:val="24"/>
          <w:szCs w:val="24"/>
          <w:lang w:val="en-GB"/>
        </w:rPr>
        <w:t xml:space="preserve"> </w:t>
      </w:r>
      <w:r w:rsidRPr="0044150C" w:rsidDel="00B43638">
        <w:rPr>
          <w:rFonts w:ascii="Arial" w:hAnsi="Arial" w:cs="Arial"/>
          <w:sz w:val="24"/>
          <w:szCs w:val="24"/>
          <w:lang w:val="en-GB"/>
        </w:rPr>
        <w:t>that:</w:t>
      </w:r>
    </w:p>
    <w:p w14:paraId="0654B76A" w14:textId="2718C296" w:rsidR="00672C19" w:rsidRPr="0044150C" w:rsidDel="00B43638" w:rsidRDefault="00672C19" w:rsidP="00672C19">
      <w:pPr>
        <w:ind w:left="1482" w:right="-46" w:hanging="42"/>
        <w:rPr>
          <w:rFonts w:ascii="Arial" w:hAnsi="Arial" w:cs="Arial"/>
          <w:sz w:val="24"/>
          <w:szCs w:val="24"/>
          <w:lang w:val="en-GB"/>
        </w:rPr>
      </w:pPr>
      <w:r w:rsidRPr="0044150C" w:rsidDel="00B43638">
        <w:rPr>
          <w:rFonts w:ascii="Arial" w:hAnsi="Arial" w:cs="Arial"/>
          <w:sz w:val="24"/>
          <w:szCs w:val="24"/>
          <w:lang w:val="en-GB"/>
        </w:rPr>
        <w:t>“</w:t>
      </w:r>
      <w:r w:rsidRPr="0044150C" w:rsidDel="00B43638">
        <w:rPr>
          <w:rFonts w:ascii="Arial" w:hAnsi="Arial" w:cs="Arial"/>
          <w:i/>
          <w:sz w:val="24"/>
          <w:szCs w:val="24"/>
          <w:lang w:val="en-GB"/>
        </w:rPr>
        <w:t>[a]ny company, enterprise, other organization and individual within or outside the People's</w:t>
      </w:r>
      <w:r w:rsidRPr="0044150C" w:rsidDel="00B43638">
        <w:rPr>
          <w:rFonts w:ascii="Arial" w:hAnsi="Arial" w:cs="Arial"/>
          <w:i/>
          <w:spacing w:val="-7"/>
          <w:sz w:val="24"/>
          <w:szCs w:val="24"/>
          <w:lang w:val="en-GB"/>
        </w:rPr>
        <w:t xml:space="preserve"> </w:t>
      </w:r>
      <w:r w:rsidRPr="0044150C" w:rsidDel="00B43638">
        <w:rPr>
          <w:rFonts w:ascii="Arial" w:hAnsi="Arial" w:cs="Arial"/>
          <w:i/>
          <w:sz w:val="24"/>
          <w:szCs w:val="24"/>
          <w:lang w:val="en-GB"/>
        </w:rPr>
        <w:t>Republic</w:t>
      </w:r>
      <w:r w:rsidRPr="0044150C" w:rsidDel="00B43638">
        <w:rPr>
          <w:rFonts w:ascii="Arial" w:hAnsi="Arial" w:cs="Arial"/>
          <w:i/>
          <w:spacing w:val="-7"/>
          <w:sz w:val="24"/>
          <w:szCs w:val="24"/>
          <w:lang w:val="en-GB"/>
        </w:rPr>
        <w:t xml:space="preserve"> </w:t>
      </w:r>
      <w:r w:rsidRPr="0044150C" w:rsidDel="00B43638">
        <w:rPr>
          <w:rFonts w:ascii="Arial" w:hAnsi="Arial" w:cs="Arial"/>
          <w:i/>
          <w:sz w:val="24"/>
          <w:szCs w:val="24"/>
          <w:lang w:val="en-GB"/>
        </w:rPr>
        <w:t>of</w:t>
      </w:r>
      <w:r w:rsidRPr="0044150C" w:rsidDel="00B43638">
        <w:rPr>
          <w:rFonts w:ascii="Arial" w:hAnsi="Arial" w:cs="Arial"/>
          <w:i/>
          <w:spacing w:val="-6"/>
          <w:sz w:val="24"/>
          <w:szCs w:val="24"/>
          <w:lang w:val="en-GB"/>
        </w:rPr>
        <w:t xml:space="preserve"> </w:t>
      </w:r>
      <w:r w:rsidRPr="0044150C" w:rsidDel="00B43638">
        <w:rPr>
          <w:rFonts w:ascii="Arial" w:hAnsi="Arial" w:cs="Arial"/>
          <w:i/>
          <w:sz w:val="24"/>
          <w:szCs w:val="24"/>
          <w:lang w:val="en-GB"/>
        </w:rPr>
        <w:t>China</w:t>
      </w:r>
      <w:r w:rsidRPr="0044150C" w:rsidDel="00B43638">
        <w:rPr>
          <w:rFonts w:ascii="Arial" w:hAnsi="Arial" w:cs="Arial"/>
          <w:i/>
          <w:spacing w:val="-6"/>
          <w:sz w:val="24"/>
          <w:szCs w:val="24"/>
          <w:lang w:val="en-GB"/>
        </w:rPr>
        <w:t xml:space="preserve"> </w:t>
      </w:r>
      <w:r w:rsidRPr="0044150C" w:rsidDel="00B43638">
        <w:rPr>
          <w:rFonts w:ascii="Arial" w:hAnsi="Arial" w:cs="Arial"/>
          <w:i/>
          <w:spacing w:val="-4"/>
          <w:sz w:val="24"/>
          <w:szCs w:val="24"/>
          <w:lang w:val="en-GB"/>
        </w:rPr>
        <w:t>may,</w:t>
      </w:r>
      <w:r w:rsidRPr="0044150C" w:rsidDel="00B43638">
        <w:rPr>
          <w:rFonts w:ascii="Arial" w:hAnsi="Arial" w:cs="Arial"/>
          <w:i/>
          <w:spacing w:val="-6"/>
          <w:sz w:val="24"/>
          <w:szCs w:val="24"/>
          <w:lang w:val="en-GB"/>
        </w:rPr>
        <w:t xml:space="preserve"> </w:t>
      </w:r>
      <w:r w:rsidRPr="0044150C" w:rsidDel="00B43638">
        <w:rPr>
          <w:rFonts w:ascii="Arial" w:hAnsi="Arial" w:cs="Arial"/>
          <w:i/>
          <w:sz w:val="24"/>
          <w:szCs w:val="24"/>
          <w:lang w:val="en-GB"/>
        </w:rPr>
        <w:t>unless</w:t>
      </w:r>
      <w:r w:rsidRPr="0044150C" w:rsidDel="00B43638">
        <w:rPr>
          <w:rFonts w:ascii="Arial" w:hAnsi="Arial" w:cs="Arial"/>
          <w:i/>
          <w:spacing w:val="-6"/>
          <w:sz w:val="24"/>
          <w:szCs w:val="24"/>
          <w:lang w:val="en-GB"/>
        </w:rPr>
        <w:t xml:space="preserve"> </w:t>
      </w:r>
      <w:r w:rsidRPr="0044150C" w:rsidDel="00B43638">
        <w:rPr>
          <w:rFonts w:ascii="Arial" w:hAnsi="Arial" w:cs="Arial"/>
          <w:i/>
          <w:sz w:val="24"/>
          <w:szCs w:val="24"/>
          <w:lang w:val="en-GB"/>
        </w:rPr>
        <w:t>otherwise</w:t>
      </w:r>
      <w:r w:rsidRPr="0044150C" w:rsidDel="00B43638">
        <w:rPr>
          <w:rFonts w:ascii="Arial" w:hAnsi="Arial" w:cs="Arial"/>
          <w:i/>
          <w:spacing w:val="-7"/>
          <w:sz w:val="24"/>
          <w:szCs w:val="24"/>
          <w:lang w:val="en-GB"/>
        </w:rPr>
        <w:t xml:space="preserve"> </w:t>
      </w:r>
      <w:r w:rsidRPr="0044150C" w:rsidDel="00B43638">
        <w:rPr>
          <w:rFonts w:ascii="Arial" w:hAnsi="Arial" w:cs="Arial"/>
          <w:i/>
          <w:sz w:val="24"/>
          <w:szCs w:val="24"/>
          <w:lang w:val="en-GB"/>
        </w:rPr>
        <w:t>provided</w:t>
      </w:r>
      <w:r w:rsidRPr="0044150C" w:rsidDel="00B43638">
        <w:rPr>
          <w:rFonts w:ascii="Arial" w:hAnsi="Arial" w:cs="Arial"/>
          <w:i/>
          <w:spacing w:val="-7"/>
          <w:sz w:val="24"/>
          <w:szCs w:val="24"/>
          <w:lang w:val="en-GB"/>
        </w:rPr>
        <w:t xml:space="preserve"> </w:t>
      </w:r>
      <w:r w:rsidRPr="0044150C" w:rsidDel="00B43638">
        <w:rPr>
          <w:rFonts w:ascii="Arial" w:hAnsi="Arial" w:cs="Arial"/>
          <w:i/>
          <w:sz w:val="24"/>
          <w:szCs w:val="24"/>
          <w:lang w:val="en-GB"/>
        </w:rPr>
        <w:t>by</w:t>
      </w:r>
      <w:r w:rsidRPr="0044150C" w:rsidDel="00B43638">
        <w:rPr>
          <w:rFonts w:ascii="Arial" w:hAnsi="Arial" w:cs="Arial"/>
          <w:i/>
          <w:spacing w:val="-7"/>
          <w:sz w:val="24"/>
          <w:szCs w:val="24"/>
          <w:lang w:val="en-GB"/>
        </w:rPr>
        <w:t xml:space="preserve"> </w:t>
      </w:r>
      <w:r w:rsidRPr="0044150C" w:rsidDel="00B43638">
        <w:rPr>
          <w:rFonts w:ascii="Arial" w:hAnsi="Arial" w:cs="Arial"/>
          <w:i/>
          <w:spacing w:val="-5"/>
          <w:sz w:val="24"/>
          <w:szCs w:val="24"/>
          <w:lang w:val="en-GB"/>
        </w:rPr>
        <w:t>law,</w:t>
      </w:r>
      <w:r w:rsidRPr="0044150C" w:rsidDel="00B43638">
        <w:rPr>
          <w:rFonts w:ascii="Arial" w:hAnsi="Arial" w:cs="Arial"/>
          <w:i/>
          <w:spacing w:val="-7"/>
          <w:sz w:val="24"/>
          <w:szCs w:val="24"/>
          <w:lang w:val="en-GB"/>
        </w:rPr>
        <w:t xml:space="preserve"> </w:t>
      </w:r>
      <w:r w:rsidRPr="0044150C" w:rsidDel="00B43638">
        <w:rPr>
          <w:rFonts w:ascii="Arial" w:hAnsi="Arial" w:cs="Arial"/>
          <w:i/>
          <w:sz w:val="24"/>
          <w:szCs w:val="24"/>
          <w:lang w:val="en-GB"/>
        </w:rPr>
        <w:t>obtain</w:t>
      </w:r>
      <w:r w:rsidRPr="0044150C" w:rsidDel="00B43638">
        <w:rPr>
          <w:rFonts w:ascii="Arial" w:hAnsi="Arial" w:cs="Arial"/>
          <w:i/>
          <w:spacing w:val="-6"/>
          <w:sz w:val="24"/>
          <w:szCs w:val="24"/>
          <w:lang w:val="en-GB"/>
        </w:rPr>
        <w:t xml:space="preserve"> </w:t>
      </w:r>
      <w:r w:rsidRPr="0044150C" w:rsidDel="00B43638">
        <w:rPr>
          <w:rFonts w:ascii="Arial" w:hAnsi="Arial" w:cs="Arial"/>
          <w:i/>
          <w:sz w:val="24"/>
          <w:szCs w:val="24"/>
          <w:lang w:val="en-GB"/>
        </w:rPr>
        <w:t>the</w:t>
      </w:r>
      <w:r w:rsidRPr="0044150C" w:rsidDel="00B43638">
        <w:rPr>
          <w:rFonts w:ascii="Arial" w:hAnsi="Arial" w:cs="Arial"/>
          <w:i/>
          <w:spacing w:val="-7"/>
          <w:sz w:val="24"/>
          <w:szCs w:val="24"/>
          <w:lang w:val="en-GB"/>
        </w:rPr>
        <w:t xml:space="preserve"> </w:t>
      </w:r>
      <w:r w:rsidRPr="0044150C" w:rsidDel="00B43638">
        <w:rPr>
          <w:rFonts w:ascii="Arial" w:hAnsi="Arial" w:cs="Arial"/>
          <w:i/>
          <w:sz w:val="24"/>
          <w:szCs w:val="24"/>
          <w:lang w:val="en-GB"/>
        </w:rPr>
        <w:t>right</w:t>
      </w:r>
      <w:r w:rsidRPr="0044150C" w:rsidDel="00B43638">
        <w:rPr>
          <w:rFonts w:ascii="Arial" w:hAnsi="Arial" w:cs="Arial"/>
          <w:i/>
          <w:spacing w:val="-5"/>
          <w:sz w:val="24"/>
          <w:szCs w:val="24"/>
          <w:lang w:val="en-GB"/>
        </w:rPr>
        <w:t xml:space="preserve"> </w:t>
      </w:r>
      <w:r w:rsidRPr="0044150C" w:rsidDel="00B43638">
        <w:rPr>
          <w:rFonts w:ascii="Arial" w:hAnsi="Arial" w:cs="Arial"/>
          <w:i/>
          <w:sz w:val="24"/>
          <w:szCs w:val="24"/>
          <w:lang w:val="en-GB"/>
        </w:rPr>
        <w:t>to</w:t>
      </w:r>
      <w:r w:rsidRPr="0044150C" w:rsidDel="00B43638">
        <w:rPr>
          <w:rFonts w:ascii="Arial" w:hAnsi="Arial" w:cs="Arial"/>
          <w:i/>
          <w:spacing w:val="-6"/>
          <w:sz w:val="24"/>
          <w:szCs w:val="24"/>
          <w:lang w:val="en-GB"/>
        </w:rPr>
        <w:t xml:space="preserve"> </w:t>
      </w:r>
      <w:r w:rsidRPr="0044150C" w:rsidDel="00B43638">
        <w:rPr>
          <w:rFonts w:ascii="Arial" w:hAnsi="Arial" w:cs="Arial"/>
          <w:i/>
          <w:sz w:val="24"/>
          <w:szCs w:val="24"/>
          <w:lang w:val="en-GB"/>
        </w:rPr>
        <w:t>the use of the land and engage in land development, utilization and management in accordance with the provisions of these</w:t>
      </w:r>
      <w:r w:rsidRPr="0044150C" w:rsidDel="00B43638">
        <w:rPr>
          <w:rFonts w:ascii="Arial" w:hAnsi="Arial" w:cs="Arial"/>
          <w:i/>
          <w:spacing w:val="-5"/>
          <w:sz w:val="24"/>
          <w:szCs w:val="24"/>
          <w:lang w:val="en-GB"/>
        </w:rPr>
        <w:t xml:space="preserve"> </w:t>
      </w:r>
      <w:r w:rsidRPr="0044150C" w:rsidDel="00B43638">
        <w:rPr>
          <w:rFonts w:ascii="Arial" w:hAnsi="Arial" w:cs="Arial"/>
          <w:i/>
          <w:sz w:val="24"/>
          <w:szCs w:val="24"/>
          <w:lang w:val="en-GB"/>
        </w:rPr>
        <w:t>Regulations</w:t>
      </w:r>
      <w:r w:rsidRPr="0044150C" w:rsidDel="00B43638">
        <w:rPr>
          <w:rFonts w:ascii="Arial" w:hAnsi="Arial" w:cs="Arial"/>
          <w:sz w:val="24"/>
          <w:szCs w:val="24"/>
          <w:lang w:val="en-GB"/>
        </w:rPr>
        <w:t>.”</w:t>
      </w:r>
    </w:p>
    <w:p w14:paraId="7B0D0A3D" w14:textId="7BEDAAD0" w:rsidR="00672C19" w:rsidRPr="0044150C" w:rsidDel="00B43638" w:rsidRDefault="00672C19" w:rsidP="00672C19">
      <w:pPr>
        <w:pStyle w:val="a7"/>
        <w:spacing w:before="10"/>
        <w:rPr>
          <w:rFonts w:ascii="Arial" w:hAnsi="Arial" w:cs="Arial"/>
          <w:sz w:val="24"/>
          <w:szCs w:val="24"/>
        </w:rPr>
      </w:pPr>
    </w:p>
    <w:p w14:paraId="3E4EB0DC" w14:textId="1187065B" w:rsidR="00672C19" w:rsidRPr="0044150C" w:rsidDel="00B43638" w:rsidRDefault="00672C19" w:rsidP="00A77481">
      <w:pPr>
        <w:pStyle w:val="a9"/>
        <w:widowControl w:val="0"/>
        <w:numPr>
          <w:ilvl w:val="0"/>
          <w:numId w:val="1"/>
        </w:numPr>
        <w:tabs>
          <w:tab w:val="left" w:pos="917"/>
        </w:tabs>
        <w:autoSpaceDE w:val="0"/>
        <w:autoSpaceDN w:val="0"/>
        <w:spacing w:line="362" w:lineRule="auto"/>
        <w:ind w:right="95" w:hanging="644"/>
        <w:contextualSpacing w:val="0"/>
        <w:rPr>
          <w:rFonts w:ascii="Arial" w:hAnsi="Arial" w:cs="Arial"/>
          <w:sz w:val="24"/>
          <w:szCs w:val="24"/>
          <w:lang w:val="en-GB"/>
        </w:rPr>
      </w:pPr>
      <w:r w:rsidRPr="0044150C" w:rsidDel="00B43638">
        <w:rPr>
          <w:rFonts w:ascii="Arial" w:hAnsi="Arial" w:cs="Arial"/>
          <w:sz w:val="24"/>
          <w:szCs w:val="24"/>
          <w:lang w:val="en-GB"/>
        </w:rPr>
        <w:t xml:space="preserve">Overall, </w:t>
      </w:r>
      <w:r w:rsidRPr="0044150C" w:rsidDel="00B43638">
        <w:rPr>
          <w:rFonts w:ascii="Arial" w:hAnsi="Arial" w:cs="Arial"/>
          <w:sz w:val="24"/>
          <w:szCs w:val="24"/>
          <w:u w:val="single"/>
          <w:lang w:val="en-GB"/>
        </w:rPr>
        <w:t>any legal person or individual in China can acquire and use LURs through fair</w:t>
      </w:r>
      <w:r w:rsidRPr="0044150C" w:rsidDel="00B43638">
        <w:rPr>
          <w:rFonts w:ascii="Arial" w:hAnsi="Arial" w:cs="Arial"/>
          <w:sz w:val="24"/>
          <w:szCs w:val="24"/>
          <w:lang w:val="en-GB"/>
        </w:rPr>
        <w:t xml:space="preserve"> </w:t>
      </w:r>
      <w:r w:rsidRPr="0044150C" w:rsidDel="00B43638">
        <w:rPr>
          <w:rFonts w:ascii="Arial" w:hAnsi="Arial" w:cs="Arial"/>
          <w:sz w:val="24"/>
          <w:szCs w:val="24"/>
          <w:u w:val="single"/>
          <w:lang w:val="en-GB"/>
        </w:rPr>
        <w:t>competition and a public bidding</w:t>
      </w:r>
      <w:r w:rsidRPr="0044150C" w:rsidDel="00B43638">
        <w:rPr>
          <w:rFonts w:ascii="Arial" w:hAnsi="Arial" w:cs="Arial"/>
          <w:spacing w:val="-4"/>
          <w:sz w:val="24"/>
          <w:szCs w:val="24"/>
          <w:u w:val="single"/>
          <w:lang w:val="en-GB"/>
        </w:rPr>
        <w:t xml:space="preserve"> </w:t>
      </w:r>
      <w:r w:rsidRPr="0044150C" w:rsidDel="00B43638">
        <w:rPr>
          <w:rFonts w:ascii="Arial" w:hAnsi="Arial" w:cs="Arial"/>
          <w:sz w:val="24"/>
          <w:szCs w:val="24"/>
          <w:u w:val="single"/>
          <w:lang w:val="en-GB"/>
        </w:rPr>
        <w:t>process</w:t>
      </w:r>
      <w:r w:rsidRPr="0044150C" w:rsidDel="00B43638">
        <w:rPr>
          <w:rFonts w:ascii="Arial" w:hAnsi="Arial" w:cs="Arial"/>
          <w:sz w:val="24"/>
          <w:szCs w:val="24"/>
          <w:lang w:val="en-GB"/>
        </w:rPr>
        <w:t>.</w:t>
      </w:r>
    </w:p>
    <w:p w14:paraId="6BE3B492" w14:textId="040B8F07" w:rsidR="00672C19" w:rsidRPr="0044150C" w:rsidDel="00B43638" w:rsidRDefault="00672C19" w:rsidP="00672C19">
      <w:pPr>
        <w:pStyle w:val="a7"/>
        <w:spacing w:before="8"/>
        <w:ind w:right="95" w:hanging="916"/>
        <w:rPr>
          <w:rFonts w:ascii="Arial" w:hAnsi="Arial" w:cs="Arial"/>
          <w:sz w:val="24"/>
          <w:szCs w:val="24"/>
        </w:rPr>
      </w:pPr>
    </w:p>
    <w:p w14:paraId="19933E47" w14:textId="4E8D7DF5" w:rsidR="00672C19" w:rsidRPr="0044150C" w:rsidDel="00B43638" w:rsidRDefault="00672C19" w:rsidP="00A77481">
      <w:pPr>
        <w:pStyle w:val="a9"/>
        <w:widowControl w:val="0"/>
        <w:numPr>
          <w:ilvl w:val="0"/>
          <w:numId w:val="1"/>
        </w:numPr>
        <w:tabs>
          <w:tab w:val="left" w:pos="917"/>
        </w:tabs>
        <w:autoSpaceDE w:val="0"/>
        <w:autoSpaceDN w:val="0"/>
        <w:spacing w:before="90"/>
        <w:ind w:right="95" w:hanging="644"/>
        <w:contextualSpacing w:val="0"/>
        <w:rPr>
          <w:rFonts w:ascii="Arial" w:hAnsi="Arial" w:cs="Arial"/>
          <w:sz w:val="24"/>
          <w:szCs w:val="24"/>
          <w:lang w:val="en-GB"/>
        </w:rPr>
      </w:pPr>
      <w:r w:rsidRPr="0044150C" w:rsidDel="00B43638">
        <w:rPr>
          <w:rFonts w:ascii="Arial" w:hAnsi="Arial" w:cs="Arial"/>
          <w:sz w:val="24"/>
          <w:szCs w:val="24"/>
          <w:lang w:val="en-GB"/>
        </w:rPr>
        <w:t xml:space="preserve">Second, the Applicant simply asserts that </w:t>
      </w:r>
      <w:r w:rsidR="00113B50" w:rsidRPr="0044150C" w:rsidDel="00B43638">
        <w:rPr>
          <w:rFonts w:ascii="Arial" w:hAnsi="Arial" w:cs="Arial"/>
          <w:sz w:val="24"/>
          <w:szCs w:val="24"/>
          <w:lang w:val="en-GB"/>
        </w:rPr>
        <w:t>“local governments regularly provide industrial land at reduced or even nominal prices to enterprises operating in encouraged industries”, and because it deems that MAE producers are in “encouraged industry”, they “benefit from below-market Land-Use Rights”.</w:t>
      </w:r>
      <w:r w:rsidRPr="0044150C" w:rsidDel="00B43638">
        <w:rPr>
          <w:rFonts w:ascii="Arial" w:hAnsi="Arial" w:cs="Arial"/>
          <w:spacing w:val="-6"/>
          <w:sz w:val="24"/>
          <w:szCs w:val="24"/>
          <w:lang w:val="en-GB"/>
        </w:rPr>
        <w:t xml:space="preserve"> </w:t>
      </w:r>
      <w:r w:rsidRPr="0044150C" w:rsidDel="00B43638">
        <w:rPr>
          <w:rFonts w:ascii="Arial" w:hAnsi="Arial" w:cs="Arial"/>
          <w:sz w:val="24"/>
          <w:szCs w:val="24"/>
          <w:lang w:val="en-GB"/>
        </w:rPr>
        <w:t xml:space="preserve"> Such unsubstantiated assertions do not qualify as</w:t>
      </w:r>
      <w:r w:rsidRPr="0044150C" w:rsidDel="00B43638">
        <w:rPr>
          <w:rFonts w:ascii="Arial" w:hAnsi="Arial" w:cs="Arial"/>
          <w:spacing w:val="-5"/>
          <w:sz w:val="24"/>
          <w:szCs w:val="24"/>
          <w:lang w:val="en-GB"/>
        </w:rPr>
        <w:t xml:space="preserve"> </w:t>
      </w:r>
      <w:r w:rsidRPr="0044150C" w:rsidDel="00B43638">
        <w:rPr>
          <w:rFonts w:ascii="Arial" w:hAnsi="Arial" w:cs="Arial"/>
          <w:sz w:val="24"/>
          <w:szCs w:val="24"/>
          <w:lang w:val="en-GB"/>
        </w:rPr>
        <w:t>evidence.</w:t>
      </w:r>
      <w:r w:rsidR="00113B50" w:rsidRPr="0044150C" w:rsidDel="00B43638">
        <w:rPr>
          <w:rFonts w:ascii="Arial" w:hAnsi="Arial" w:cs="Arial"/>
          <w:sz w:val="24"/>
          <w:szCs w:val="24"/>
          <w:lang w:val="en-GB"/>
        </w:rPr>
        <w:t xml:space="preserve"> </w:t>
      </w:r>
      <w:r w:rsidR="006324B6" w:rsidRPr="0044150C" w:rsidDel="00B43638">
        <w:rPr>
          <w:rFonts w:ascii="Arial" w:hAnsi="Arial" w:cs="Arial"/>
          <w:sz w:val="24"/>
          <w:szCs w:val="24"/>
          <w:lang w:val="en-GB"/>
        </w:rPr>
        <w:t>In fact, a</w:t>
      </w:r>
      <w:r w:rsidR="00113B50" w:rsidRPr="0044150C" w:rsidDel="00B43638">
        <w:rPr>
          <w:rFonts w:ascii="Arial" w:hAnsi="Arial" w:cs="Arial"/>
          <w:sz w:val="24"/>
          <w:szCs w:val="24"/>
          <w:lang w:val="en-GB"/>
        </w:rPr>
        <w:t xml:space="preserve">s China </w:t>
      </w:r>
      <w:r w:rsidR="00113B50" w:rsidRPr="0044150C" w:rsidDel="00B43638">
        <w:rPr>
          <w:rFonts w:ascii="Arial" w:hAnsi="Arial" w:cs="Arial"/>
          <w:sz w:val="24"/>
          <w:szCs w:val="24"/>
          <w:lang w:val="en-GB"/>
        </w:rPr>
        <w:lastRenderedPageBreak/>
        <w:t>has stated multiply times, neither MAE nor boom lift is an “encouraged” industry, and the transfer of LUR</w:t>
      </w:r>
      <w:r w:rsidR="002E0282" w:rsidRPr="0044150C" w:rsidDel="00B43638">
        <w:rPr>
          <w:rFonts w:ascii="Arial" w:hAnsi="Arial" w:cs="Arial"/>
          <w:sz w:val="24"/>
          <w:szCs w:val="24"/>
          <w:lang w:val="en-GB"/>
        </w:rPr>
        <w:t xml:space="preserve"> is governed by market principle, rather than what the Applicant wrongfully and presumptuously assumed</w:t>
      </w:r>
      <w:r w:rsidR="00113B50" w:rsidRPr="0044150C" w:rsidDel="00B43638">
        <w:rPr>
          <w:rFonts w:ascii="Arial" w:hAnsi="Arial" w:cs="Arial"/>
          <w:sz w:val="24"/>
          <w:szCs w:val="24"/>
          <w:lang w:val="en-GB"/>
        </w:rPr>
        <w:t xml:space="preserve">. </w:t>
      </w:r>
      <w:r w:rsidR="002E0282" w:rsidRPr="0044150C" w:rsidDel="00B43638">
        <w:rPr>
          <w:rFonts w:ascii="Arial" w:hAnsi="Arial" w:cs="Arial"/>
          <w:sz w:val="24"/>
          <w:szCs w:val="24"/>
          <w:lang w:val="en-GB"/>
        </w:rPr>
        <w:t>I</w:t>
      </w:r>
      <w:r w:rsidR="00113B50" w:rsidRPr="0044150C" w:rsidDel="00B43638">
        <w:rPr>
          <w:rFonts w:ascii="Arial" w:hAnsi="Arial" w:cs="Arial"/>
          <w:sz w:val="24"/>
          <w:szCs w:val="24"/>
          <w:lang w:val="en-GB"/>
        </w:rPr>
        <w:t>t is clear that</w:t>
      </w:r>
      <w:r w:rsidR="00113B50" w:rsidRPr="0044150C" w:rsidDel="00B43638">
        <w:rPr>
          <w:rFonts w:ascii="Arial" w:hAnsi="Arial" w:cs="Arial"/>
          <w:spacing w:val="-2"/>
          <w:sz w:val="24"/>
          <w:szCs w:val="24"/>
          <w:lang w:val="en-GB"/>
        </w:rPr>
        <w:t xml:space="preserve"> </w:t>
      </w:r>
      <w:r w:rsidR="00113B50" w:rsidRPr="0044150C" w:rsidDel="00B43638">
        <w:rPr>
          <w:rFonts w:ascii="Arial" w:hAnsi="Arial" w:cs="Arial"/>
          <w:sz w:val="24"/>
          <w:szCs w:val="24"/>
          <w:lang w:val="en-GB"/>
        </w:rPr>
        <w:t>the</w:t>
      </w:r>
      <w:r w:rsidR="00113B50" w:rsidRPr="0044150C" w:rsidDel="00B43638">
        <w:rPr>
          <w:rFonts w:ascii="Arial" w:hAnsi="Arial" w:cs="Arial"/>
          <w:spacing w:val="-18"/>
          <w:sz w:val="24"/>
          <w:szCs w:val="24"/>
          <w:lang w:val="en-GB"/>
        </w:rPr>
        <w:t xml:space="preserve"> </w:t>
      </w:r>
      <w:r w:rsidR="00113B50" w:rsidRPr="0044150C" w:rsidDel="00B43638">
        <w:rPr>
          <w:rFonts w:ascii="Arial" w:hAnsi="Arial" w:cs="Arial"/>
          <w:sz w:val="24"/>
          <w:szCs w:val="24"/>
          <w:lang w:val="en-GB"/>
        </w:rPr>
        <w:t xml:space="preserve">Applicant does not have proof that boom lift producers obtained LURs at </w:t>
      </w:r>
      <w:r w:rsidR="00113B50" w:rsidRPr="0044150C" w:rsidDel="00B43638">
        <w:rPr>
          <w:rFonts w:ascii="Arial" w:hAnsi="Arial" w:cs="Arial"/>
          <w:spacing w:val="-10"/>
          <w:sz w:val="24"/>
          <w:szCs w:val="24"/>
          <w:lang w:val="en-GB"/>
        </w:rPr>
        <w:t xml:space="preserve">LTAR </w:t>
      </w:r>
      <w:r w:rsidR="00113B50" w:rsidRPr="0044150C" w:rsidDel="00B43638">
        <w:rPr>
          <w:rFonts w:ascii="Arial" w:hAnsi="Arial" w:cs="Arial"/>
          <w:sz w:val="24"/>
          <w:szCs w:val="24"/>
          <w:lang w:val="en-GB"/>
        </w:rPr>
        <w:t>in general and in the investigation period.</w:t>
      </w:r>
    </w:p>
    <w:p w14:paraId="40C8D95F" w14:textId="2525EFBB" w:rsidR="00672C19" w:rsidRPr="0044150C" w:rsidDel="00B43638" w:rsidRDefault="00672C19" w:rsidP="00672C19">
      <w:pPr>
        <w:pStyle w:val="a7"/>
        <w:spacing w:before="10"/>
        <w:ind w:right="95" w:hanging="916"/>
        <w:rPr>
          <w:rFonts w:ascii="Arial" w:hAnsi="Arial" w:cs="Arial"/>
          <w:sz w:val="24"/>
          <w:szCs w:val="24"/>
        </w:rPr>
      </w:pPr>
    </w:p>
    <w:p w14:paraId="7447F876" w14:textId="43F2FB80" w:rsidR="00672C19" w:rsidRPr="0044150C" w:rsidDel="00B43638" w:rsidRDefault="00672C19" w:rsidP="00A77481">
      <w:pPr>
        <w:pStyle w:val="a9"/>
        <w:widowControl w:val="0"/>
        <w:numPr>
          <w:ilvl w:val="0"/>
          <w:numId w:val="1"/>
        </w:numPr>
        <w:tabs>
          <w:tab w:val="left" w:pos="917"/>
        </w:tabs>
        <w:autoSpaceDE w:val="0"/>
        <w:autoSpaceDN w:val="0"/>
        <w:ind w:right="95" w:hanging="644"/>
        <w:contextualSpacing w:val="0"/>
        <w:rPr>
          <w:rFonts w:ascii="Arial" w:hAnsi="Arial" w:cs="Arial"/>
          <w:sz w:val="24"/>
          <w:szCs w:val="24"/>
          <w:lang w:val="en-GB"/>
        </w:rPr>
      </w:pPr>
      <w:r w:rsidRPr="0044150C" w:rsidDel="00B43638">
        <w:rPr>
          <w:rFonts w:ascii="Arial" w:hAnsi="Arial" w:cs="Arial"/>
          <w:sz w:val="24"/>
          <w:szCs w:val="24"/>
          <w:lang w:val="en-GB"/>
        </w:rPr>
        <w:t xml:space="preserve">Third, the Applicant’s allegation of the provision of LURs at </w:t>
      </w:r>
      <w:r w:rsidRPr="0044150C" w:rsidDel="00B43638">
        <w:rPr>
          <w:rFonts w:ascii="Arial" w:hAnsi="Arial" w:cs="Arial"/>
          <w:spacing w:val="-11"/>
          <w:sz w:val="24"/>
          <w:szCs w:val="24"/>
          <w:lang w:val="en-GB"/>
        </w:rPr>
        <w:t xml:space="preserve">LTAR </w:t>
      </w:r>
      <w:r w:rsidRPr="0044150C" w:rsidDel="00B43638">
        <w:rPr>
          <w:rFonts w:ascii="Arial" w:hAnsi="Arial" w:cs="Arial"/>
          <w:sz w:val="24"/>
          <w:szCs w:val="24"/>
          <w:lang w:val="en-GB"/>
        </w:rPr>
        <w:t xml:space="preserve">being specific to the </w:t>
      </w:r>
      <w:r w:rsidR="009C3948" w:rsidRPr="0044150C" w:rsidDel="00B43638">
        <w:rPr>
          <w:rFonts w:ascii="Arial" w:hAnsi="Arial" w:cs="Arial"/>
          <w:sz w:val="24"/>
          <w:szCs w:val="24"/>
          <w:lang w:val="en-GB"/>
        </w:rPr>
        <w:t>boom lift</w:t>
      </w:r>
      <w:r w:rsidRPr="0044150C" w:rsidDel="00B43638">
        <w:rPr>
          <w:rFonts w:ascii="Arial" w:hAnsi="Arial" w:cs="Arial"/>
          <w:sz w:val="24"/>
          <w:szCs w:val="24"/>
          <w:lang w:val="en-GB"/>
        </w:rPr>
        <w:t xml:space="preserve"> industry is factually incorrect. The Application does not demonstrate or even indicate the existence of any preferential policy for the </w:t>
      </w:r>
      <w:r w:rsidR="009C3948" w:rsidRPr="0044150C" w:rsidDel="00B43638">
        <w:rPr>
          <w:rFonts w:ascii="Arial" w:hAnsi="Arial" w:cs="Arial"/>
          <w:sz w:val="24"/>
          <w:szCs w:val="24"/>
          <w:lang w:val="en-GB"/>
        </w:rPr>
        <w:t>boom lift</w:t>
      </w:r>
      <w:r w:rsidRPr="0044150C" w:rsidDel="00B43638">
        <w:rPr>
          <w:rFonts w:ascii="Arial" w:hAnsi="Arial" w:cs="Arial"/>
          <w:spacing w:val="-5"/>
          <w:sz w:val="24"/>
          <w:szCs w:val="24"/>
          <w:lang w:val="en-GB"/>
        </w:rPr>
        <w:t xml:space="preserve"> </w:t>
      </w:r>
      <w:r w:rsidRPr="0044150C" w:rsidDel="00B43638">
        <w:rPr>
          <w:rFonts w:ascii="Arial" w:hAnsi="Arial" w:cs="Arial"/>
          <w:sz w:val="24"/>
          <w:szCs w:val="24"/>
          <w:lang w:val="en-GB"/>
        </w:rPr>
        <w:t>industry.</w:t>
      </w:r>
    </w:p>
    <w:p w14:paraId="0813B6BD" w14:textId="5BA7408E" w:rsidR="00672C19" w:rsidRPr="0044150C" w:rsidDel="00B43638" w:rsidRDefault="00672C19" w:rsidP="00672C19">
      <w:pPr>
        <w:pStyle w:val="a7"/>
        <w:ind w:right="95" w:hanging="916"/>
        <w:rPr>
          <w:rFonts w:ascii="Arial" w:hAnsi="Arial" w:cs="Arial"/>
          <w:sz w:val="24"/>
          <w:szCs w:val="24"/>
        </w:rPr>
      </w:pPr>
    </w:p>
    <w:p w14:paraId="77562B7A" w14:textId="5E7AA3B3" w:rsidR="00672C19" w:rsidRPr="0044150C" w:rsidDel="00B43638" w:rsidRDefault="00672C19" w:rsidP="00A77481">
      <w:pPr>
        <w:pStyle w:val="a9"/>
        <w:widowControl w:val="0"/>
        <w:numPr>
          <w:ilvl w:val="0"/>
          <w:numId w:val="1"/>
        </w:numPr>
        <w:tabs>
          <w:tab w:val="left" w:pos="917"/>
        </w:tabs>
        <w:autoSpaceDE w:val="0"/>
        <w:autoSpaceDN w:val="0"/>
        <w:ind w:right="95" w:hanging="644"/>
        <w:contextualSpacing w:val="0"/>
        <w:rPr>
          <w:rFonts w:ascii="Arial" w:hAnsi="Arial" w:cs="Arial"/>
          <w:sz w:val="24"/>
          <w:szCs w:val="24"/>
          <w:lang w:val="en-GB"/>
        </w:rPr>
      </w:pPr>
      <w:r w:rsidRPr="0044150C" w:rsidDel="00B43638">
        <w:rPr>
          <w:rFonts w:ascii="Arial" w:hAnsi="Arial" w:cs="Arial"/>
          <w:sz w:val="24"/>
          <w:szCs w:val="24"/>
          <w:lang w:val="en-GB"/>
        </w:rPr>
        <w:t>Fourth,</w:t>
      </w:r>
      <w:r w:rsidRPr="0044150C" w:rsidDel="00B43638">
        <w:rPr>
          <w:rFonts w:ascii="Arial" w:hAnsi="Arial" w:cs="Arial"/>
          <w:spacing w:val="-15"/>
          <w:sz w:val="24"/>
          <w:szCs w:val="24"/>
          <w:lang w:val="en-GB"/>
        </w:rPr>
        <w:t xml:space="preserve"> </w:t>
      </w:r>
      <w:r w:rsidRPr="0044150C" w:rsidDel="00B43638">
        <w:rPr>
          <w:rFonts w:ascii="Arial" w:hAnsi="Arial" w:cs="Arial"/>
          <w:sz w:val="24"/>
          <w:szCs w:val="24"/>
          <w:lang w:val="en-GB"/>
        </w:rPr>
        <w:t>as</w:t>
      </w:r>
      <w:r w:rsidRPr="0044150C" w:rsidDel="00B43638">
        <w:rPr>
          <w:rFonts w:ascii="Arial" w:hAnsi="Arial" w:cs="Arial"/>
          <w:spacing w:val="-13"/>
          <w:sz w:val="24"/>
          <w:szCs w:val="24"/>
          <w:lang w:val="en-GB"/>
        </w:rPr>
        <w:t xml:space="preserve"> </w:t>
      </w:r>
      <w:r w:rsidRPr="0044150C" w:rsidDel="00B43638">
        <w:rPr>
          <w:rFonts w:ascii="Arial" w:hAnsi="Arial" w:cs="Arial"/>
          <w:sz w:val="24"/>
          <w:szCs w:val="24"/>
          <w:lang w:val="en-GB"/>
        </w:rPr>
        <w:t>regards</w:t>
      </w:r>
      <w:r w:rsidRPr="0044150C" w:rsidDel="00B43638">
        <w:rPr>
          <w:rFonts w:ascii="Arial" w:hAnsi="Arial" w:cs="Arial"/>
          <w:spacing w:val="-15"/>
          <w:sz w:val="24"/>
          <w:szCs w:val="24"/>
          <w:lang w:val="en-GB"/>
        </w:rPr>
        <w:t xml:space="preserve"> </w:t>
      </w:r>
      <w:r w:rsidRPr="0044150C" w:rsidDel="00B43638">
        <w:rPr>
          <w:rFonts w:ascii="Arial" w:hAnsi="Arial" w:cs="Arial"/>
          <w:sz w:val="24"/>
          <w:szCs w:val="24"/>
          <w:lang w:val="en-GB"/>
        </w:rPr>
        <w:t>the</w:t>
      </w:r>
      <w:r w:rsidRPr="0044150C" w:rsidDel="00B43638">
        <w:rPr>
          <w:rFonts w:ascii="Arial" w:hAnsi="Arial" w:cs="Arial"/>
          <w:spacing w:val="-14"/>
          <w:sz w:val="24"/>
          <w:szCs w:val="24"/>
          <w:lang w:val="en-GB"/>
        </w:rPr>
        <w:t xml:space="preserve"> </w:t>
      </w:r>
      <w:r w:rsidRPr="0044150C" w:rsidDel="00B43638">
        <w:rPr>
          <w:rFonts w:ascii="Arial" w:hAnsi="Arial" w:cs="Arial"/>
          <w:sz w:val="24"/>
          <w:szCs w:val="24"/>
          <w:lang w:val="en-GB"/>
        </w:rPr>
        <w:t>existence</w:t>
      </w:r>
      <w:r w:rsidRPr="0044150C" w:rsidDel="00B43638">
        <w:rPr>
          <w:rFonts w:ascii="Arial" w:hAnsi="Arial" w:cs="Arial"/>
          <w:spacing w:val="-15"/>
          <w:sz w:val="24"/>
          <w:szCs w:val="24"/>
          <w:lang w:val="en-GB"/>
        </w:rPr>
        <w:t xml:space="preserve"> </w:t>
      </w:r>
      <w:r w:rsidRPr="0044150C" w:rsidDel="00B43638">
        <w:rPr>
          <w:rFonts w:ascii="Arial" w:hAnsi="Arial" w:cs="Arial"/>
          <w:sz w:val="24"/>
          <w:szCs w:val="24"/>
          <w:lang w:val="en-GB"/>
        </w:rPr>
        <w:t>of</w:t>
      </w:r>
      <w:r w:rsidRPr="0044150C" w:rsidDel="00B43638">
        <w:rPr>
          <w:rFonts w:ascii="Arial" w:hAnsi="Arial" w:cs="Arial"/>
          <w:spacing w:val="-14"/>
          <w:sz w:val="24"/>
          <w:szCs w:val="24"/>
          <w:lang w:val="en-GB"/>
        </w:rPr>
        <w:t xml:space="preserve"> </w:t>
      </w:r>
      <w:r w:rsidRPr="0044150C" w:rsidDel="00B43638">
        <w:rPr>
          <w:rFonts w:ascii="Arial" w:hAnsi="Arial" w:cs="Arial"/>
          <w:sz w:val="24"/>
          <w:szCs w:val="24"/>
          <w:lang w:val="en-GB"/>
        </w:rPr>
        <w:t>an</w:t>
      </w:r>
      <w:r w:rsidRPr="0044150C" w:rsidDel="00B43638">
        <w:rPr>
          <w:rFonts w:ascii="Arial" w:hAnsi="Arial" w:cs="Arial"/>
          <w:spacing w:val="-13"/>
          <w:sz w:val="24"/>
          <w:szCs w:val="24"/>
          <w:lang w:val="en-GB"/>
        </w:rPr>
        <w:t xml:space="preserve"> </w:t>
      </w:r>
      <w:r w:rsidRPr="0044150C" w:rsidDel="00B43638">
        <w:rPr>
          <w:rFonts w:ascii="Arial" w:hAnsi="Arial" w:cs="Arial"/>
          <w:sz w:val="24"/>
          <w:szCs w:val="24"/>
          <w:lang w:val="en-GB"/>
        </w:rPr>
        <w:t>alleged</w:t>
      </w:r>
      <w:r w:rsidRPr="0044150C" w:rsidDel="00B43638">
        <w:rPr>
          <w:rFonts w:ascii="Arial" w:hAnsi="Arial" w:cs="Arial"/>
          <w:spacing w:val="-14"/>
          <w:sz w:val="24"/>
          <w:szCs w:val="24"/>
          <w:lang w:val="en-GB"/>
        </w:rPr>
        <w:t xml:space="preserve"> </w:t>
      </w:r>
      <w:r w:rsidRPr="0044150C" w:rsidDel="00B43638">
        <w:rPr>
          <w:rFonts w:ascii="Arial" w:hAnsi="Arial" w:cs="Arial"/>
          <w:sz w:val="24"/>
          <w:szCs w:val="24"/>
          <w:lang w:val="en-GB"/>
        </w:rPr>
        <w:t>benefit,</w:t>
      </w:r>
      <w:r w:rsidRPr="0044150C" w:rsidDel="00B43638">
        <w:rPr>
          <w:rFonts w:ascii="Arial" w:hAnsi="Arial" w:cs="Arial"/>
          <w:spacing w:val="-13"/>
          <w:sz w:val="24"/>
          <w:szCs w:val="24"/>
          <w:lang w:val="en-GB"/>
        </w:rPr>
        <w:t xml:space="preserve"> </w:t>
      </w:r>
      <w:r w:rsidRPr="0044150C" w:rsidDel="00B43638">
        <w:rPr>
          <w:rFonts w:ascii="Arial" w:hAnsi="Arial" w:cs="Arial"/>
          <w:sz w:val="24"/>
          <w:szCs w:val="24"/>
          <w:lang w:val="en-GB"/>
        </w:rPr>
        <w:t>the</w:t>
      </w:r>
      <w:r w:rsidRPr="0044150C" w:rsidDel="00B43638">
        <w:rPr>
          <w:rFonts w:ascii="Arial" w:hAnsi="Arial" w:cs="Arial"/>
          <w:spacing w:val="-26"/>
          <w:sz w:val="24"/>
          <w:szCs w:val="24"/>
          <w:lang w:val="en-GB"/>
        </w:rPr>
        <w:t xml:space="preserve"> </w:t>
      </w:r>
      <w:r w:rsidRPr="0044150C" w:rsidDel="00B43638">
        <w:rPr>
          <w:rFonts w:ascii="Arial" w:hAnsi="Arial" w:cs="Arial"/>
          <w:sz w:val="24"/>
          <w:szCs w:val="24"/>
          <w:lang w:val="en-GB"/>
        </w:rPr>
        <w:t>Applicant</w:t>
      </w:r>
      <w:r w:rsidRPr="0044150C" w:rsidDel="00B43638">
        <w:rPr>
          <w:rFonts w:ascii="Arial" w:hAnsi="Arial" w:cs="Arial"/>
          <w:spacing w:val="-14"/>
          <w:sz w:val="24"/>
          <w:szCs w:val="24"/>
          <w:lang w:val="en-GB"/>
        </w:rPr>
        <w:t xml:space="preserve"> </w:t>
      </w:r>
      <w:r w:rsidRPr="0044150C" w:rsidDel="00B43638">
        <w:rPr>
          <w:rFonts w:ascii="Arial" w:hAnsi="Arial" w:cs="Arial"/>
          <w:sz w:val="24"/>
          <w:szCs w:val="24"/>
          <w:lang w:val="en-GB"/>
        </w:rPr>
        <w:t>has</w:t>
      </w:r>
      <w:r w:rsidRPr="0044150C" w:rsidDel="00B43638">
        <w:rPr>
          <w:rFonts w:ascii="Arial" w:hAnsi="Arial" w:cs="Arial"/>
          <w:spacing w:val="-13"/>
          <w:sz w:val="24"/>
          <w:szCs w:val="24"/>
          <w:lang w:val="en-GB"/>
        </w:rPr>
        <w:t xml:space="preserve"> </w:t>
      </w:r>
      <w:r w:rsidRPr="0044150C" w:rsidDel="00B43638">
        <w:rPr>
          <w:rFonts w:ascii="Arial" w:hAnsi="Arial" w:cs="Arial"/>
          <w:sz w:val="24"/>
          <w:szCs w:val="24"/>
          <w:lang w:val="en-GB"/>
        </w:rPr>
        <w:t>not</w:t>
      </w:r>
      <w:r w:rsidRPr="0044150C" w:rsidDel="00B43638">
        <w:rPr>
          <w:rFonts w:ascii="Arial" w:hAnsi="Arial" w:cs="Arial"/>
          <w:spacing w:val="-14"/>
          <w:sz w:val="24"/>
          <w:szCs w:val="24"/>
          <w:lang w:val="en-GB"/>
        </w:rPr>
        <w:t xml:space="preserve"> </w:t>
      </w:r>
      <w:r w:rsidRPr="0044150C" w:rsidDel="00B43638">
        <w:rPr>
          <w:rFonts w:ascii="Arial" w:hAnsi="Arial" w:cs="Arial"/>
          <w:sz w:val="24"/>
          <w:szCs w:val="24"/>
          <w:lang w:val="en-GB"/>
        </w:rPr>
        <w:t>provided</w:t>
      </w:r>
      <w:r w:rsidRPr="0044150C" w:rsidDel="00B43638">
        <w:rPr>
          <w:rFonts w:ascii="Arial" w:hAnsi="Arial" w:cs="Arial"/>
          <w:spacing w:val="-13"/>
          <w:sz w:val="24"/>
          <w:szCs w:val="24"/>
          <w:lang w:val="en-GB"/>
        </w:rPr>
        <w:t xml:space="preserve"> </w:t>
      </w:r>
      <w:r w:rsidRPr="0044150C" w:rsidDel="00B43638">
        <w:rPr>
          <w:rFonts w:ascii="Arial" w:hAnsi="Arial" w:cs="Arial"/>
          <w:sz w:val="24"/>
          <w:szCs w:val="24"/>
          <w:lang w:val="en-GB"/>
        </w:rPr>
        <w:t>any</w:t>
      </w:r>
      <w:r w:rsidRPr="0044150C" w:rsidDel="00B43638">
        <w:rPr>
          <w:rFonts w:ascii="Arial" w:hAnsi="Arial" w:cs="Arial"/>
          <w:spacing w:val="-10"/>
          <w:sz w:val="24"/>
          <w:szCs w:val="24"/>
          <w:lang w:val="en-GB"/>
        </w:rPr>
        <w:t xml:space="preserve"> </w:t>
      </w:r>
      <w:r w:rsidR="004A4F40" w:rsidRPr="0044150C">
        <w:rPr>
          <w:rFonts w:ascii="Arial" w:hAnsi="Arial" w:cs="Arial"/>
          <w:spacing w:val="-10"/>
          <w:sz w:val="24"/>
          <w:szCs w:val="24"/>
          <w:lang w:val="en-GB"/>
        </w:rPr>
        <w:t xml:space="preserve">creditable </w:t>
      </w:r>
      <w:r w:rsidRPr="0044150C" w:rsidDel="00B43638">
        <w:rPr>
          <w:rFonts w:ascii="Arial" w:hAnsi="Arial" w:cs="Arial"/>
          <w:sz w:val="24"/>
          <w:szCs w:val="24"/>
          <w:lang w:val="en-GB"/>
        </w:rPr>
        <w:t>benefit calculation.</w:t>
      </w:r>
      <w:r w:rsidRPr="0044150C" w:rsidDel="00B43638">
        <w:rPr>
          <w:rFonts w:ascii="Arial" w:hAnsi="Arial" w:cs="Arial"/>
          <w:spacing w:val="-19"/>
          <w:sz w:val="24"/>
          <w:szCs w:val="24"/>
          <w:lang w:val="en-GB"/>
        </w:rPr>
        <w:t xml:space="preserve"> </w:t>
      </w:r>
    </w:p>
    <w:p w14:paraId="3FCED7B7" w14:textId="4A7EA510" w:rsidR="00672C19" w:rsidRPr="0044150C" w:rsidDel="00B43638" w:rsidRDefault="00672C19" w:rsidP="00B45993">
      <w:pPr>
        <w:pStyle w:val="a7"/>
        <w:tabs>
          <w:tab w:val="clear" w:pos="720"/>
          <w:tab w:val="num" w:pos="0"/>
        </w:tabs>
        <w:spacing w:before="10"/>
        <w:ind w:right="95"/>
        <w:rPr>
          <w:rFonts w:ascii="Arial" w:hAnsi="Arial" w:cs="Arial"/>
          <w:sz w:val="24"/>
          <w:szCs w:val="24"/>
        </w:rPr>
      </w:pPr>
    </w:p>
    <w:p w14:paraId="24F78AB9" w14:textId="2744D488" w:rsidR="00672C19" w:rsidRPr="0044150C" w:rsidDel="00B43638" w:rsidRDefault="00672C19" w:rsidP="00A77481">
      <w:pPr>
        <w:pStyle w:val="a9"/>
        <w:numPr>
          <w:ilvl w:val="0"/>
          <w:numId w:val="1"/>
        </w:numPr>
        <w:spacing w:before="100"/>
        <w:ind w:right="95" w:hanging="644"/>
        <w:rPr>
          <w:rFonts w:ascii="Arial" w:hAnsi="Arial" w:cs="Arial"/>
          <w:sz w:val="24"/>
          <w:szCs w:val="24"/>
          <w:lang w:val="en-GB"/>
        </w:rPr>
      </w:pPr>
      <w:r w:rsidRPr="0044150C" w:rsidDel="00B43638">
        <w:rPr>
          <w:rFonts w:ascii="Arial" w:hAnsi="Arial" w:cs="Arial"/>
          <w:sz w:val="24"/>
          <w:szCs w:val="24"/>
          <w:lang w:val="en-GB"/>
        </w:rPr>
        <w:t>Additionally,</w:t>
      </w:r>
      <w:r w:rsidRPr="0044150C" w:rsidDel="00B43638">
        <w:rPr>
          <w:rFonts w:ascii="Arial" w:hAnsi="Arial" w:cs="Arial"/>
          <w:spacing w:val="-6"/>
          <w:sz w:val="24"/>
          <w:szCs w:val="24"/>
          <w:lang w:val="en-GB"/>
        </w:rPr>
        <w:t xml:space="preserve"> </w:t>
      </w:r>
      <w:r w:rsidRPr="0044150C" w:rsidDel="00B43638">
        <w:rPr>
          <w:rFonts w:ascii="Arial" w:hAnsi="Arial" w:cs="Arial"/>
          <w:sz w:val="24"/>
          <w:szCs w:val="24"/>
          <w:lang w:val="en-GB"/>
        </w:rPr>
        <w:t>as</w:t>
      </w:r>
      <w:r w:rsidRPr="0044150C" w:rsidDel="00B43638">
        <w:rPr>
          <w:rFonts w:ascii="Arial" w:hAnsi="Arial" w:cs="Arial"/>
          <w:spacing w:val="-5"/>
          <w:sz w:val="24"/>
          <w:szCs w:val="24"/>
          <w:lang w:val="en-GB"/>
        </w:rPr>
        <w:t xml:space="preserve"> </w:t>
      </w:r>
      <w:r w:rsidRPr="0044150C" w:rsidDel="00B43638">
        <w:rPr>
          <w:rFonts w:ascii="Arial" w:hAnsi="Arial" w:cs="Arial"/>
          <w:sz w:val="24"/>
          <w:szCs w:val="24"/>
          <w:lang w:val="en-GB"/>
        </w:rPr>
        <w:t>noted</w:t>
      </w:r>
      <w:r w:rsidRPr="0044150C" w:rsidDel="00B43638">
        <w:rPr>
          <w:rFonts w:ascii="Arial" w:hAnsi="Arial" w:cs="Arial"/>
          <w:spacing w:val="-5"/>
          <w:sz w:val="24"/>
          <w:szCs w:val="24"/>
          <w:lang w:val="en-GB"/>
        </w:rPr>
        <w:t xml:space="preserve"> </w:t>
      </w:r>
      <w:r w:rsidRPr="0044150C" w:rsidDel="00B43638">
        <w:rPr>
          <w:rFonts w:ascii="Arial" w:hAnsi="Arial" w:cs="Arial"/>
          <w:sz w:val="24"/>
          <w:szCs w:val="24"/>
          <w:lang w:val="en-GB"/>
        </w:rPr>
        <w:t>by</w:t>
      </w:r>
      <w:r w:rsidRPr="0044150C" w:rsidDel="00B43638">
        <w:rPr>
          <w:rFonts w:ascii="Arial" w:hAnsi="Arial" w:cs="Arial"/>
          <w:spacing w:val="-8"/>
          <w:sz w:val="24"/>
          <w:szCs w:val="24"/>
          <w:lang w:val="en-GB"/>
        </w:rPr>
        <w:t xml:space="preserve"> </w:t>
      </w:r>
      <w:r w:rsidRPr="0044150C" w:rsidDel="00B43638">
        <w:rPr>
          <w:rFonts w:ascii="Arial" w:hAnsi="Arial" w:cs="Arial"/>
          <w:sz w:val="24"/>
          <w:szCs w:val="24"/>
          <w:lang w:val="en-GB"/>
        </w:rPr>
        <w:t>the</w:t>
      </w:r>
      <w:r w:rsidRPr="0044150C" w:rsidDel="00B43638">
        <w:rPr>
          <w:rFonts w:ascii="Arial" w:hAnsi="Arial" w:cs="Arial"/>
          <w:spacing w:val="-17"/>
          <w:sz w:val="24"/>
          <w:szCs w:val="24"/>
          <w:lang w:val="en-GB"/>
        </w:rPr>
        <w:t xml:space="preserve"> </w:t>
      </w:r>
      <w:r w:rsidRPr="0044150C" w:rsidDel="00B43638">
        <w:rPr>
          <w:rFonts w:ascii="Arial" w:hAnsi="Arial" w:cs="Arial"/>
          <w:sz w:val="24"/>
          <w:szCs w:val="24"/>
          <w:lang w:val="en-GB"/>
        </w:rPr>
        <w:t>Appellate</w:t>
      </w:r>
      <w:r w:rsidRPr="0044150C" w:rsidDel="00B43638">
        <w:rPr>
          <w:rFonts w:ascii="Arial" w:hAnsi="Arial" w:cs="Arial"/>
          <w:spacing w:val="-6"/>
          <w:sz w:val="24"/>
          <w:szCs w:val="24"/>
          <w:lang w:val="en-GB"/>
        </w:rPr>
        <w:t xml:space="preserve"> </w:t>
      </w:r>
      <w:r w:rsidRPr="0044150C" w:rsidDel="00B43638">
        <w:rPr>
          <w:rFonts w:ascii="Arial" w:hAnsi="Arial" w:cs="Arial"/>
          <w:sz w:val="24"/>
          <w:szCs w:val="24"/>
          <w:lang w:val="en-GB"/>
        </w:rPr>
        <w:t>Body</w:t>
      </w:r>
      <w:r w:rsidRPr="0044150C" w:rsidDel="00B43638">
        <w:rPr>
          <w:rFonts w:ascii="Arial" w:hAnsi="Arial" w:cs="Arial"/>
          <w:spacing w:val="-4"/>
          <w:sz w:val="24"/>
          <w:szCs w:val="24"/>
          <w:lang w:val="en-GB"/>
        </w:rPr>
        <w:t xml:space="preserve"> </w:t>
      </w:r>
      <w:r w:rsidRPr="0044150C" w:rsidDel="00B43638">
        <w:rPr>
          <w:rFonts w:ascii="Arial" w:hAnsi="Arial" w:cs="Arial"/>
          <w:sz w:val="24"/>
          <w:szCs w:val="24"/>
          <w:lang w:val="en-GB"/>
        </w:rPr>
        <w:t>in</w:t>
      </w:r>
      <w:r w:rsidRPr="0044150C" w:rsidDel="00B43638">
        <w:rPr>
          <w:rFonts w:ascii="Arial" w:hAnsi="Arial" w:cs="Arial"/>
          <w:spacing w:val="-4"/>
          <w:sz w:val="24"/>
          <w:szCs w:val="24"/>
          <w:lang w:val="en-GB"/>
        </w:rPr>
        <w:t xml:space="preserve"> </w:t>
      </w:r>
      <w:r w:rsidRPr="0044150C" w:rsidDel="00B43638">
        <w:rPr>
          <w:rFonts w:ascii="Arial" w:hAnsi="Arial" w:cs="Arial"/>
          <w:i/>
          <w:sz w:val="24"/>
          <w:szCs w:val="24"/>
          <w:lang w:val="en-GB"/>
        </w:rPr>
        <w:t>US</w:t>
      </w:r>
      <w:r w:rsidRPr="0044150C" w:rsidDel="00B43638">
        <w:rPr>
          <w:rFonts w:ascii="Arial" w:hAnsi="Arial" w:cs="Arial"/>
          <w:i/>
          <w:spacing w:val="-5"/>
          <w:sz w:val="24"/>
          <w:szCs w:val="24"/>
          <w:lang w:val="en-GB"/>
        </w:rPr>
        <w:t xml:space="preserve"> </w:t>
      </w:r>
      <w:r w:rsidRPr="0044150C" w:rsidDel="00B43638">
        <w:rPr>
          <w:rFonts w:ascii="Arial" w:hAnsi="Arial" w:cs="Arial"/>
          <w:i/>
          <w:sz w:val="24"/>
          <w:szCs w:val="24"/>
          <w:lang w:val="en-GB"/>
        </w:rPr>
        <w:t>–</w:t>
      </w:r>
      <w:r w:rsidRPr="0044150C" w:rsidDel="00B43638">
        <w:rPr>
          <w:rFonts w:ascii="Arial" w:hAnsi="Arial" w:cs="Arial"/>
          <w:i/>
          <w:spacing w:val="-5"/>
          <w:sz w:val="24"/>
          <w:szCs w:val="24"/>
          <w:lang w:val="en-GB"/>
        </w:rPr>
        <w:t xml:space="preserve"> </w:t>
      </w:r>
      <w:r w:rsidRPr="0044150C" w:rsidDel="00B43638">
        <w:rPr>
          <w:rFonts w:ascii="Arial" w:hAnsi="Arial" w:cs="Arial"/>
          <w:i/>
          <w:sz w:val="24"/>
          <w:szCs w:val="24"/>
          <w:lang w:val="en-GB"/>
        </w:rPr>
        <w:t>Carbon</w:t>
      </w:r>
      <w:r w:rsidRPr="0044150C" w:rsidDel="00B43638">
        <w:rPr>
          <w:rFonts w:ascii="Arial" w:hAnsi="Arial" w:cs="Arial"/>
          <w:i/>
          <w:spacing w:val="-5"/>
          <w:sz w:val="24"/>
          <w:szCs w:val="24"/>
          <w:lang w:val="en-GB"/>
        </w:rPr>
        <w:t xml:space="preserve"> </w:t>
      </w:r>
      <w:r w:rsidRPr="0044150C" w:rsidDel="00B43638">
        <w:rPr>
          <w:rFonts w:ascii="Arial" w:hAnsi="Arial" w:cs="Arial"/>
          <w:i/>
          <w:sz w:val="24"/>
          <w:szCs w:val="24"/>
          <w:lang w:val="en-GB"/>
        </w:rPr>
        <w:t>Steel</w:t>
      </w:r>
      <w:r w:rsidRPr="0044150C" w:rsidDel="00B43638">
        <w:rPr>
          <w:rFonts w:ascii="Arial" w:hAnsi="Arial" w:cs="Arial"/>
          <w:i/>
          <w:spacing w:val="-5"/>
          <w:sz w:val="24"/>
          <w:szCs w:val="24"/>
          <w:lang w:val="en-GB"/>
        </w:rPr>
        <w:t xml:space="preserve"> </w:t>
      </w:r>
      <w:r w:rsidRPr="0044150C" w:rsidDel="00B43638">
        <w:rPr>
          <w:rFonts w:ascii="Arial" w:hAnsi="Arial" w:cs="Arial"/>
          <w:i/>
          <w:sz w:val="24"/>
          <w:szCs w:val="24"/>
          <w:lang w:val="en-GB"/>
        </w:rPr>
        <w:t>(India)</w:t>
      </w:r>
      <w:r w:rsidRPr="0044150C" w:rsidDel="00B43638">
        <w:rPr>
          <w:rFonts w:ascii="Arial" w:hAnsi="Arial" w:cs="Arial"/>
          <w:sz w:val="24"/>
          <w:szCs w:val="24"/>
          <w:lang w:val="en-GB"/>
        </w:rPr>
        <w:t>,</w:t>
      </w:r>
      <w:r w:rsidRPr="0044150C" w:rsidDel="00B43638">
        <w:rPr>
          <w:rFonts w:ascii="Arial" w:hAnsi="Arial" w:cs="Arial"/>
          <w:spacing w:val="-16"/>
          <w:sz w:val="24"/>
          <w:szCs w:val="24"/>
          <w:lang w:val="en-GB"/>
        </w:rPr>
        <w:t xml:space="preserve"> </w:t>
      </w:r>
      <w:r w:rsidRPr="0044150C" w:rsidDel="00B43638">
        <w:rPr>
          <w:rFonts w:ascii="Arial" w:hAnsi="Arial" w:cs="Arial"/>
          <w:sz w:val="24"/>
          <w:szCs w:val="24"/>
          <w:lang w:val="en-GB"/>
        </w:rPr>
        <w:t>Article</w:t>
      </w:r>
      <w:r w:rsidRPr="0044150C" w:rsidDel="00B43638">
        <w:rPr>
          <w:rFonts w:ascii="Arial" w:hAnsi="Arial" w:cs="Arial"/>
          <w:spacing w:val="-6"/>
          <w:sz w:val="24"/>
          <w:szCs w:val="24"/>
          <w:lang w:val="en-GB"/>
        </w:rPr>
        <w:t xml:space="preserve"> </w:t>
      </w:r>
      <w:r w:rsidRPr="0044150C" w:rsidDel="00B43638">
        <w:rPr>
          <w:rFonts w:ascii="Arial" w:hAnsi="Arial" w:cs="Arial"/>
          <w:sz w:val="24"/>
          <w:szCs w:val="24"/>
          <w:lang w:val="en-GB"/>
        </w:rPr>
        <w:t>14(d)</w:t>
      </w:r>
      <w:r w:rsidRPr="0044150C" w:rsidDel="00B43638">
        <w:rPr>
          <w:rFonts w:ascii="Arial" w:hAnsi="Arial" w:cs="Arial"/>
          <w:spacing w:val="-6"/>
          <w:sz w:val="24"/>
          <w:szCs w:val="24"/>
          <w:lang w:val="en-GB"/>
        </w:rPr>
        <w:t xml:space="preserve"> </w:t>
      </w:r>
      <w:r w:rsidRPr="0044150C" w:rsidDel="00B43638">
        <w:rPr>
          <w:rFonts w:ascii="Arial" w:hAnsi="Arial" w:cs="Arial"/>
          <w:sz w:val="24"/>
          <w:szCs w:val="24"/>
          <w:lang w:val="en-GB"/>
        </w:rPr>
        <w:t>of</w:t>
      </w:r>
      <w:r w:rsidRPr="0044150C" w:rsidDel="00B43638">
        <w:rPr>
          <w:rFonts w:ascii="Arial" w:hAnsi="Arial" w:cs="Arial"/>
          <w:spacing w:val="-6"/>
          <w:sz w:val="24"/>
          <w:szCs w:val="24"/>
          <w:lang w:val="en-GB"/>
        </w:rPr>
        <w:t xml:space="preserve"> </w:t>
      </w:r>
      <w:r w:rsidRPr="0044150C" w:rsidDel="00B43638">
        <w:rPr>
          <w:rFonts w:ascii="Arial" w:hAnsi="Arial" w:cs="Arial"/>
          <w:sz w:val="24"/>
          <w:szCs w:val="24"/>
          <w:lang w:val="en-GB"/>
        </w:rPr>
        <w:t>the SCM</w:t>
      </w:r>
      <w:r w:rsidRPr="0044150C" w:rsidDel="00B43638">
        <w:rPr>
          <w:rFonts w:ascii="Arial" w:hAnsi="Arial" w:cs="Arial"/>
          <w:spacing w:val="5"/>
          <w:sz w:val="24"/>
          <w:szCs w:val="24"/>
          <w:lang w:val="en-GB"/>
        </w:rPr>
        <w:t xml:space="preserve"> </w:t>
      </w:r>
      <w:r w:rsidRPr="0044150C" w:rsidDel="00B43638">
        <w:rPr>
          <w:rFonts w:ascii="Arial" w:hAnsi="Arial" w:cs="Arial"/>
          <w:sz w:val="24"/>
          <w:szCs w:val="24"/>
          <w:lang w:val="en-GB"/>
        </w:rPr>
        <w:t>Agreement</w:t>
      </w:r>
      <w:r w:rsidRPr="0044150C" w:rsidDel="00B43638">
        <w:rPr>
          <w:rFonts w:ascii="Arial" w:hAnsi="Arial" w:cs="Arial"/>
          <w:spacing w:val="25"/>
          <w:sz w:val="24"/>
          <w:szCs w:val="24"/>
          <w:lang w:val="en-GB"/>
        </w:rPr>
        <w:t xml:space="preserve"> </w:t>
      </w:r>
      <w:r w:rsidRPr="0044150C" w:rsidDel="00B43638">
        <w:rPr>
          <w:rFonts w:ascii="Arial" w:hAnsi="Arial" w:cs="Arial"/>
          <w:sz w:val="24"/>
          <w:szCs w:val="24"/>
          <w:lang w:val="en-GB"/>
        </w:rPr>
        <w:t>does</w:t>
      </w:r>
      <w:r w:rsidRPr="0044150C" w:rsidDel="00B43638">
        <w:rPr>
          <w:rFonts w:ascii="Arial" w:hAnsi="Arial" w:cs="Arial"/>
          <w:spacing w:val="26"/>
          <w:sz w:val="24"/>
          <w:szCs w:val="24"/>
          <w:lang w:val="en-GB"/>
        </w:rPr>
        <w:t xml:space="preserve"> </w:t>
      </w:r>
      <w:r w:rsidRPr="0044150C" w:rsidDel="00B43638">
        <w:rPr>
          <w:rFonts w:ascii="Arial" w:hAnsi="Arial" w:cs="Arial"/>
          <w:sz w:val="24"/>
          <w:szCs w:val="24"/>
          <w:lang w:val="en-GB"/>
        </w:rPr>
        <w:t>not</w:t>
      </w:r>
      <w:r w:rsidRPr="0044150C" w:rsidDel="00B43638">
        <w:rPr>
          <w:rFonts w:ascii="Arial" w:hAnsi="Arial" w:cs="Arial"/>
          <w:spacing w:val="26"/>
          <w:sz w:val="24"/>
          <w:szCs w:val="24"/>
          <w:lang w:val="en-GB"/>
        </w:rPr>
        <w:t xml:space="preserve"> </w:t>
      </w:r>
      <w:r w:rsidRPr="0044150C" w:rsidDel="00B43638">
        <w:rPr>
          <w:rFonts w:ascii="Arial" w:hAnsi="Arial" w:cs="Arial"/>
          <w:sz w:val="24"/>
          <w:szCs w:val="24"/>
          <w:lang w:val="en-GB"/>
        </w:rPr>
        <w:t>establish</w:t>
      </w:r>
      <w:r w:rsidRPr="0044150C" w:rsidDel="00B43638">
        <w:rPr>
          <w:rFonts w:ascii="Arial" w:hAnsi="Arial" w:cs="Arial"/>
          <w:spacing w:val="26"/>
          <w:sz w:val="24"/>
          <w:szCs w:val="24"/>
          <w:lang w:val="en-GB"/>
        </w:rPr>
        <w:t xml:space="preserve"> </w:t>
      </w:r>
      <w:r w:rsidRPr="0044150C" w:rsidDel="00B43638">
        <w:rPr>
          <w:rFonts w:ascii="Arial" w:hAnsi="Arial" w:cs="Arial"/>
          <w:sz w:val="24"/>
          <w:szCs w:val="24"/>
          <w:lang w:val="en-GB"/>
        </w:rPr>
        <w:t>any</w:t>
      </w:r>
      <w:r w:rsidRPr="0044150C" w:rsidDel="00B43638">
        <w:rPr>
          <w:rFonts w:ascii="Arial" w:hAnsi="Arial" w:cs="Arial"/>
          <w:spacing w:val="25"/>
          <w:sz w:val="24"/>
          <w:szCs w:val="24"/>
          <w:lang w:val="en-GB"/>
        </w:rPr>
        <w:t xml:space="preserve"> </w:t>
      </w:r>
      <w:r w:rsidRPr="0044150C" w:rsidDel="00B43638">
        <w:rPr>
          <w:rFonts w:ascii="Arial" w:hAnsi="Arial" w:cs="Arial"/>
          <w:sz w:val="24"/>
          <w:szCs w:val="24"/>
          <w:lang w:val="en-GB"/>
        </w:rPr>
        <w:t>“</w:t>
      </w:r>
      <w:r w:rsidRPr="0044150C" w:rsidDel="00B43638">
        <w:rPr>
          <w:rFonts w:ascii="Arial" w:hAnsi="Arial" w:cs="Arial"/>
          <w:i/>
          <w:sz w:val="24"/>
          <w:szCs w:val="24"/>
          <w:lang w:val="en-GB"/>
        </w:rPr>
        <w:t>legal</w:t>
      </w:r>
      <w:r w:rsidRPr="0044150C" w:rsidDel="00B43638">
        <w:rPr>
          <w:rFonts w:ascii="Arial" w:hAnsi="Arial" w:cs="Arial"/>
          <w:i/>
          <w:spacing w:val="26"/>
          <w:sz w:val="24"/>
          <w:szCs w:val="24"/>
          <w:lang w:val="en-GB"/>
        </w:rPr>
        <w:t xml:space="preserve"> </w:t>
      </w:r>
      <w:r w:rsidRPr="0044150C" w:rsidDel="00B43638">
        <w:rPr>
          <w:rFonts w:ascii="Arial" w:hAnsi="Arial" w:cs="Arial"/>
          <w:i/>
          <w:sz w:val="24"/>
          <w:szCs w:val="24"/>
          <w:lang w:val="en-GB"/>
        </w:rPr>
        <w:t>presumption</w:t>
      </w:r>
      <w:r w:rsidRPr="0044150C" w:rsidDel="00B43638">
        <w:rPr>
          <w:rFonts w:ascii="Arial" w:hAnsi="Arial" w:cs="Arial"/>
          <w:i/>
          <w:spacing w:val="25"/>
          <w:sz w:val="24"/>
          <w:szCs w:val="24"/>
          <w:lang w:val="en-GB"/>
        </w:rPr>
        <w:t xml:space="preserve"> </w:t>
      </w:r>
      <w:r w:rsidRPr="0044150C" w:rsidDel="00B43638">
        <w:rPr>
          <w:rFonts w:ascii="Arial" w:hAnsi="Arial" w:cs="Arial"/>
          <w:i/>
          <w:sz w:val="24"/>
          <w:szCs w:val="24"/>
          <w:lang w:val="en-GB"/>
        </w:rPr>
        <w:t>that</w:t>
      </w:r>
      <w:r w:rsidRPr="0044150C" w:rsidDel="00B43638">
        <w:rPr>
          <w:rFonts w:ascii="Arial" w:hAnsi="Arial" w:cs="Arial"/>
          <w:i/>
          <w:spacing w:val="27"/>
          <w:sz w:val="24"/>
          <w:szCs w:val="24"/>
          <w:lang w:val="en-GB"/>
        </w:rPr>
        <w:t xml:space="preserve"> </w:t>
      </w:r>
      <w:r w:rsidRPr="0044150C" w:rsidDel="00B43638">
        <w:rPr>
          <w:rFonts w:ascii="Arial" w:hAnsi="Arial" w:cs="Arial"/>
          <w:i/>
          <w:sz w:val="24"/>
          <w:szCs w:val="24"/>
          <w:lang w:val="en-GB"/>
        </w:rPr>
        <w:t>in-country</w:t>
      </w:r>
      <w:r w:rsidRPr="0044150C" w:rsidDel="00B43638">
        <w:rPr>
          <w:rFonts w:ascii="Arial" w:hAnsi="Arial" w:cs="Arial"/>
          <w:i/>
          <w:spacing w:val="24"/>
          <w:sz w:val="24"/>
          <w:szCs w:val="24"/>
          <w:lang w:val="en-GB"/>
        </w:rPr>
        <w:t xml:space="preserve"> </w:t>
      </w:r>
      <w:r w:rsidRPr="0044150C" w:rsidDel="00B43638">
        <w:rPr>
          <w:rFonts w:ascii="Arial" w:hAnsi="Arial" w:cs="Arial"/>
          <w:i/>
          <w:sz w:val="24"/>
          <w:szCs w:val="24"/>
          <w:lang w:val="en-GB"/>
        </w:rPr>
        <w:t>prices</w:t>
      </w:r>
      <w:r w:rsidRPr="0044150C" w:rsidDel="00B43638">
        <w:rPr>
          <w:rFonts w:ascii="Arial" w:hAnsi="Arial" w:cs="Arial"/>
          <w:i/>
          <w:spacing w:val="26"/>
          <w:sz w:val="24"/>
          <w:szCs w:val="24"/>
          <w:lang w:val="en-GB"/>
        </w:rPr>
        <w:t xml:space="preserve"> </w:t>
      </w:r>
      <w:r w:rsidRPr="0044150C" w:rsidDel="00B43638">
        <w:rPr>
          <w:rFonts w:ascii="Arial" w:hAnsi="Arial" w:cs="Arial"/>
          <w:i/>
          <w:spacing w:val="-3"/>
          <w:sz w:val="24"/>
          <w:szCs w:val="24"/>
          <w:lang w:val="en-GB"/>
        </w:rPr>
        <w:t>from</w:t>
      </w:r>
      <w:r w:rsidRPr="0044150C" w:rsidDel="00B43638">
        <w:rPr>
          <w:rFonts w:ascii="Arial" w:hAnsi="Arial" w:cs="Arial"/>
          <w:i/>
          <w:spacing w:val="25"/>
          <w:sz w:val="24"/>
          <w:szCs w:val="24"/>
          <w:lang w:val="en-GB"/>
        </w:rPr>
        <w:t xml:space="preserve"> </w:t>
      </w:r>
      <w:r w:rsidRPr="0044150C" w:rsidDel="00B43638">
        <w:rPr>
          <w:rFonts w:ascii="Arial" w:hAnsi="Arial" w:cs="Arial"/>
          <w:i/>
          <w:sz w:val="24"/>
          <w:szCs w:val="24"/>
          <w:lang w:val="en-GB"/>
        </w:rPr>
        <w:t xml:space="preserve">any particular </w:t>
      </w:r>
      <w:r w:rsidRPr="0044150C" w:rsidDel="00B43638">
        <w:rPr>
          <w:rFonts w:ascii="Arial" w:hAnsi="Arial" w:cs="Arial"/>
          <w:i/>
          <w:spacing w:val="-3"/>
          <w:sz w:val="24"/>
          <w:szCs w:val="24"/>
          <w:lang w:val="en-GB"/>
        </w:rPr>
        <w:t xml:space="preserve">source </w:t>
      </w:r>
      <w:r w:rsidRPr="0044150C" w:rsidDel="00B43638">
        <w:rPr>
          <w:rFonts w:ascii="Arial" w:hAnsi="Arial" w:cs="Arial"/>
          <w:i/>
          <w:sz w:val="24"/>
          <w:szCs w:val="24"/>
          <w:lang w:val="en-GB"/>
        </w:rPr>
        <w:t>can be discarded in a benchmark analysis</w:t>
      </w:r>
      <w:r w:rsidRPr="0044150C" w:rsidDel="00B43638">
        <w:rPr>
          <w:rFonts w:ascii="Arial" w:hAnsi="Arial" w:cs="Arial"/>
          <w:sz w:val="24"/>
          <w:szCs w:val="24"/>
          <w:lang w:val="en-GB"/>
        </w:rPr>
        <w:t>”</w:t>
      </w:r>
      <w:r w:rsidR="00B45993" w:rsidRPr="0044150C" w:rsidDel="00B43638">
        <w:rPr>
          <w:rStyle w:val="ab"/>
          <w:rFonts w:ascii="Arial" w:hAnsi="Arial" w:cs="Arial"/>
          <w:sz w:val="24"/>
          <w:szCs w:val="24"/>
          <w:lang w:val="en-GB"/>
        </w:rPr>
        <w:footnoteReference w:id="39"/>
      </w:r>
      <w:r w:rsidRPr="0044150C" w:rsidDel="00B43638">
        <w:rPr>
          <w:rFonts w:ascii="Arial" w:hAnsi="Arial" w:cs="Arial"/>
          <w:sz w:val="24"/>
          <w:szCs w:val="24"/>
          <w:lang w:val="en-GB"/>
        </w:rPr>
        <w:t xml:space="preserve"> and “</w:t>
      </w:r>
      <w:r w:rsidRPr="0044150C" w:rsidDel="00B43638">
        <w:rPr>
          <w:rFonts w:ascii="Arial" w:hAnsi="Arial" w:cs="Arial"/>
          <w:i/>
          <w:sz w:val="24"/>
          <w:szCs w:val="24"/>
          <w:lang w:val="en-GB"/>
        </w:rPr>
        <w:t>a determination of a benchmark</w:t>
      </w:r>
      <w:r w:rsidRPr="0044150C" w:rsidDel="00B43638">
        <w:rPr>
          <w:rFonts w:ascii="Arial" w:hAnsi="Arial" w:cs="Arial"/>
          <w:i/>
          <w:spacing w:val="-5"/>
          <w:sz w:val="24"/>
          <w:szCs w:val="24"/>
          <w:lang w:val="en-GB"/>
        </w:rPr>
        <w:t xml:space="preserve"> </w:t>
      </w:r>
      <w:r w:rsidRPr="0044150C" w:rsidDel="00B43638">
        <w:rPr>
          <w:rFonts w:ascii="Arial" w:hAnsi="Arial" w:cs="Arial"/>
          <w:i/>
          <w:sz w:val="24"/>
          <w:szCs w:val="24"/>
          <w:lang w:val="en-GB"/>
        </w:rPr>
        <w:t>for</w:t>
      </w:r>
      <w:r w:rsidRPr="0044150C" w:rsidDel="00B43638">
        <w:rPr>
          <w:rFonts w:ascii="Arial" w:hAnsi="Arial" w:cs="Arial"/>
          <w:i/>
          <w:spacing w:val="-3"/>
          <w:sz w:val="24"/>
          <w:szCs w:val="24"/>
          <w:lang w:val="en-GB"/>
        </w:rPr>
        <w:t xml:space="preserve"> </w:t>
      </w:r>
      <w:r w:rsidRPr="0044150C" w:rsidDel="00B43638">
        <w:rPr>
          <w:rFonts w:ascii="Arial" w:hAnsi="Arial" w:cs="Arial"/>
          <w:i/>
          <w:sz w:val="24"/>
          <w:szCs w:val="24"/>
          <w:lang w:val="en-GB"/>
        </w:rPr>
        <w:t>the</w:t>
      </w:r>
      <w:r w:rsidRPr="0044150C" w:rsidDel="00B43638">
        <w:rPr>
          <w:rFonts w:ascii="Arial" w:hAnsi="Arial" w:cs="Arial"/>
          <w:i/>
          <w:spacing w:val="-4"/>
          <w:sz w:val="24"/>
          <w:szCs w:val="24"/>
          <w:lang w:val="en-GB"/>
        </w:rPr>
        <w:t xml:space="preserve"> </w:t>
      </w:r>
      <w:r w:rsidRPr="0044150C" w:rsidDel="00B43638">
        <w:rPr>
          <w:rFonts w:ascii="Arial" w:hAnsi="Arial" w:cs="Arial"/>
          <w:i/>
          <w:sz w:val="24"/>
          <w:szCs w:val="24"/>
          <w:lang w:val="en-GB"/>
        </w:rPr>
        <w:t>purposes</w:t>
      </w:r>
      <w:r w:rsidRPr="0044150C" w:rsidDel="00B43638">
        <w:rPr>
          <w:rFonts w:ascii="Arial" w:hAnsi="Arial" w:cs="Arial"/>
          <w:i/>
          <w:spacing w:val="-4"/>
          <w:sz w:val="24"/>
          <w:szCs w:val="24"/>
          <w:lang w:val="en-GB"/>
        </w:rPr>
        <w:t xml:space="preserve"> </w:t>
      </w:r>
      <w:r w:rsidRPr="0044150C" w:rsidDel="00B43638">
        <w:rPr>
          <w:rFonts w:ascii="Arial" w:hAnsi="Arial" w:cs="Arial"/>
          <w:i/>
          <w:sz w:val="24"/>
          <w:szCs w:val="24"/>
          <w:lang w:val="en-GB"/>
        </w:rPr>
        <w:t>of</w:t>
      </w:r>
      <w:r w:rsidRPr="0044150C" w:rsidDel="00B43638">
        <w:rPr>
          <w:rFonts w:ascii="Arial" w:hAnsi="Arial" w:cs="Arial"/>
          <w:i/>
          <w:spacing w:val="-7"/>
          <w:sz w:val="24"/>
          <w:szCs w:val="24"/>
          <w:lang w:val="en-GB"/>
        </w:rPr>
        <w:t xml:space="preserve"> </w:t>
      </w:r>
      <w:r w:rsidRPr="0044150C" w:rsidDel="00B43638">
        <w:rPr>
          <w:rFonts w:ascii="Arial" w:hAnsi="Arial" w:cs="Arial"/>
          <w:i/>
          <w:sz w:val="24"/>
          <w:szCs w:val="24"/>
          <w:lang w:val="en-GB"/>
        </w:rPr>
        <w:t>Article</w:t>
      </w:r>
      <w:r w:rsidRPr="0044150C" w:rsidDel="00B43638">
        <w:rPr>
          <w:rFonts w:ascii="Arial" w:hAnsi="Arial" w:cs="Arial"/>
          <w:i/>
          <w:spacing w:val="-4"/>
          <w:sz w:val="24"/>
          <w:szCs w:val="24"/>
          <w:lang w:val="en-GB"/>
        </w:rPr>
        <w:t xml:space="preserve"> </w:t>
      </w:r>
      <w:r w:rsidRPr="0044150C" w:rsidDel="00B43638">
        <w:rPr>
          <w:rFonts w:ascii="Arial" w:hAnsi="Arial" w:cs="Arial"/>
          <w:i/>
          <w:sz w:val="24"/>
          <w:szCs w:val="24"/>
          <w:lang w:val="en-GB"/>
        </w:rPr>
        <w:t>14(d)</w:t>
      </w:r>
      <w:r w:rsidRPr="0044150C" w:rsidDel="00B43638">
        <w:rPr>
          <w:rFonts w:ascii="Arial" w:hAnsi="Arial" w:cs="Arial"/>
          <w:i/>
          <w:spacing w:val="-5"/>
          <w:sz w:val="24"/>
          <w:szCs w:val="24"/>
          <w:lang w:val="en-GB"/>
        </w:rPr>
        <w:t xml:space="preserve"> </w:t>
      </w:r>
      <w:r w:rsidRPr="0044150C" w:rsidDel="00B43638">
        <w:rPr>
          <w:rFonts w:ascii="Arial" w:hAnsi="Arial" w:cs="Arial"/>
          <w:i/>
          <w:sz w:val="24"/>
          <w:szCs w:val="24"/>
          <w:lang w:val="en-GB"/>
        </w:rPr>
        <w:t>cannot,</w:t>
      </w:r>
      <w:r w:rsidRPr="0044150C" w:rsidDel="00B43638">
        <w:rPr>
          <w:rFonts w:ascii="Arial" w:hAnsi="Arial" w:cs="Arial"/>
          <w:i/>
          <w:spacing w:val="-3"/>
          <w:sz w:val="24"/>
          <w:szCs w:val="24"/>
          <w:lang w:val="en-GB"/>
        </w:rPr>
        <w:t xml:space="preserve"> </w:t>
      </w:r>
      <w:r w:rsidRPr="0044150C" w:rsidDel="00B43638">
        <w:rPr>
          <w:rFonts w:ascii="Arial" w:hAnsi="Arial" w:cs="Arial"/>
          <w:i/>
          <w:sz w:val="24"/>
          <w:szCs w:val="24"/>
          <w:lang w:val="en-GB"/>
        </w:rPr>
        <w:t>at</w:t>
      </w:r>
      <w:r w:rsidRPr="0044150C" w:rsidDel="00B43638">
        <w:rPr>
          <w:rFonts w:ascii="Arial" w:hAnsi="Arial" w:cs="Arial"/>
          <w:i/>
          <w:spacing w:val="-2"/>
          <w:sz w:val="24"/>
          <w:szCs w:val="24"/>
          <w:lang w:val="en-GB"/>
        </w:rPr>
        <w:t xml:space="preserve"> </w:t>
      </w:r>
      <w:r w:rsidRPr="0044150C" w:rsidDel="00B43638">
        <w:rPr>
          <w:rFonts w:ascii="Arial" w:hAnsi="Arial" w:cs="Arial"/>
          <w:i/>
          <w:sz w:val="24"/>
          <w:szCs w:val="24"/>
          <w:lang w:val="en-GB"/>
        </w:rPr>
        <w:t>the</w:t>
      </w:r>
      <w:r w:rsidRPr="0044150C" w:rsidDel="00B43638">
        <w:rPr>
          <w:rFonts w:ascii="Arial" w:hAnsi="Arial" w:cs="Arial"/>
          <w:i/>
          <w:spacing w:val="-4"/>
          <w:sz w:val="24"/>
          <w:szCs w:val="24"/>
          <w:lang w:val="en-GB"/>
        </w:rPr>
        <w:t xml:space="preserve"> </w:t>
      </w:r>
      <w:r w:rsidRPr="0044150C" w:rsidDel="00B43638">
        <w:rPr>
          <w:rFonts w:ascii="Arial" w:hAnsi="Arial" w:cs="Arial"/>
          <w:i/>
          <w:sz w:val="24"/>
          <w:szCs w:val="24"/>
          <w:lang w:val="en-GB"/>
        </w:rPr>
        <w:t>outset,</w:t>
      </w:r>
      <w:r w:rsidRPr="0044150C" w:rsidDel="00B43638">
        <w:rPr>
          <w:rFonts w:ascii="Arial" w:hAnsi="Arial" w:cs="Arial"/>
          <w:i/>
          <w:spacing w:val="-4"/>
          <w:sz w:val="24"/>
          <w:szCs w:val="24"/>
          <w:lang w:val="en-GB"/>
        </w:rPr>
        <w:t xml:space="preserve"> </w:t>
      </w:r>
      <w:r w:rsidRPr="0044150C" w:rsidDel="00B43638">
        <w:rPr>
          <w:rFonts w:ascii="Arial" w:hAnsi="Arial" w:cs="Arial"/>
          <w:i/>
          <w:sz w:val="24"/>
          <w:szCs w:val="24"/>
          <w:lang w:val="en-GB"/>
        </w:rPr>
        <w:t>exclude</w:t>
      </w:r>
      <w:r w:rsidRPr="0044150C" w:rsidDel="00B43638">
        <w:rPr>
          <w:rFonts w:ascii="Arial" w:hAnsi="Arial" w:cs="Arial"/>
          <w:i/>
          <w:spacing w:val="-4"/>
          <w:sz w:val="24"/>
          <w:szCs w:val="24"/>
          <w:lang w:val="en-GB"/>
        </w:rPr>
        <w:t xml:space="preserve"> </w:t>
      </w:r>
      <w:r w:rsidRPr="0044150C" w:rsidDel="00B43638">
        <w:rPr>
          <w:rFonts w:ascii="Arial" w:hAnsi="Arial" w:cs="Arial"/>
          <w:i/>
          <w:sz w:val="24"/>
          <w:szCs w:val="24"/>
          <w:lang w:val="en-GB"/>
        </w:rPr>
        <w:t>consideration</w:t>
      </w:r>
      <w:r w:rsidRPr="0044150C" w:rsidDel="00B43638">
        <w:rPr>
          <w:rFonts w:ascii="Arial" w:hAnsi="Arial" w:cs="Arial"/>
          <w:i/>
          <w:spacing w:val="-3"/>
          <w:sz w:val="24"/>
          <w:szCs w:val="24"/>
          <w:lang w:val="en-GB"/>
        </w:rPr>
        <w:t xml:space="preserve"> </w:t>
      </w:r>
      <w:r w:rsidRPr="0044150C" w:rsidDel="00B43638">
        <w:rPr>
          <w:rFonts w:ascii="Arial" w:hAnsi="Arial" w:cs="Arial"/>
          <w:i/>
          <w:sz w:val="24"/>
          <w:szCs w:val="24"/>
          <w:lang w:val="en-GB"/>
        </w:rPr>
        <w:t>of</w:t>
      </w:r>
      <w:r w:rsidRPr="0044150C" w:rsidDel="00B43638">
        <w:rPr>
          <w:rFonts w:ascii="Arial" w:hAnsi="Arial" w:cs="Arial"/>
          <w:i/>
          <w:spacing w:val="-3"/>
          <w:sz w:val="24"/>
          <w:szCs w:val="24"/>
          <w:lang w:val="en-GB"/>
        </w:rPr>
        <w:t xml:space="preserve"> </w:t>
      </w:r>
      <w:r w:rsidRPr="0044150C" w:rsidDel="00B43638">
        <w:rPr>
          <w:rFonts w:ascii="Arial" w:hAnsi="Arial" w:cs="Arial"/>
          <w:i/>
          <w:sz w:val="24"/>
          <w:szCs w:val="24"/>
          <w:lang w:val="en-GB"/>
        </w:rPr>
        <w:t>any potential in-country prices, including government-related prices other than the financial contribution</w:t>
      </w:r>
      <w:r w:rsidRPr="0044150C" w:rsidDel="00B43638">
        <w:rPr>
          <w:rFonts w:ascii="Arial" w:hAnsi="Arial" w:cs="Arial"/>
          <w:i/>
          <w:spacing w:val="-15"/>
          <w:sz w:val="24"/>
          <w:szCs w:val="24"/>
          <w:lang w:val="en-GB"/>
        </w:rPr>
        <w:t xml:space="preserve"> </w:t>
      </w:r>
      <w:r w:rsidRPr="0044150C" w:rsidDel="00B43638">
        <w:rPr>
          <w:rFonts w:ascii="Arial" w:hAnsi="Arial" w:cs="Arial"/>
          <w:i/>
          <w:sz w:val="24"/>
          <w:szCs w:val="24"/>
          <w:lang w:val="en-GB"/>
        </w:rPr>
        <w:t>at</w:t>
      </w:r>
      <w:r w:rsidRPr="0044150C" w:rsidDel="00B43638">
        <w:rPr>
          <w:rFonts w:ascii="Arial" w:hAnsi="Arial" w:cs="Arial"/>
          <w:i/>
          <w:spacing w:val="-14"/>
          <w:sz w:val="24"/>
          <w:szCs w:val="24"/>
          <w:lang w:val="en-GB"/>
        </w:rPr>
        <w:t xml:space="preserve"> </w:t>
      </w:r>
      <w:r w:rsidRPr="0044150C" w:rsidDel="00B43638">
        <w:rPr>
          <w:rFonts w:ascii="Arial" w:hAnsi="Arial" w:cs="Arial"/>
          <w:i/>
          <w:sz w:val="24"/>
          <w:szCs w:val="24"/>
          <w:lang w:val="en-GB"/>
        </w:rPr>
        <w:t>issue</w:t>
      </w:r>
      <w:r w:rsidRPr="0044150C" w:rsidDel="00B43638">
        <w:rPr>
          <w:rFonts w:ascii="Arial" w:hAnsi="Arial" w:cs="Arial"/>
          <w:sz w:val="24"/>
          <w:szCs w:val="24"/>
          <w:lang w:val="en-GB"/>
        </w:rPr>
        <w:t>.”</w:t>
      </w:r>
      <w:r w:rsidRPr="0044150C" w:rsidDel="00B43638">
        <w:rPr>
          <w:rFonts w:ascii="Arial" w:hAnsi="Arial" w:cs="Arial"/>
          <w:spacing w:val="-22"/>
          <w:sz w:val="24"/>
          <w:szCs w:val="24"/>
          <w:lang w:val="en-GB"/>
        </w:rPr>
        <w:t xml:space="preserve"> </w:t>
      </w:r>
      <w:r w:rsidR="00B45993" w:rsidRPr="0044150C" w:rsidDel="00B43638">
        <w:rPr>
          <w:rStyle w:val="ab"/>
          <w:rFonts w:ascii="Arial" w:hAnsi="Arial" w:cs="Arial"/>
          <w:spacing w:val="-22"/>
          <w:sz w:val="24"/>
          <w:szCs w:val="24"/>
          <w:lang w:val="en-GB"/>
        </w:rPr>
        <w:footnoteReference w:id="40"/>
      </w:r>
      <w:r w:rsidRPr="0044150C" w:rsidDel="00B43638">
        <w:rPr>
          <w:rFonts w:ascii="Arial" w:hAnsi="Arial" w:cs="Arial"/>
          <w:spacing w:val="-6"/>
          <w:sz w:val="24"/>
          <w:szCs w:val="24"/>
          <w:lang w:val="en-GB"/>
        </w:rPr>
        <w:t xml:space="preserve"> </w:t>
      </w:r>
      <w:r w:rsidRPr="0044150C" w:rsidDel="00B43638">
        <w:rPr>
          <w:rFonts w:ascii="Arial" w:hAnsi="Arial" w:cs="Arial"/>
          <w:sz w:val="24"/>
          <w:szCs w:val="24"/>
          <w:lang w:val="en-GB"/>
        </w:rPr>
        <w:t>The</w:t>
      </w:r>
      <w:r w:rsidRPr="0044150C" w:rsidDel="00B43638">
        <w:rPr>
          <w:rFonts w:ascii="Arial" w:hAnsi="Arial" w:cs="Arial"/>
          <w:spacing w:val="-27"/>
          <w:sz w:val="24"/>
          <w:szCs w:val="24"/>
          <w:lang w:val="en-GB"/>
        </w:rPr>
        <w:t xml:space="preserve"> </w:t>
      </w:r>
      <w:r w:rsidRPr="0044150C" w:rsidDel="00B43638">
        <w:rPr>
          <w:rFonts w:ascii="Arial" w:hAnsi="Arial" w:cs="Arial"/>
          <w:sz w:val="24"/>
          <w:szCs w:val="24"/>
          <w:lang w:val="en-GB"/>
        </w:rPr>
        <w:t>Appellate</w:t>
      </w:r>
      <w:r w:rsidRPr="0044150C" w:rsidDel="00B43638">
        <w:rPr>
          <w:rFonts w:ascii="Arial" w:hAnsi="Arial" w:cs="Arial"/>
          <w:spacing w:val="-15"/>
          <w:sz w:val="24"/>
          <w:szCs w:val="24"/>
          <w:lang w:val="en-GB"/>
        </w:rPr>
        <w:t xml:space="preserve"> </w:t>
      </w:r>
      <w:r w:rsidRPr="0044150C" w:rsidDel="00B43638">
        <w:rPr>
          <w:rFonts w:ascii="Arial" w:hAnsi="Arial" w:cs="Arial"/>
          <w:sz w:val="24"/>
          <w:szCs w:val="24"/>
          <w:lang w:val="en-GB"/>
        </w:rPr>
        <w:t>Body</w:t>
      </w:r>
      <w:r w:rsidRPr="0044150C" w:rsidDel="00B43638">
        <w:rPr>
          <w:rFonts w:ascii="Arial" w:hAnsi="Arial" w:cs="Arial"/>
          <w:spacing w:val="-14"/>
          <w:sz w:val="24"/>
          <w:szCs w:val="24"/>
          <w:lang w:val="en-GB"/>
        </w:rPr>
        <w:t xml:space="preserve"> </w:t>
      </w:r>
      <w:r w:rsidRPr="0044150C" w:rsidDel="00B43638">
        <w:rPr>
          <w:rFonts w:ascii="Arial" w:hAnsi="Arial" w:cs="Arial"/>
          <w:sz w:val="24"/>
          <w:szCs w:val="24"/>
          <w:lang w:val="en-GB"/>
        </w:rPr>
        <w:t>in</w:t>
      </w:r>
      <w:r w:rsidRPr="0044150C" w:rsidDel="00B43638">
        <w:rPr>
          <w:rFonts w:ascii="Arial" w:hAnsi="Arial" w:cs="Arial"/>
          <w:spacing w:val="-15"/>
          <w:sz w:val="24"/>
          <w:szCs w:val="24"/>
          <w:lang w:val="en-GB"/>
        </w:rPr>
        <w:t xml:space="preserve"> </w:t>
      </w:r>
      <w:r w:rsidRPr="0044150C" w:rsidDel="00B43638">
        <w:rPr>
          <w:rFonts w:ascii="Arial" w:hAnsi="Arial" w:cs="Arial"/>
          <w:sz w:val="24"/>
          <w:szCs w:val="24"/>
          <w:lang w:val="en-GB"/>
        </w:rPr>
        <w:t>that</w:t>
      </w:r>
      <w:r w:rsidRPr="0044150C" w:rsidDel="00B43638">
        <w:rPr>
          <w:rFonts w:ascii="Arial" w:hAnsi="Arial" w:cs="Arial"/>
          <w:spacing w:val="-16"/>
          <w:sz w:val="24"/>
          <w:szCs w:val="24"/>
          <w:lang w:val="en-GB"/>
        </w:rPr>
        <w:t xml:space="preserve"> </w:t>
      </w:r>
      <w:r w:rsidRPr="0044150C" w:rsidDel="00B43638">
        <w:rPr>
          <w:rFonts w:ascii="Arial" w:hAnsi="Arial" w:cs="Arial"/>
          <w:sz w:val="24"/>
          <w:szCs w:val="24"/>
          <w:lang w:val="en-GB"/>
        </w:rPr>
        <w:t>case</w:t>
      </w:r>
      <w:r w:rsidRPr="0044150C" w:rsidDel="00B43638">
        <w:rPr>
          <w:rFonts w:ascii="Arial" w:hAnsi="Arial" w:cs="Arial"/>
          <w:spacing w:val="-16"/>
          <w:sz w:val="24"/>
          <w:szCs w:val="24"/>
          <w:lang w:val="en-GB"/>
        </w:rPr>
        <w:t xml:space="preserve"> </w:t>
      </w:r>
      <w:r w:rsidRPr="0044150C" w:rsidDel="00B43638">
        <w:rPr>
          <w:rFonts w:ascii="Arial" w:hAnsi="Arial" w:cs="Arial"/>
          <w:sz w:val="24"/>
          <w:szCs w:val="24"/>
          <w:lang w:val="en-GB"/>
        </w:rPr>
        <w:t>disagreed</w:t>
      </w:r>
      <w:r w:rsidRPr="0044150C" w:rsidDel="00B43638">
        <w:rPr>
          <w:rFonts w:ascii="Arial" w:hAnsi="Arial" w:cs="Arial"/>
          <w:spacing w:val="-14"/>
          <w:sz w:val="24"/>
          <w:szCs w:val="24"/>
          <w:lang w:val="en-GB"/>
        </w:rPr>
        <w:t xml:space="preserve"> </w:t>
      </w:r>
      <w:r w:rsidRPr="0044150C" w:rsidDel="00B43638">
        <w:rPr>
          <w:rFonts w:ascii="Arial" w:hAnsi="Arial" w:cs="Arial"/>
          <w:sz w:val="24"/>
          <w:szCs w:val="24"/>
          <w:lang w:val="en-GB"/>
        </w:rPr>
        <w:t>with</w:t>
      </w:r>
      <w:r w:rsidRPr="0044150C" w:rsidDel="00B43638">
        <w:rPr>
          <w:rFonts w:ascii="Arial" w:hAnsi="Arial" w:cs="Arial"/>
          <w:spacing w:val="-14"/>
          <w:sz w:val="24"/>
          <w:szCs w:val="24"/>
          <w:lang w:val="en-GB"/>
        </w:rPr>
        <w:t xml:space="preserve"> </w:t>
      </w:r>
      <w:r w:rsidRPr="0044150C" w:rsidDel="00B43638">
        <w:rPr>
          <w:rFonts w:ascii="Arial" w:hAnsi="Arial" w:cs="Arial"/>
          <w:sz w:val="24"/>
          <w:szCs w:val="24"/>
          <w:lang w:val="en-GB"/>
        </w:rPr>
        <w:t>the</w:t>
      </w:r>
      <w:r w:rsidRPr="0044150C" w:rsidDel="00B43638">
        <w:rPr>
          <w:rFonts w:ascii="Arial" w:hAnsi="Arial" w:cs="Arial"/>
          <w:spacing w:val="-15"/>
          <w:sz w:val="24"/>
          <w:szCs w:val="24"/>
          <w:lang w:val="en-GB"/>
        </w:rPr>
        <w:t xml:space="preserve"> </w:t>
      </w:r>
      <w:r w:rsidRPr="0044150C" w:rsidDel="00B43638">
        <w:rPr>
          <w:rFonts w:ascii="Arial" w:hAnsi="Arial" w:cs="Arial"/>
          <w:sz w:val="24"/>
          <w:szCs w:val="24"/>
          <w:lang w:val="en-GB"/>
        </w:rPr>
        <w:t>Panel’s</w:t>
      </w:r>
      <w:r w:rsidRPr="0044150C" w:rsidDel="00B43638">
        <w:rPr>
          <w:rFonts w:ascii="Arial" w:hAnsi="Arial" w:cs="Arial"/>
          <w:spacing w:val="-14"/>
          <w:sz w:val="24"/>
          <w:szCs w:val="24"/>
          <w:lang w:val="en-GB"/>
        </w:rPr>
        <w:t xml:space="preserve"> </w:t>
      </w:r>
      <w:r w:rsidRPr="0044150C" w:rsidDel="00B43638">
        <w:rPr>
          <w:rFonts w:ascii="Arial" w:hAnsi="Arial" w:cs="Arial"/>
          <w:sz w:val="24"/>
          <w:szCs w:val="24"/>
          <w:lang w:val="en-GB"/>
        </w:rPr>
        <w:t>conclusion that “</w:t>
      </w:r>
      <w:r w:rsidRPr="0044150C" w:rsidDel="00B43638">
        <w:rPr>
          <w:rFonts w:ascii="Arial" w:hAnsi="Arial" w:cs="Arial"/>
          <w:i/>
          <w:sz w:val="24"/>
          <w:szCs w:val="24"/>
          <w:lang w:val="en-GB"/>
        </w:rPr>
        <w:t xml:space="preserve">Article 14(d) does not </w:t>
      </w:r>
      <w:r w:rsidRPr="0044150C" w:rsidDel="00B43638">
        <w:rPr>
          <w:rFonts w:ascii="Arial" w:hAnsi="Arial" w:cs="Arial"/>
          <w:i/>
          <w:spacing w:val="-3"/>
          <w:sz w:val="24"/>
          <w:szCs w:val="24"/>
          <w:lang w:val="en-GB"/>
        </w:rPr>
        <w:t xml:space="preserve">require </w:t>
      </w:r>
      <w:r w:rsidRPr="0044150C" w:rsidDel="00B43638">
        <w:rPr>
          <w:rFonts w:ascii="Arial" w:hAnsi="Arial" w:cs="Arial"/>
          <w:i/>
          <w:sz w:val="24"/>
          <w:szCs w:val="24"/>
          <w:lang w:val="en-GB"/>
        </w:rPr>
        <w:t>the consideration of government-related prices simply because governments may set prices in pursuit of public policy</w:t>
      </w:r>
      <w:r w:rsidRPr="0044150C" w:rsidDel="00B43638">
        <w:rPr>
          <w:rFonts w:ascii="Arial" w:hAnsi="Arial" w:cs="Arial"/>
          <w:i/>
          <w:spacing w:val="-6"/>
          <w:sz w:val="24"/>
          <w:szCs w:val="24"/>
          <w:lang w:val="en-GB"/>
        </w:rPr>
        <w:t xml:space="preserve"> </w:t>
      </w:r>
      <w:r w:rsidRPr="0044150C" w:rsidDel="00B43638">
        <w:rPr>
          <w:rFonts w:ascii="Arial" w:hAnsi="Arial" w:cs="Arial"/>
          <w:i/>
          <w:sz w:val="24"/>
          <w:szCs w:val="24"/>
          <w:lang w:val="en-GB"/>
        </w:rPr>
        <w:t>objectives</w:t>
      </w:r>
      <w:r w:rsidRPr="0044150C" w:rsidDel="00B43638">
        <w:rPr>
          <w:rFonts w:ascii="Arial" w:hAnsi="Arial" w:cs="Arial"/>
          <w:sz w:val="24"/>
          <w:szCs w:val="24"/>
          <w:lang w:val="en-GB"/>
        </w:rPr>
        <w:t>.”</w:t>
      </w:r>
      <w:r w:rsidR="00B45993" w:rsidRPr="0044150C" w:rsidDel="00B43638">
        <w:rPr>
          <w:rStyle w:val="ab"/>
          <w:rFonts w:ascii="Arial" w:hAnsi="Arial" w:cs="Arial"/>
          <w:sz w:val="24"/>
          <w:szCs w:val="24"/>
          <w:lang w:val="en-GB"/>
        </w:rPr>
        <w:footnoteReference w:id="41"/>
      </w:r>
    </w:p>
    <w:p w14:paraId="4D57C0B9" w14:textId="169A3AFA" w:rsidR="00B45993" w:rsidRPr="0044150C" w:rsidDel="00B43638" w:rsidRDefault="00B45993" w:rsidP="00B45993">
      <w:pPr>
        <w:pStyle w:val="a9"/>
        <w:tabs>
          <w:tab w:val="num" w:pos="0"/>
        </w:tabs>
        <w:spacing w:before="100"/>
        <w:ind w:left="644" w:right="95"/>
        <w:rPr>
          <w:rFonts w:ascii="Arial" w:hAnsi="Arial" w:cs="Arial"/>
          <w:sz w:val="24"/>
          <w:szCs w:val="24"/>
          <w:lang w:val="en-GB"/>
        </w:rPr>
      </w:pPr>
    </w:p>
    <w:p w14:paraId="47919042" w14:textId="0EAA78FE" w:rsidR="00672C19" w:rsidRPr="0044150C" w:rsidDel="00B43638" w:rsidRDefault="00672C19" w:rsidP="00A77481">
      <w:pPr>
        <w:pStyle w:val="a9"/>
        <w:widowControl w:val="0"/>
        <w:numPr>
          <w:ilvl w:val="0"/>
          <w:numId w:val="1"/>
        </w:numPr>
        <w:autoSpaceDE w:val="0"/>
        <w:autoSpaceDN w:val="0"/>
        <w:spacing w:before="240"/>
        <w:ind w:right="95" w:hanging="644"/>
        <w:rPr>
          <w:rFonts w:ascii="Arial" w:hAnsi="Arial" w:cs="Arial"/>
          <w:sz w:val="24"/>
          <w:szCs w:val="24"/>
          <w:lang w:val="en-GB"/>
        </w:rPr>
      </w:pPr>
      <w:r w:rsidRPr="0044150C" w:rsidDel="00B43638">
        <w:rPr>
          <w:rFonts w:ascii="Arial" w:hAnsi="Arial" w:cs="Arial"/>
          <w:sz w:val="24"/>
          <w:szCs w:val="24"/>
          <w:lang w:val="en-GB"/>
        </w:rPr>
        <w:t xml:space="preserve">The GOC also notes that the Appellate Body in </w:t>
      </w:r>
      <w:r w:rsidRPr="0044150C" w:rsidDel="00B43638">
        <w:rPr>
          <w:rFonts w:ascii="Arial" w:hAnsi="Arial" w:cs="Arial"/>
          <w:i/>
          <w:sz w:val="24"/>
          <w:szCs w:val="24"/>
          <w:lang w:val="en-GB"/>
        </w:rPr>
        <w:t xml:space="preserve">US – Carbon Steel (India) </w:t>
      </w:r>
      <w:r w:rsidRPr="0044150C" w:rsidDel="00B43638">
        <w:rPr>
          <w:rFonts w:ascii="Arial" w:hAnsi="Arial" w:cs="Arial"/>
          <w:sz w:val="24"/>
          <w:szCs w:val="24"/>
          <w:lang w:val="en-GB"/>
        </w:rPr>
        <w:t>underlined that “</w:t>
      </w:r>
      <w:r w:rsidRPr="0044150C" w:rsidDel="00B43638">
        <w:rPr>
          <w:rFonts w:ascii="Arial" w:hAnsi="Arial" w:cs="Arial"/>
          <w:i/>
          <w:sz w:val="24"/>
          <w:szCs w:val="24"/>
          <w:lang w:val="en-GB"/>
        </w:rPr>
        <w:t>[p]roper</w:t>
      </w:r>
      <w:r w:rsidRPr="0044150C" w:rsidDel="00B43638">
        <w:rPr>
          <w:rFonts w:ascii="Arial" w:hAnsi="Arial" w:cs="Arial"/>
          <w:i/>
          <w:spacing w:val="-5"/>
          <w:sz w:val="24"/>
          <w:szCs w:val="24"/>
          <w:lang w:val="en-GB"/>
        </w:rPr>
        <w:t xml:space="preserve"> </w:t>
      </w:r>
      <w:r w:rsidRPr="0044150C" w:rsidDel="00B43638">
        <w:rPr>
          <w:rFonts w:ascii="Arial" w:hAnsi="Arial" w:cs="Arial"/>
          <w:i/>
          <w:sz w:val="24"/>
          <w:szCs w:val="24"/>
          <w:lang w:val="en-GB"/>
        </w:rPr>
        <w:t>benchmark</w:t>
      </w:r>
      <w:r w:rsidRPr="0044150C" w:rsidDel="00B43638">
        <w:rPr>
          <w:rFonts w:ascii="Arial" w:hAnsi="Arial" w:cs="Arial"/>
          <w:i/>
          <w:spacing w:val="-3"/>
          <w:sz w:val="24"/>
          <w:szCs w:val="24"/>
          <w:lang w:val="en-GB"/>
        </w:rPr>
        <w:t xml:space="preserve"> </w:t>
      </w:r>
      <w:r w:rsidRPr="0044150C" w:rsidDel="00B43638">
        <w:rPr>
          <w:rFonts w:ascii="Arial" w:hAnsi="Arial" w:cs="Arial"/>
          <w:i/>
          <w:sz w:val="24"/>
          <w:szCs w:val="24"/>
          <w:lang w:val="en-GB"/>
        </w:rPr>
        <w:t>prices</w:t>
      </w:r>
      <w:r w:rsidRPr="0044150C" w:rsidDel="00B43638">
        <w:rPr>
          <w:rFonts w:ascii="Arial" w:hAnsi="Arial" w:cs="Arial"/>
          <w:i/>
          <w:spacing w:val="-5"/>
          <w:sz w:val="24"/>
          <w:szCs w:val="24"/>
          <w:lang w:val="en-GB"/>
        </w:rPr>
        <w:t xml:space="preserve"> </w:t>
      </w:r>
      <w:r w:rsidRPr="0044150C" w:rsidDel="00B43638">
        <w:rPr>
          <w:rFonts w:ascii="Arial" w:hAnsi="Arial" w:cs="Arial"/>
          <w:i/>
          <w:sz w:val="24"/>
          <w:szCs w:val="24"/>
          <w:lang w:val="en-GB"/>
        </w:rPr>
        <w:t>would</w:t>
      </w:r>
      <w:r w:rsidRPr="0044150C" w:rsidDel="00B43638">
        <w:rPr>
          <w:rFonts w:ascii="Arial" w:hAnsi="Arial" w:cs="Arial"/>
          <w:i/>
          <w:spacing w:val="-3"/>
          <w:sz w:val="24"/>
          <w:szCs w:val="24"/>
          <w:lang w:val="en-GB"/>
        </w:rPr>
        <w:t xml:space="preserve"> </w:t>
      </w:r>
      <w:r w:rsidRPr="0044150C" w:rsidDel="00B43638">
        <w:rPr>
          <w:rFonts w:ascii="Arial" w:hAnsi="Arial" w:cs="Arial"/>
          <w:i/>
          <w:sz w:val="24"/>
          <w:szCs w:val="24"/>
          <w:lang w:val="en-GB"/>
        </w:rPr>
        <w:t>normally</w:t>
      </w:r>
      <w:r w:rsidRPr="0044150C" w:rsidDel="00B43638">
        <w:rPr>
          <w:rFonts w:ascii="Arial" w:hAnsi="Arial" w:cs="Arial"/>
          <w:i/>
          <w:spacing w:val="-2"/>
          <w:sz w:val="24"/>
          <w:szCs w:val="24"/>
          <w:lang w:val="en-GB"/>
        </w:rPr>
        <w:t xml:space="preserve"> </w:t>
      </w:r>
      <w:r w:rsidRPr="0044150C" w:rsidDel="00B43638">
        <w:rPr>
          <w:rFonts w:ascii="Arial" w:hAnsi="Arial" w:cs="Arial"/>
          <w:i/>
          <w:sz w:val="24"/>
          <w:szCs w:val="24"/>
          <w:lang w:val="en-GB"/>
        </w:rPr>
        <w:t>emanate</w:t>
      </w:r>
      <w:r w:rsidRPr="0044150C" w:rsidDel="00B43638">
        <w:rPr>
          <w:rFonts w:ascii="Arial" w:hAnsi="Arial" w:cs="Arial"/>
          <w:i/>
          <w:spacing w:val="-4"/>
          <w:sz w:val="24"/>
          <w:szCs w:val="24"/>
          <w:lang w:val="en-GB"/>
        </w:rPr>
        <w:t xml:space="preserve"> </w:t>
      </w:r>
      <w:r w:rsidRPr="0044150C" w:rsidDel="00B43638">
        <w:rPr>
          <w:rFonts w:ascii="Arial" w:hAnsi="Arial" w:cs="Arial"/>
          <w:i/>
          <w:spacing w:val="-3"/>
          <w:sz w:val="24"/>
          <w:szCs w:val="24"/>
          <w:lang w:val="en-GB"/>
        </w:rPr>
        <w:t>from</w:t>
      </w:r>
      <w:r w:rsidRPr="0044150C" w:rsidDel="00B43638">
        <w:rPr>
          <w:rFonts w:ascii="Arial" w:hAnsi="Arial" w:cs="Arial"/>
          <w:i/>
          <w:spacing w:val="-4"/>
          <w:sz w:val="24"/>
          <w:szCs w:val="24"/>
          <w:lang w:val="en-GB"/>
        </w:rPr>
        <w:t xml:space="preserve"> </w:t>
      </w:r>
      <w:r w:rsidRPr="0044150C" w:rsidDel="00B43638">
        <w:rPr>
          <w:rFonts w:ascii="Arial" w:hAnsi="Arial" w:cs="Arial"/>
          <w:i/>
          <w:sz w:val="24"/>
          <w:szCs w:val="24"/>
          <w:lang w:val="en-GB"/>
        </w:rPr>
        <w:t>the</w:t>
      </w:r>
      <w:r w:rsidRPr="0044150C" w:rsidDel="00B43638">
        <w:rPr>
          <w:rFonts w:ascii="Arial" w:hAnsi="Arial" w:cs="Arial"/>
          <w:i/>
          <w:spacing w:val="-2"/>
          <w:sz w:val="24"/>
          <w:szCs w:val="24"/>
          <w:lang w:val="en-GB"/>
        </w:rPr>
        <w:t xml:space="preserve"> </w:t>
      </w:r>
      <w:r w:rsidRPr="0044150C" w:rsidDel="00B43638">
        <w:rPr>
          <w:rFonts w:ascii="Arial" w:hAnsi="Arial" w:cs="Arial"/>
          <w:i/>
          <w:sz w:val="24"/>
          <w:szCs w:val="24"/>
          <w:lang w:val="en-GB"/>
        </w:rPr>
        <w:lastRenderedPageBreak/>
        <w:t>market</w:t>
      </w:r>
      <w:r w:rsidRPr="0044150C" w:rsidDel="00B43638">
        <w:rPr>
          <w:rFonts w:ascii="Arial" w:hAnsi="Arial" w:cs="Arial"/>
          <w:i/>
          <w:spacing w:val="-3"/>
          <w:sz w:val="24"/>
          <w:szCs w:val="24"/>
          <w:lang w:val="en-GB"/>
        </w:rPr>
        <w:t xml:space="preserve"> </w:t>
      </w:r>
      <w:r w:rsidRPr="0044150C" w:rsidDel="00B43638">
        <w:rPr>
          <w:rFonts w:ascii="Arial" w:hAnsi="Arial" w:cs="Arial"/>
          <w:i/>
          <w:sz w:val="24"/>
          <w:szCs w:val="24"/>
          <w:lang w:val="en-GB"/>
        </w:rPr>
        <w:t>for</w:t>
      </w:r>
      <w:r w:rsidRPr="0044150C" w:rsidDel="00B43638">
        <w:rPr>
          <w:rFonts w:ascii="Arial" w:hAnsi="Arial" w:cs="Arial"/>
          <w:i/>
          <w:spacing w:val="-4"/>
          <w:sz w:val="24"/>
          <w:szCs w:val="24"/>
          <w:lang w:val="en-GB"/>
        </w:rPr>
        <w:t xml:space="preserve"> </w:t>
      </w:r>
      <w:r w:rsidRPr="0044150C" w:rsidDel="00B43638">
        <w:rPr>
          <w:rFonts w:ascii="Arial" w:hAnsi="Arial" w:cs="Arial"/>
          <w:i/>
          <w:sz w:val="24"/>
          <w:szCs w:val="24"/>
          <w:lang w:val="en-GB"/>
        </w:rPr>
        <w:t>the</w:t>
      </w:r>
      <w:r w:rsidRPr="0044150C" w:rsidDel="00B43638">
        <w:rPr>
          <w:rFonts w:ascii="Arial" w:hAnsi="Arial" w:cs="Arial"/>
          <w:i/>
          <w:spacing w:val="-5"/>
          <w:sz w:val="24"/>
          <w:szCs w:val="24"/>
          <w:lang w:val="en-GB"/>
        </w:rPr>
        <w:t xml:space="preserve"> </w:t>
      </w:r>
      <w:r w:rsidRPr="0044150C" w:rsidDel="00B43638">
        <w:rPr>
          <w:rFonts w:ascii="Arial" w:hAnsi="Arial" w:cs="Arial"/>
          <w:i/>
          <w:sz w:val="24"/>
          <w:szCs w:val="24"/>
          <w:lang w:val="en-GB"/>
        </w:rPr>
        <w:t>good</w:t>
      </w:r>
      <w:r w:rsidRPr="0044150C" w:rsidDel="00B43638">
        <w:rPr>
          <w:rFonts w:ascii="Arial" w:hAnsi="Arial" w:cs="Arial"/>
          <w:i/>
          <w:spacing w:val="-4"/>
          <w:sz w:val="24"/>
          <w:szCs w:val="24"/>
          <w:lang w:val="en-GB"/>
        </w:rPr>
        <w:t xml:space="preserve"> </w:t>
      </w:r>
      <w:r w:rsidRPr="0044150C" w:rsidDel="00B43638">
        <w:rPr>
          <w:rFonts w:ascii="Arial" w:hAnsi="Arial" w:cs="Arial"/>
          <w:i/>
          <w:sz w:val="24"/>
          <w:szCs w:val="24"/>
          <w:lang w:val="en-GB"/>
        </w:rPr>
        <w:t>in</w:t>
      </w:r>
      <w:r w:rsidRPr="0044150C" w:rsidDel="00B43638">
        <w:rPr>
          <w:rFonts w:ascii="Arial" w:hAnsi="Arial" w:cs="Arial"/>
          <w:i/>
          <w:spacing w:val="-4"/>
          <w:sz w:val="24"/>
          <w:szCs w:val="24"/>
          <w:lang w:val="en-GB"/>
        </w:rPr>
        <w:t xml:space="preserve"> </w:t>
      </w:r>
      <w:r w:rsidRPr="0044150C" w:rsidDel="00B43638">
        <w:rPr>
          <w:rFonts w:ascii="Arial" w:hAnsi="Arial" w:cs="Arial"/>
          <w:i/>
          <w:sz w:val="24"/>
          <w:szCs w:val="24"/>
          <w:lang w:val="en-GB"/>
        </w:rPr>
        <w:t>question in the country of provision</w:t>
      </w:r>
      <w:r w:rsidRPr="0044150C" w:rsidDel="00B43638">
        <w:rPr>
          <w:rFonts w:ascii="Arial" w:hAnsi="Arial" w:cs="Arial"/>
          <w:sz w:val="24"/>
          <w:szCs w:val="24"/>
          <w:lang w:val="en-GB"/>
        </w:rPr>
        <w:t>” and such in-country prices “</w:t>
      </w:r>
      <w:r w:rsidRPr="0044150C" w:rsidDel="00B43638">
        <w:rPr>
          <w:rFonts w:ascii="Arial" w:hAnsi="Arial" w:cs="Arial"/>
          <w:i/>
          <w:sz w:val="24"/>
          <w:szCs w:val="24"/>
          <w:lang w:val="en-GB"/>
        </w:rPr>
        <w:t>necessarily have the requisite connection with the prevailing market conditions in the country of provision that is prescribed by the second sentence of Article 14(d)</w:t>
      </w:r>
      <w:r w:rsidRPr="0044150C" w:rsidDel="00B43638">
        <w:rPr>
          <w:rFonts w:ascii="Arial" w:hAnsi="Arial" w:cs="Arial"/>
          <w:sz w:val="24"/>
          <w:szCs w:val="24"/>
          <w:lang w:val="en-GB"/>
        </w:rPr>
        <w:t>.”</w:t>
      </w:r>
      <w:r w:rsidR="00B45993" w:rsidRPr="0044150C" w:rsidDel="00B43638">
        <w:rPr>
          <w:rStyle w:val="ab"/>
          <w:rFonts w:ascii="Arial" w:hAnsi="Arial" w:cs="Arial"/>
          <w:sz w:val="24"/>
          <w:szCs w:val="24"/>
          <w:lang w:val="en-GB"/>
        </w:rPr>
        <w:footnoteReference w:id="42"/>
      </w:r>
      <w:r w:rsidRPr="0044150C" w:rsidDel="00B43638">
        <w:rPr>
          <w:rFonts w:ascii="Arial" w:hAnsi="Arial" w:cs="Arial"/>
          <w:sz w:val="24"/>
          <w:szCs w:val="24"/>
          <w:lang w:val="en-GB"/>
        </w:rPr>
        <w:t xml:space="preserve"> According to the Appellate </w:t>
      </w:r>
      <w:r w:rsidRPr="0044150C" w:rsidDel="00B43638">
        <w:rPr>
          <w:rFonts w:ascii="Arial" w:hAnsi="Arial" w:cs="Arial"/>
          <w:spacing w:val="-3"/>
          <w:sz w:val="24"/>
          <w:szCs w:val="24"/>
          <w:lang w:val="en-GB"/>
        </w:rPr>
        <w:t xml:space="preserve">Body, </w:t>
      </w:r>
      <w:r w:rsidRPr="0044150C" w:rsidDel="00B43638">
        <w:rPr>
          <w:rFonts w:ascii="Arial" w:hAnsi="Arial" w:cs="Arial"/>
          <w:sz w:val="24"/>
          <w:szCs w:val="24"/>
          <w:lang w:val="en-GB"/>
        </w:rPr>
        <w:t>the “</w:t>
      </w:r>
      <w:r w:rsidRPr="0044150C" w:rsidDel="00B43638">
        <w:rPr>
          <w:rFonts w:ascii="Arial" w:hAnsi="Arial" w:cs="Arial"/>
          <w:i/>
          <w:sz w:val="24"/>
          <w:szCs w:val="24"/>
          <w:lang w:val="en-GB"/>
        </w:rPr>
        <w:t xml:space="preserve">primary” </w:t>
      </w:r>
      <w:r w:rsidRPr="0044150C" w:rsidDel="00B43638">
        <w:rPr>
          <w:rFonts w:ascii="Arial" w:hAnsi="Arial" w:cs="Arial"/>
          <w:sz w:val="24"/>
          <w:szCs w:val="24"/>
          <w:lang w:val="en-GB"/>
        </w:rPr>
        <w:t>benchmark,</w:t>
      </w:r>
      <w:r w:rsidRPr="0044150C" w:rsidDel="00B43638">
        <w:rPr>
          <w:rFonts w:ascii="Arial" w:hAnsi="Arial" w:cs="Arial"/>
          <w:spacing w:val="-15"/>
          <w:sz w:val="24"/>
          <w:szCs w:val="24"/>
          <w:lang w:val="en-GB"/>
        </w:rPr>
        <w:t xml:space="preserve"> </w:t>
      </w:r>
      <w:r w:rsidRPr="0044150C" w:rsidDel="00B43638">
        <w:rPr>
          <w:rFonts w:ascii="Arial" w:hAnsi="Arial" w:cs="Arial"/>
          <w:sz w:val="24"/>
          <w:szCs w:val="24"/>
          <w:lang w:val="en-GB"/>
        </w:rPr>
        <w:t>and</w:t>
      </w:r>
      <w:r w:rsidRPr="0044150C" w:rsidDel="00B43638">
        <w:rPr>
          <w:rFonts w:ascii="Arial" w:hAnsi="Arial" w:cs="Arial"/>
          <w:spacing w:val="-15"/>
          <w:sz w:val="24"/>
          <w:szCs w:val="24"/>
          <w:lang w:val="en-GB"/>
        </w:rPr>
        <w:t xml:space="preserve"> </w:t>
      </w:r>
      <w:r w:rsidRPr="0044150C" w:rsidDel="00B43638">
        <w:rPr>
          <w:rFonts w:ascii="Arial" w:hAnsi="Arial" w:cs="Arial"/>
          <w:sz w:val="24"/>
          <w:szCs w:val="24"/>
          <w:lang w:val="en-GB"/>
        </w:rPr>
        <w:t>“</w:t>
      </w:r>
      <w:r w:rsidRPr="0044150C" w:rsidDel="00B43638">
        <w:rPr>
          <w:rFonts w:ascii="Arial" w:hAnsi="Arial" w:cs="Arial"/>
          <w:i/>
          <w:sz w:val="24"/>
          <w:szCs w:val="24"/>
          <w:lang w:val="en-GB"/>
        </w:rPr>
        <w:t>therefore</w:t>
      </w:r>
      <w:r w:rsidRPr="0044150C" w:rsidDel="00B43638">
        <w:rPr>
          <w:rFonts w:ascii="Arial" w:hAnsi="Arial" w:cs="Arial"/>
          <w:i/>
          <w:spacing w:val="-16"/>
          <w:sz w:val="24"/>
          <w:szCs w:val="24"/>
          <w:lang w:val="en-GB"/>
        </w:rPr>
        <w:t xml:space="preserve"> </w:t>
      </w:r>
      <w:r w:rsidRPr="0044150C" w:rsidDel="00B43638">
        <w:rPr>
          <w:rFonts w:ascii="Arial" w:hAnsi="Arial" w:cs="Arial"/>
          <w:i/>
          <w:sz w:val="24"/>
          <w:szCs w:val="24"/>
          <w:lang w:val="en-GB"/>
        </w:rPr>
        <w:t>the</w:t>
      </w:r>
      <w:r w:rsidRPr="0044150C" w:rsidDel="00B43638">
        <w:rPr>
          <w:rFonts w:ascii="Arial" w:hAnsi="Arial" w:cs="Arial"/>
          <w:i/>
          <w:spacing w:val="-15"/>
          <w:sz w:val="24"/>
          <w:szCs w:val="24"/>
          <w:lang w:val="en-GB"/>
        </w:rPr>
        <w:t xml:space="preserve"> </w:t>
      </w:r>
      <w:r w:rsidRPr="0044150C" w:rsidDel="00B43638">
        <w:rPr>
          <w:rFonts w:ascii="Arial" w:hAnsi="Arial" w:cs="Arial"/>
          <w:i/>
          <w:sz w:val="24"/>
          <w:szCs w:val="24"/>
          <w:lang w:val="en-GB"/>
        </w:rPr>
        <w:t>starting</w:t>
      </w:r>
      <w:r w:rsidRPr="0044150C" w:rsidDel="00B43638">
        <w:rPr>
          <w:rFonts w:ascii="Arial" w:hAnsi="Arial" w:cs="Arial"/>
          <w:i/>
          <w:spacing w:val="-15"/>
          <w:sz w:val="24"/>
          <w:szCs w:val="24"/>
          <w:lang w:val="en-GB"/>
        </w:rPr>
        <w:t xml:space="preserve"> </w:t>
      </w:r>
      <w:r w:rsidRPr="0044150C" w:rsidDel="00B43638">
        <w:rPr>
          <w:rFonts w:ascii="Arial" w:hAnsi="Arial" w:cs="Arial"/>
          <w:i/>
          <w:sz w:val="24"/>
          <w:szCs w:val="24"/>
          <w:lang w:val="en-GB"/>
        </w:rPr>
        <w:t>point</w:t>
      </w:r>
      <w:r w:rsidRPr="0044150C" w:rsidDel="00B43638">
        <w:rPr>
          <w:rFonts w:ascii="Arial" w:hAnsi="Arial" w:cs="Arial"/>
          <w:i/>
          <w:spacing w:val="-14"/>
          <w:sz w:val="24"/>
          <w:szCs w:val="24"/>
          <w:lang w:val="en-GB"/>
        </w:rPr>
        <w:t xml:space="preserve"> </w:t>
      </w:r>
      <w:r w:rsidRPr="0044150C" w:rsidDel="00B43638">
        <w:rPr>
          <w:rFonts w:ascii="Arial" w:hAnsi="Arial" w:cs="Arial"/>
          <w:i/>
          <w:sz w:val="24"/>
          <w:szCs w:val="24"/>
          <w:lang w:val="en-GB"/>
        </w:rPr>
        <w:t>of</w:t>
      </w:r>
      <w:r w:rsidRPr="0044150C" w:rsidDel="00B43638">
        <w:rPr>
          <w:rFonts w:ascii="Arial" w:hAnsi="Arial" w:cs="Arial"/>
          <w:i/>
          <w:spacing w:val="-17"/>
          <w:sz w:val="24"/>
          <w:szCs w:val="24"/>
          <w:lang w:val="en-GB"/>
        </w:rPr>
        <w:t xml:space="preserve"> </w:t>
      </w:r>
      <w:r w:rsidRPr="0044150C" w:rsidDel="00B43638">
        <w:rPr>
          <w:rFonts w:ascii="Arial" w:hAnsi="Arial" w:cs="Arial"/>
          <w:i/>
          <w:sz w:val="24"/>
          <w:szCs w:val="24"/>
          <w:lang w:val="en-GB"/>
        </w:rPr>
        <w:t>the</w:t>
      </w:r>
      <w:r w:rsidRPr="0044150C" w:rsidDel="00B43638">
        <w:rPr>
          <w:rFonts w:ascii="Arial" w:hAnsi="Arial" w:cs="Arial"/>
          <w:i/>
          <w:spacing w:val="-18"/>
          <w:sz w:val="24"/>
          <w:szCs w:val="24"/>
          <w:lang w:val="en-GB"/>
        </w:rPr>
        <w:t xml:space="preserve"> </w:t>
      </w:r>
      <w:r w:rsidRPr="0044150C" w:rsidDel="00B43638">
        <w:rPr>
          <w:rFonts w:ascii="Arial" w:hAnsi="Arial" w:cs="Arial"/>
          <w:i/>
          <w:sz w:val="24"/>
          <w:szCs w:val="24"/>
          <w:lang w:val="en-GB"/>
        </w:rPr>
        <w:t>analysis</w:t>
      </w:r>
      <w:r w:rsidRPr="0044150C" w:rsidDel="00B43638">
        <w:rPr>
          <w:rFonts w:ascii="Arial" w:hAnsi="Arial" w:cs="Arial"/>
          <w:sz w:val="24"/>
          <w:szCs w:val="24"/>
          <w:lang w:val="en-GB"/>
        </w:rPr>
        <w:t>”</w:t>
      </w:r>
      <w:r w:rsidRPr="0044150C" w:rsidDel="00B43638">
        <w:rPr>
          <w:rFonts w:ascii="Arial" w:hAnsi="Arial" w:cs="Arial"/>
          <w:spacing w:val="-16"/>
          <w:sz w:val="24"/>
          <w:szCs w:val="24"/>
          <w:lang w:val="en-GB"/>
        </w:rPr>
        <w:t xml:space="preserve"> </w:t>
      </w:r>
      <w:r w:rsidRPr="0044150C" w:rsidDel="00B43638">
        <w:rPr>
          <w:rFonts w:ascii="Arial" w:hAnsi="Arial" w:cs="Arial"/>
          <w:sz w:val="24"/>
          <w:szCs w:val="24"/>
          <w:lang w:val="en-GB"/>
        </w:rPr>
        <w:t>for</w:t>
      </w:r>
      <w:r w:rsidRPr="0044150C" w:rsidDel="00B43638">
        <w:rPr>
          <w:rFonts w:ascii="Arial" w:hAnsi="Arial" w:cs="Arial"/>
          <w:spacing w:val="-17"/>
          <w:sz w:val="24"/>
          <w:szCs w:val="24"/>
          <w:lang w:val="en-GB"/>
        </w:rPr>
        <w:t xml:space="preserve"> </w:t>
      </w:r>
      <w:r w:rsidRPr="0044150C" w:rsidDel="00B43638">
        <w:rPr>
          <w:rFonts w:ascii="Arial" w:hAnsi="Arial" w:cs="Arial"/>
          <w:sz w:val="24"/>
          <w:szCs w:val="24"/>
          <w:lang w:val="en-GB"/>
        </w:rPr>
        <w:t>determining</w:t>
      </w:r>
      <w:r w:rsidRPr="0044150C" w:rsidDel="00B43638">
        <w:rPr>
          <w:rFonts w:ascii="Arial" w:hAnsi="Arial" w:cs="Arial"/>
          <w:spacing w:val="-15"/>
          <w:sz w:val="24"/>
          <w:szCs w:val="24"/>
          <w:lang w:val="en-GB"/>
        </w:rPr>
        <w:t xml:space="preserve"> </w:t>
      </w:r>
      <w:r w:rsidRPr="0044150C" w:rsidDel="00B43638">
        <w:rPr>
          <w:rFonts w:ascii="Arial" w:hAnsi="Arial" w:cs="Arial"/>
          <w:sz w:val="24"/>
          <w:szCs w:val="24"/>
          <w:lang w:val="en-GB"/>
        </w:rPr>
        <w:t>a</w:t>
      </w:r>
      <w:r w:rsidRPr="0044150C" w:rsidDel="00B43638">
        <w:rPr>
          <w:rFonts w:ascii="Arial" w:hAnsi="Arial" w:cs="Arial"/>
          <w:spacing w:val="-16"/>
          <w:sz w:val="24"/>
          <w:szCs w:val="24"/>
          <w:lang w:val="en-GB"/>
        </w:rPr>
        <w:t xml:space="preserve"> </w:t>
      </w:r>
      <w:r w:rsidRPr="0044150C" w:rsidDel="00B43638">
        <w:rPr>
          <w:rFonts w:ascii="Arial" w:hAnsi="Arial" w:cs="Arial"/>
          <w:sz w:val="24"/>
          <w:szCs w:val="24"/>
          <w:lang w:val="en-GB"/>
        </w:rPr>
        <w:t>benchmark,</w:t>
      </w:r>
      <w:r w:rsidRPr="0044150C" w:rsidDel="00B43638">
        <w:rPr>
          <w:rFonts w:ascii="Arial" w:hAnsi="Arial" w:cs="Arial"/>
          <w:spacing w:val="-15"/>
          <w:sz w:val="24"/>
          <w:szCs w:val="24"/>
          <w:lang w:val="en-GB"/>
        </w:rPr>
        <w:t xml:space="preserve"> </w:t>
      </w:r>
      <w:r w:rsidRPr="0044150C" w:rsidDel="00B43638">
        <w:rPr>
          <w:rFonts w:ascii="Arial" w:hAnsi="Arial" w:cs="Arial"/>
          <w:sz w:val="24"/>
          <w:szCs w:val="24"/>
          <w:lang w:val="en-GB"/>
        </w:rPr>
        <w:t>rests in the in-country benchmarks.</w:t>
      </w:r>
      <w:r w:rsidR="00B45993" w:rsidRPr="0044150C" w:rsidDel="00B43638">
        <w:rPr>
          <w:rStyle w:val="ab"/>
          <w:rFonts w:ascii="Arial" w:hAnsi="Arial" w:cs="Arial"/>
          <w:sz w:val="24"/>
          <w:szCs w:val="24"/>
          <w:lang w:val="en-GB"/>
        </w:rPr>
        <w:footnoteReference w:id="43"/>
      </w:r>
      <w:r w:rsidRPr="0044150C" w:rsidDel="00B43638">
        <w:rPr>
          <w:rFonts w:ascii="Arial" w:hAnsi="Arial" w:cs="Arial"/>
          <w:sz w:val="24"/>
          <w:szCs w:val="24"/>
          <w:lang w:val="en-GB"/>
        </w:rPr>
        <w:t xml:space="preserve"> As noted by the Appellate Body in </w:t>
      </w:r>
      <w:r w:rsidRPr="0044150C" w:rsidDel="00B43638">
        <w:rPr>
          <w:rFonts w:ascii="Arial" w:hAnsi="Arial" w:cs="Arial"/>
          <w:i/>
          <w:sz w:val="24"/>
          <w:szCs w:val="24"/>
          <w:lang w:val="en-GB"/>
        </w:rPr>
        <w:t>US – Carbon Steel</w:t>
      </w:r>
      <w:r w:rsidRPr="0044150C" w:rsidDel="00B43638">
        <w:rPr>
          <w:rFonts w:ascii="Arial" w:hAnsi="Arial" w:cs="Arial"/>
          <w:i/>
          <w:spacing w:val="-30"/>
          <w:sz w:val="24"/>
          <w:szCs w:val="24"/>
          <w:lang w:val="en-GB"/>
        </w:rPr>
        <w:t xml:space="preserve"> </w:t>
      </w:r>
      <w:r w:rsidRPr="0044150C" w:rsidDel="00B43638">
        <w:rPr>
          <w:rFonts w:ascii="Arial" w:hAnsi="Arial" w:cs="Arial"/>
          <w:i/>
          <w:sz w:val="24"/>
          <w:szCs w:val="24"/>
          <w:lang w:val="en-GB"/>
        </w:rPr>
        <w:t xml:space="preserve">(India) </w:t>
      </w:r>
      <w:r w:rsidRPr="0044150C" w:rsidDel="00B43638">
        <w:rPr>
          <w:rFonts w:ascii="Arial" w:hAnsi="Arial" w:cs="Arial"/>
          <w:sz w:val="24"/>
          <w:szCs w:val="24"/>
          <w:lang w:val="en-GB"/>
        </w:rPr>
        <w:t xml:space="preserve">and </w:t>
      </w:r>
      <w:r w:rsidRPr="0044150C" w:rsidDel="00B43638">
        <w:rPr>
          <w:rFonts w:ascii="Arial" w:hAnsi="Arial" w:cs="Arial"/>
          <w:i/>
          <w:sz w:val="24"/>
          <w:szCs w:val="24"/>
          <w:lang w:val="en-GB"/>
        </w:rPr>
        <w:t>US – Softwood Lumber IV</w:t>
      </w:r>
      <w:r w:rsidRPr="0044150C" w:rsidDel="00B43638">
        <w:rPr>
          <w:rFonts w:ascii="Arial" w:hAnsi="Arial" w:cs="Arial"/>
          <w:sz w:val="24"/>
          <w:szCs w:val="24"/>
          <w:lang w:val="en-GB"/>
        </w:rPr>
        <w:t xml:space="preserve">, as well as by the Panel in </w:t>
      </w:r>
      <w:r w:rsidRPr="0044150C" w:rsidDel="00B43638">
        <w:rPr>
          <w:rFonts w:ascii="Arial" w:hAnsi="Arial" w:cs="Arial"/>
          <w:i/>
          <w:sz w:val="24"/>
          <w:szCs w:val="24"/>
          <w:lang w:val="en-GB"/>
        </w:rPr>
        <w:t>US – AD and CVD (China)</w:t>
      </w:r>
      <w:r w:rsidRPr="0044150C" w:rsidDel="00B43638">
        <w:rPr>
          <w:rFonts w:ascii="Arial" w:hAnsi="Arial" w:cs="Arial"/>
          <w:sz w:val="24"/>
          <w:szCs w:val="24"/>
          <w:lang w:val="en-GB"/>
        </w:rPr>
        <w:t>, the use of out-of-country benchmarks is “exceptional” and, if resorted to, must relate or refer to, or be connected with, the prevailing market conditions in the country of provision and must reflect price,</w:t>
      </w:r>
      <w:r w:rsidRPr="0044150C" w:rsidDel="00B43638">
        <w:rPr>
          <w:rFonts w:ascii="Arial" w:hAnsi="Arial" w:cs="Arial"/>
          <w:spacing w:val="-17"/>
          <w:sz w:val="24"/>
          <w:szCs w:val="24"/>
          <w:lang w:val="en-GB"/>
        </w:rPr>
        <w:t xml:space="preserve"> </w:t>
      </w:r>
      <w:r w:rsidRPr="0044150C" w:rsidDel="00B43638">
        <w:rPr>
          <w:rFonts w:ascii="Arial" w:hAnsi="Arial" w:cs="Arial"/>
          <w:sz w:val="24"/>
          <w:szCs w:val="24"/>
          <w:lang w:val="en-GB"/>
        </w:rPr>
        <w:t>quality,</w:t>
      </w:r>
      <w:r w:rsidRPr="0044150C" w:rsidDel="00B43638">
        <w:rPr>
          <w:rFonts w:ascii="Arial" w:hAnsi="Arial" w:cs="Arial"/>
          <w:spacing w:val="-17"/>
          <w:sz w:val="24"/>
          <w:szCs w:val="24"/>
          <w:lang w:val="en-GB"/>
        </w:rPr>
        <w:t xml:space="preserve"> </w:t>
      </w:r>
      <w:r w:rsidRPr="0044150C" w:rsidDel="00B43638">
        <w:rPr>
          <w:rFonts w:ascii="Arial" w:hAnsi="Arial" w:cs="Arial"/>
          <w:sz w:val="24"/>
          <w:szCs w:val="24"/>
          <w:lang w:val="en-GB"/>
        </w:rPr>
        <w:t>and</w:t>
      </w:r>
      <w:r w:rsidRPr="0044150C" w:rsidDel="00B43638">
        <w:rPr>
          <w:rFonts w:ascii="Arial" w:hAnsi="Arial" w:cs="Arial"/>
          <w:spacing w:val="-16"/>
          <w:sz w:val="24"/>
          <w:szCs w:val="24"/>
          <w:lang w:val="en-GB"/>
        </w:rPr>
        <w:t xml:space="preserve"> </w:t>
      </w:r>
      <w:r w:rsidRPr="0044150C" w:rsidDel="00B43638">
        <w:rPr>
          <w:rFonts w:ascii="Arial" w:hAnsi="Arial" w:cs="Arial"/>
          <w:sz w:val="24"/>
          <w:szCs w:val="24"/>
          <w:lang w:val="en-GB"/>
        </w:rPr>
        <w:t>availability</w:t>
      </w:r>
      <w:r w:rsidRPr="0044150C" w:rsidDel="00B43638">
        <w:rPr>
          <w:rFonts w:ascii="Arial" w:hAnsi="Arial" w:cs="Arial"/>
          <w:spacing w:val="-17"/>
          <w:sz w:val="24"/>
          <w:szCs w:val="24"/>
          <w:lang w:val="en-GB"/>
        </w:rPr>
        <w:t xml:space="preserve"> </w:t>
      </w:r>
      <w:r w:rsidRPr="0044150C" w:rsidDel="00B43638">
        <w:rPr>
          <w:rFonts w:ascii="Arial" w:hAnsi="Arial" w:cs="Arial"/>
          <w:sz w:val="24"/>
          <w:szCs w:val="24"/>
          <w:lang w:val="en-GB"/>
        </w:rPr>
        <w:t>and</w:t>
      </w:r>
      <w:r w:rsidRPr="0044150C" w:rsidDel="00B43638">
        <w:rPr>
          <w:rFonts w:ascii="Arial" w:hAnsi="Arial" w:cs="Arial"/>
          <w:spacing w:val="-16"/>
          <w:sz w:val="24"/>
          <w:szCs w:val="24"/>
          <w:lang w:val="en-GB"/>
        </w:rPr>
        <w:t xml:space="preserve"> </w:t>
      </w:r>
      <w:r w:rsidRPr="0044150C" w:rsidDel="00B43638">
        <w:rPr>
          <w:rFonts w:ascii="Arial" w:hAnsi="Arial" w:cs="Arial"/>
          <w:sz w:val="24"/>
          <w:szCs w:val="24"/>
          <w:lang w:val="en-GB"/>
        </w:rPr>
        <w:t>other</w:t>
      </w:r>
      <w:r w:rsidRPr="0044150C" w:rsidDel="00B43638">
        <w:rPr>
          <w:rFonts w:ascii="Arial" w:hAnsi="Arial" w:cs="Arial"/>
          <w:spacing w:val="-18"/>
          <w:sz w:val="24"/>
          <w:szCs w:val="24"/>
          <w:lang w:val="en-GB"/>
        </w:rPr>
        <w:t xml:space="preserve"> </w:t>
      </w:r>
      <w:r w:rsidRPr="0044150C" w:rsidDel="00B43638">
        <w:rPr>
          <w:rFonts w:ascii="Arial" w:hAnsi="Arial" w:cs="Arial"/>
          <w:sz w:val="24"/>
          <w:szCs w:val="24"/>
          <w:lang w:val="en-GB"/>
        </w:rPr>
        <w:t>conditions</w:t>
      </w:r>
      <w:r w:rsidRPr="0044150C" w:rsidDel="00B43638">
        <w:rPr>
          <w:rFonts w:ascii="Arial" w:hAnsi="Arial" w:cs="Arial"/>
          <w:spacing w:val="-14"/>
          <w:sz w:val="24"/>
          <w:szCs w:val="24"/>
          <w:lang w:val="en-GB"/>
        </w:rPr>
        <w:t xml:space="preserve"> </w:t>
      </w:r>
      <w:r w:rsidRPr="0044150C" w:rsidDel="00B43638">
        <w:rPr>
          <w:rFonts w:ascii="Arial" w:hAnsi="Arial" w:cs="Arial"/>
          <w:sz w:val="24"/>
          <w:szCs w:val="24"/>
          <w:lang w:val="en-GB"/>
        </w:rPr>
        <w:t>of</w:t>
      </w:r>
      <w:r w:rsidRPr="0044150C" w:rsidDel="00B43638">
        <w:rPr>
          <w:rFonts w:ascii="Arial" w:hAnsi="Arial" w:cs="Arial"/>
          <w:spacing w:val="-17"/>
          <w:sz w:val="24"/>
          <w:szCs w:val="24"/>
          <w:lang w:val="en-GB"/>
        </w:rPr>
        <w:t xml:space="preserve"> </w:t>
      </w:r>
      <w:r w:rsidRPr="0044150C" w:rsidDel="00B43638">
        <w:rPr>
          <w:rFonts w:ascii="Arial" w:hAnsi="Arial" w:cs="Arial"/>
          <w:sz w:val="24"/>
          <w:szCs w:val="24"/>
          <w:lang w:val="en-GB"/>
        </w:rPr>
        <w:t>purchase</w:t>
      </w:r>
      <w:r w:rsidRPr="0044150C" w:rsidDel="00B43638">
        <w:rPr>
          <w:rFonts w:ascii="Arial" w:hAnsi="Arial" w:cs="Arial"/>
          <w:spacing w:val="-18"/>
          <w:sz w:val="24"/>
          <w:szCs w:val="24"/>
          <w:lang w:val="en-GB"/>
        </w:rPr>
        <w:t xml:space="preserve"> </w:t>
      </w:r>
      <w:r w:rsidRPr="0044150C" w:rsidDel="00B43638">
        <w:rPr>
          <w:rFonts w:ascii="Arial" w:hAnsi="Arial" w:cs="Arial"/>
          <w:sz w:val="24"/>
          <w:szCs w:val="24"/>
          <w:lang w:val="en-GB"/>
        </w:rPr>
        <w:t>or</w:t>
      </w:r>
      <w:r w:rsidRPr="0044150C" w:rsidDel="00B43638">
        <w:rPr>
          <w:rFonts w:ascii="Arial" w:hAnsi="Arial" w:cs="Arial"/>
          <w:spacing w:val="-17"/>
          <w:sz w:val="24"/>
          <w:szCs w:val="24"/>
          <w:lang w:val="en-GB"/>
        </w:rPr>
        <w:t xml:space="preserve"> </w:t>
      </w:r>
      <w:r w:rsidRPr="0044150C" w:rsidDel="00B43638">
        <w:rPr>
          <w:rFonts w:ascii="Arial" w:hAnsi="Arial" w:cs="Arial"/>
          <w:sz w:val="24"/>
          <w:szCs w:val="24"/>
          <w:lang w:val="en-GB"/>
        </w:rPr>
        <w:t>sales</w:t>
      </w:r>
      <w:r w:rsidRPr="0044150C" w:rsidDel="00B43638">
        <w:rPr>
          <w:rFonts w:ascii="Arial" w:hAnsi="Arial" w:cs="Arial"/>
          <w:spacing w:val="-17"/>
          <w:sz w:val="24"/>
          <w:szCs w:val="24"/>
          <w:lang w:val="en-GB"/>
        </w:rPr>
        <w:t xml:space="preserve"> </w:t>
      </w:r>
      <w:r w:rsidRPr="0044150C" w:rsidDel="00B43638">
        <w:rPr>
          <w:rFonts w:ascii="Arial" w:hAnsi="Arial" w:cs="Arial"/>
          <w:sz w:val="24"/>
          <w:szCs w:val="24"/>
          <w:lang w:val="en-GB"/>
        </w:rPr>
        <w:t>pursuant</w:t>
      </w:r>
      <w:r w:rsidRPr="0044150C" w:rsidDel="00B43638">
        <w:rPr>
          <w:rFonts w:ascii="Arial" w:hAnsi="Arial" w:cs="Arial"/>
          <w:spacing w:val="-15"/>
          <w:sz w:val="24"/>
          <w:szCs w:val="24"/>
          <w:lang w:val="en-GB"/>
        </w:rPr>
        <w:t xml:space="preserve"> </w:t>
      </w:r>
      <w:r w:rsidRPr="0044150C" w:rsidDel="00B43638">
        <w:rPr>
          <w:rFonts w:ascii="Arial" w:hAnsi="Arial" w:cs="Arial"/>
          <w:sz w:val="24"/>
          <w:szCs w:val="24"/>
          <w:lang w:val="en-GB"/>
        </w:rPr>
        <w:t>to</w:t>
      </w:r>
      <w:r w:rsidRPr="0044150C" w:rsidDel="00B43638">
        <w:rPr>
          <w:rFonts w:ascii="Arial" w:hAnsi="Arial" w:cs="Arial"/>
          <w:spacing w:val="-26"/>
          <w:sz w:val="24"/>
          <w:szCs w:val="24"/>
          <w:lang w:val="en-GB"/>
        </w:rPr>
        <w:t xml:space="preserve"> </w:t>
      </w:r>
      <w:r w:rsidRPr="0044150C" w:rsidDel="00B43638">
        <w:rPr>
          <w:rFonts w:ascii="Arial" w:hAnsi="Arial" w:cs="Arial"/>
          <w:sz w:val="24"/>
          <w:szCs w:val="24"/>
          <w:lang w:val="en-GB"/>
        </w:rPr>
        <w:t>Article</w:t>
      </w:r>
      <w:r w:rsidRPr="0044150C" w:rsidDel="00B43638">
        <w:rPr>
          <w:rFonts w:ascii="Arial" w:hAnsi="Arial" w:cs="Arial"/>
          <w:spacing w:val="-16"/>
          <w:sz w:val="24"/>
          <w:szCs w:val="24"/>
          <w:lang w:val="en-GB"/>
        </w:rPr>
        <w:t xml:space="preserve"> </w:t>
      </w:r>
      <w:r w:rsidRPr="0044150C" w:rsidDel="00B43638">
        <w:rPr>
          <w:rFonts w:ascii="Arial" w:hAnsi="Arial" w:cs="Arial"/>
          <w:sz w:val="24"/>
          <w:szCs w:val="24"/>
          <w:lang w:val="en-GB"/>
        </w:rPr>
        <w:t>14(d) of the SCM</w:t>
      </w:r>
      <w:r w:rsidRPr="0044150C" w:rsidDel="00B43638">
        <w:rPr>
          <w:rFonts w:ascii="Arial" w:hAnsi="Arial" w:cs="Arial"/>
          <w:spacing w:val="-17"/>
          <w:sz w:val="24"/>
          <w:szCs w:val="24"/>
          <w:lang w:val="en-GB"/>
        </w:rPr>
        <w:t xml:space="preserve"> </w:t>
      </w:r>
      <w:r w:rsidRPr="0044150C" w:rsidDel="00B43638">
        <w:rPr>
          <w:rFonts w:ascii="Arial" w:hAnsi="Arial" w:cs="Arial"/>
          <w:sz w:val="24"/>
          <w:szCs w:val="24"/>
          <w:lang w:val="en-GB"/>
        </w:rPr>
        <w:t>Agreement.</w:t>
      </w:r>
      <w:r w:rsidR="00B45993" w:rsidRPr="0044150C" w:rsidDel="00B43638">
        <w:rPr>
          <w:rStyle w:val="ab"/>
          <w:rFonts w:ascii="Arial" w:hAnsi="Arial" w:cs="Arial"/>
          <w:sz w:val="24"/>
          <w:szCs w:val="24"/>
          <w:lang w:val="en-GB"/>
        </w:rPr>
        <w:footnoteReference w:id="44"/>
      </w:r>
    </w:p>
    <w:p w14:paraId="77253B80" w14:textId="3CF07334" w:rsidR="00B45993" w:rsidRPr="0044150C" w:rsidDel="00B43638" w:rsidRDefault="00B45993" w:rsidP="00B45993">
      <w:pPr>
        <w:pStyle w:val="a7"/>
        <w:tabs>
          <w:tab w:val="clear" w:pos="720"/>
          <w:tab w:val="num" w:pos="0"/>
        </w:tabs>
        <w:spacing w:before="100"/>
        <w:ind w:left="916" w:right="95"/>
        <w:rPr>
          <w:rFonts w:ascii="Arial" w:eastAsiaTheme="minorEastAsia" w:hAnsi="Arial" w:cs="Arial"/>
          <w:sz w:val="24"/>
          <w:szCs w:val="24"/>
          <w:lang w:eastAsia="zh-CN"/>
        </w:rPr>
      </w:pPr>
    </w:p>
    <w:p w14:paraId="3B2C0038" w14:textId="2FD4E181" w:rsidR="00672C19" w:rsidRPr="0044150C" w:rsidDel="00B43638" w:rsidRDefault="00672C19" w:rsidP="00A77481">
      <w:pPr>
        <w:pStyle w:val="a7"/>
        <w:numPr>
          <w:ilvl w:val="0"/>
          <w:numId w:val="1"/>
        </w:numPr>
        <w:spacing w:before="100"/>
        <w:ind w:right="95" w:hanging="644"/>
        <w:rPr>
          <w:rFonts w:ascii="Arial" w:hAnsi="Arial" w:cs="Arial"/>
          <w:sz w:val="24"/>
          <w:szCs w:val="24"/>
        </w:rPr>
      </w:pPr>
      <w:r w:rsidRPr="0044150C" w:rsidDel="00B43638">
        <w:rPr>
          <w:rFonts w:ascii="Arial" w:hAnsi="Arial" w:cs="Arial"/>
          <w:sz w:val="24"/>
          <w:szCs w:val="24"/>
        </w:rPr>
        <w:t>The GOC also notes that, in this case, in-country prices are adequate because among others, private</w:t>
      </w:r>
      <w:r w:rsidRPr="0044150C" w:rsidDel="00B43638">
        <w:rPr>
          <w:rFonts w:ascii="Arial" w:hAnsi="Arial" w:cs="Arial"/>
          <w:spacing w:val="-11"/>
          <w:sz w:val="24"/>
          <w:szCs w:val="24"/>
        </w:rPr>
        <w:t xml:space="preserve"> </w:t>
      </w:r>
      <w:r w:rsidRPr="0044150C" w:rsidDel="00B43638">
        <w:rPr>
          <w:rFonts w:ascii="Arial" w:hAnsi="Arial" w:cs="Arial"/>
          <w:sz w:val="24"/>
          <w:szCs w:val="24"/>
        </w:rPr>
        <w:t>companies</w:t>
      </w:r>
      <w:r w:rsidRPr="0044150C" w:rsidDel="00B43638">
        <w:rPr>
          <w:rFonts w:ascii="Arial" w:hAnsi="Arial" w:cs="Arial"/>
          <w:spacing w:val="-11"/>
          <w:sz w:val="24"/>
          <w:szCs w:val="24"/>
        </w:rPr>
        <w:t xml:space="preserve"> </w:t>
      </w:r>
      <w:r w:rsidRPr="0044150C" w:rsidDel="00B43638">
        <w:rPr>
          <w:rFonts w:ascii="Arial" w:hAnsi="Arial" w:cs="Arial"/>
          <w:sz w:val="24"/>
          <w:szCs w:val="24"/>
        </w:rPr>
        <w:t>are</w:t>
      </w:r>
      <w:r w:rsidRPr="0044150C" w:rsidDel="00B43638">
        <w:rPr>
          <w:rFonts w:ascii="Arial" w:hAnsi="Arial" w:cs="Arial"/>
          <w:spacing w:val="-12"/>
          <w:sz w:val="24"/>
          <w:szCs w:val="24"/>
        </w:rPr>
        <w:t xml:space="preserve"> </w:t>
      </w:r>
      <w:r w:rsidRPr="0044150C" w:rsidDel="00B43638">
        <w:rPr>
          <w:rFonts w:ascii="Arial" w:hAnsi="Arial" w:cs="Arial"/>
          <w:sz w:val="24"/>
          <w:szCs w:val="24"/>
        </w:rPr>
        <w:t>also</w:t>
      </w:r>
      <w:r w:rsidRPr="0044150C" w:rsidDel="00B43638">
        <w:rPr>
          <w:rFonts w:ascii="Arial" w:hAnsi="Arial" w:cs="Arial"/>
          <w:spacing w:val="-11"/>
          <w:sz w:val="24"/>
          <w:szCs w:val="24"/>
        </w:rPr>
        <w:t xml:space="preserve"> </w:t>
      </w:r>
      <w:r w:rsidRPr="0044150C" w:rsidDel="00B43638">
        <w:rPr>
          <w:rFonts w:ascii="Arial" w:hAnsi="Arial" w:cs="Arial"/>
          <w:sz w:val="24"/>
          <w:szCs w:val="24"/>
        </w:rPr>
        <w:t>engaged</w:t>
      </w:r>
      <w:r w:rsidRPr="0044150C" w:rsidDel="00B43638">
        <w:rPr>
          <w:rFonts w:ascii="Arial" w:hAnsi="Arial" w:cs="Arial"/>
          <w:spacing w:val="-11"/>
          <w:sz w:val="24"/>
          <w:szCs w:val="24"/>
        </w:rPr>
        <w:t xml:space="preserve"> </w:t>
      </w:r>
      <w:r w:rsidRPr="0044150C" w:rsidDel="00B43638">
        <w:rPr>
          <w:rFonts w:ascii="Arial" w:hAnsi="Arial" w:cs="Arial"/>
          <w:sz w:val="24"/>
          <w:szCs w:val="24"/>
        </w:rPr>
        <w:t>in</w:t>
      </w:r>
      <w:r w:rsidRPr="0044150C" w:rsidDel="00B43638">
        <w:rPr>
          <w:rFonts w:ascii="Arial" w:hAnsi="Arial" w:cs="Arial"/>
          <w:spacing w:val="-11"/>
          <w:sz w:val="24"/>
          <w:szCs w:val="24"/>
        </w:rPr>
        <w:t xml:space="preserve"> </w:t>
      </w:r>
      <w:r w:rsidRPr="0044150C" w:rsidDel="00B43638">
        <w:rPr>
          <w:rFonts w:ascii="Arial" w:hAnsi="Arial" w:cs="Arial"/>
          <w:sz w:val="24"/>
          <w:szCs w:val="24"/>
        </w:rPr>
        <w:t>sub-letting</w:t>
      </w:r>
      <w:r w:rsidRPr="0044150C" w:rsidDel="00B43638">
        <w:rPr>
          <w:rFonts w:ascii="Arial" w:hAnsi="Arial" w:cs="Arial"/>
          <w:spacing w:val="-11"/>
          <w:sz w:val="24"/>
          <w:szCs w:val="24"/>
        </w:rPr>
        <w:t xml:space="preserve"> </w:t>
      </w:r>
      <w:r w:rsidRPr="0044150C" w:rsidDel="00B43638">
        <w:rPr>
          <w:rFonts w:ascii="Arial" w:hAnsi="Arial" w:cs="Arial"/>
          <w:sz w:val="24"/>
          <w:szCs w:val="24"/>
        </w:rPr>
        <w:t>or</w:t>
      </w:r>
      <w:r w:rsidRPr="0044150C" w:rsidDel="00B43638">
        <w:rPr>
          <w:rFonts w:ascii="Arial" w:hAnsi="Arial" w:cs="Arial"/>
          <w:spacing w:val="-12"/>
          <w:sz w:val="24"/>
          <w:szCs w:val="24"/>
        </w:rPr>
        <w:t xml:space="preserve"> </w:t>
      </w:r>
      <w:r w:rsidRPr="0044150C" w:rsidDel="00B43638">
        <w:rPr>
          <w:rFonts w:ascii="Arial" w:hAnsi="Arial" w:cs="Arial"/>
          <w:sz w:val="24"/>
          <w:szCs w:val="24"/>
        </w:rPr>
        <w:t>transferring</w:t>
      </w:r>
      <w:r w:rsidRPr="0044150C" w:rsidDel="00B43638">
        <w:rPr>
          <w:rFonts w:ascii="Arial" w:hAnsi="Arial" w:cs="Arial"/>
          <w:spacing w:val="-11"/>
          <w:sz w:val="24"/>
          <w:szCs w:val="24"/>
        </w:rPr>
        <w:t xml:space="preserve"> </w:t>
      </w:r>
      <w:r w:rsidRPr="0044150C" w:rsidDel="00B43638">
        <w:rPr>
          <w:rFonts w:ascii="Arial" w:hAnsi="Arial" w:cs="Arial"/>
          <w:sz w:val="24"/>
          <w:szCs w:val="24"/>
        </w:rPr>
        <w:t>LURs.</w:t>
      </w:r>
      <w:r w:rsidRPr="0044150C" w:rsidDel="00B43638">
        <w:rPr>
          <w:rFonts w:ascii="Arial" w:hAnsi="Arial" w:cs="Arial"/>
          <w:spacing w:val="-13"/>
          <w:sz w:val="24"/>
          <w:szCs w:val="24"/>
        </w:rPr>
        <w:t xml:space="preserve"> </w:t>
      </w:r>
      <w:r w:rsidRPr="0044150C" w:rsidDel="00B43638">
        <w:rPr>
          <w:rFonts w:ascii="Arial" w:hAnsi="Arial" w:cs="Arial"/>
          <w:sz w:val="24"/>
          <w:szCs w:val="24"/>
        </w:rPr>
        <w:t>The</w:t>
      </w:r>
      <w:r w:rsidRPr="0044150C" w:rsidDel="00B43638">
        <w:rPr>
          <w:rFonts w:ascii="Arial" w:hAnsi="Arial" w:cs="Arial"/>
          <w:spacing w:val="-10"/>
          <w:sz w:val="24"/>
          <w:szCs w:val="24"/>
        </w:rPr>
        <w:t xml:space="preserve"> </w:t>
      </w:r>
      <w:r w:rsidRPr="0044150C" w:rsidDel="00B43638">
        <w:rPr>
          <w:rFonts w:ascii="Arial" w:hAnsi="Arial" w:cs="Arial"/>
          <w:sz w:val="24"/>
          <w:szCs w:val="24"/>
        </w:rPr>
        <w:t>government</w:t>
      </w:r>
      <w:r w:rsidRPr="0044150C" w:rsidDel="00B43638">
        <w:rPr>
          <w:rFonts w:ascii="Arial" w:hAnsi="Arial" w:cs="Arial"/>
          <w:spacing w:val="-10"/>
          <w:sz w:val="24"/>
          <w:szCs w:val="24"/>
        </w:rPr>
        <w:t xml:space="preserve"> </w:t>
      </w:r>
      <w:r w:rsidRPr="0044150C" w:rsidDel="00B43638">
        <w:rPr>
          <w:rFonts w:ascii="Arial" w:hAnsi="Arial" w:cs="Arial"/>
          <w:sz w:val="24"/>
          <w:szCs w:val="24"/>
        </w:rPr>
        <w:t>is</w:t>
      </w:r>
      <w:r w:rsidRPr="0044150C" w:rsidDel="00B43638">
        <w:rPr>
          <w:rFonts w:ascii="Arial" w:hAnsi="Arial" w:cs="Arial"/>
          <w:spacing w:val="-10"/>
          <w:sz w:val="24"/>
          <w:szCs w:val="24"/>
        </w:rPr>
        <w:t xml:space="preserve"> </w:t>
      </w:r>
      <w:r w:rsidRPr="0044150C" w:rsidDel="00B43638">
        <w:rPr>
          <w:rFonts w:ascii="Arial" w:hAnsi="Arial" w:cs="Arial"/>
          <w:sz w:val="24"/>
          <w:szCs w:val="24"/>
        </w:rPr>
        <w:t xml:space="preserve">thus not the only player in that market. Indeed, private companies owning LURs also rent or sell these LURs to unrelated buyers in the market. In-country prices should, therefore, be used as a benchmark. </w:t>
      </w:r>
      <w:r w:rsidRPr="0044150C" w:rsidDel="00B43638">
        <w:rPr>
          <w:rFonts w:ascii="Arial" w:hAnsi="Arial" w:cs="Arial"/>
          <w:spacing w:val="-3"/>
          <w:sz w:val="24"/>
          <w:szCs w:val="24"/>
        </w:rPr>
        <w:t xml:space="preserve">With </w:t>
      </w:r>
      <w:r w:rsidRPr="0044150C" w:rsidDel="00B43638">
        <w:rPr>
          <w:rFonts w:ascii="Arial" w:hAnsi="Arial" w:cs="Arial"/>
          <w:sz w:val="24"/>
          <w:szCs w:val="24"/>
        </w:rPr>
        <w:t xml:space="preserve">respect to producers that have gone through bidding for their LURs, </w:t>
      </w:r>
      <w:r w:rsidRPr="0044150C" w:rsidDel="00B43638">
        <w:rPr>
          <w:rFonts w:ascii="Arial" w:hAnsi="Arial" w:cs="Arial"/>
          <w:spacing w:val="2"/>
          <w:sz w:val="24"/>
          <w:szCs w:val="24"/>
        </w:rPr>
        <w:t xml:space="preserve">in- </w:t>
      </w:r>
      <w:r w:rsidRPr="0044150C" w:rsidDel="00B43638">
        <w:rPr>
          <w:rFonts w:ascii="Arial" w:hAnsi="Arial" w:cs="Arial"/>
          <w:sz w:val="24"/>
          <w:szCs w:val="24"/>
        </w:rPr>
        <w:t xml:space="preserve">country prices constitute an appropriate benchmark because, according to the Appellate Body in </w:t>
      </w:r>
      <w:r w:rsidRPr="0044150C" w:rsidDel="00B43638">
        <w:rPr>
          <w:rFonts w:ascii="Arial" w:hAnsi="Arial" w:cs="Arial"/>
          <w:i/>
          <w:sz w:val="24"/>
          <w:szCs w:val="24"/>
        </w:rPr>
        <w:t xml:space="preserve">Canada – Renewable Energy / Canada – Feed-in </w:t>
      </w:r>
      <w:r w:rsidRPr="0044150C" w:rsidDel="00B43638">
        <w:rPr>
          <w:rFonts w:ascii="Arial" w:hAnsi="Arial" w:cs="Arial"/>
          <w:i/>
          <w:spacing w:val="-5"/>
          <w:sz w:val="24"/>
          <w:szCs w:val="24"/>
        </w:rPr>
        <w:t xml:space="preserve">Tariff </w:t>
      </w:r>
      <w:r w:rsidRPr="0044150C" w:rsidDel="00B43638">
        <w:rPr>
          <w:rFonts w:ascii="Arial" w:hAnsi="Arial" w:cs="Arial"/>
          <w:i/>
          <w:sz w:val="24"/>
          <w:szCs w:val="24"/>
        </w:rPr>
        <w:t>Program</w:t>
      </w:r>
      <w:r w:rsidRPr="0044150C" w:rsidDel="00B43638">
        <w:rPr>
          <w:rFonts w:ascii="Arial" w:hAnsi="Arial" w:cs="Arial"/>
          <w:sz w:val="24"/>
          <w:szCs w:val="24"/>
        </w:rPr>
        <w:t>, “</w:t>
      </w:r>
      <w:r w:rsidRPr="0044150C" w:rsidDel="00B43638">
        <w:rPr>
          <w:rFonts w:ascii="Arial" w:hAnsi="Arial" w:cs="Arial"/>
          <w:i/>
          <w:sz w:val="24"/>
          <w:szCs w:val="24"/>
        </w:rPr>
        <w:t>…a benchmark may</w:t>
      </w:r>
      <w:r w:rsidRPr="0044150C" w:rsidDel="00B43638">
        <w:rPr>
          <w:rFonts w:ascii="Arial" w:hAnsi="Arial" w:cs="Arial"/>
          <w:i/>
          <w:spacing w:val="-34"/>
          <w:sz w:val="24"/>
          <w:szCs w:val="24"/>
        </w:rPr>
        <w:t xml:space="preserve"> </w:t>
      </w:r>
      <w:r w:rsidRPr="0044150C" w:rsidDel="00B43638">
        <w:rPr>
          <w:rFonts w:ascii="Arial" w:hAnsi="Arial" w:cs="Arial"/>
          <w:i/>
          <w:sz w:val="24"/>
          <w:szCs w:val="24"/>
        </w:rPr>
        <w:t>also be found in price-discovery mechanisms such as competitive bidding or negotiated prices</w:t>
      </w:r>
      <w:r w:rsidRPr="0044150C" w:rsidDel="00B43638">
        <w:rPr>
          <w:rFonts w:ascii="Arial" w:hAnsi="Arial" w:cs="Arial"/>
          <w:sz w:val="24"/>
          <w:szCs w:val="24"/>
        </w:rPr>
        <w:t>”, as this</w:t>
      </w:r>
      <w:r w:rsidRPr="0044150C" w:rsidDel="00B43638">
        <w:rPr>
          <w:rFonts w:ascii="Arial" w:hAnsi="Arial" w:cs="Arial"/>
          <w:spacing w:val="16"/>
          <w:sz w:val="24"/>
          <w:szCs w:val="24"/>
        </w:rPr>
        <w:t xml:space="preserve"> </w:t>
      </w:r>
      <w:r w:rsidRPr="0044150C" w:rsidDel="00B43638">
        <w:rPr>
          <w:rFonts w:ascii="Arial" w:hAnsi="Arial" w:cs="Arial"/>
          <w:sz w:val="24"/>
          <w:szCs w:val="24"/>
        </w:rPr>
        <w:t>ensures</w:t>
      </w:r>
      <w:r w:rsidRPr="0044150C" w:rsidDel="00B43638">
        <w:rPr>
          <w:rFonts w:ascii="Arial" w:hAnsi="Arial" w:cs="Arial"/>
          <w:spacing w:val="17"/>
          <w:sz w:val="24"/>
          <w:szCs w:val="24"/>
        </w:rPr>
        <w:t xml:space="preserve"> </w:t>
      </w:r>
      <w:r w:rsidRPr="0044150C" w:rsidDel="00B43638">
        <w:rPr>
          <w:rFonts w:ascii="Arial" w:hAnsi="Arial" w:cs="Arial"/>
          <w:sz w:val="24"/>
          <w:szCs w:val="24"/>
        </w:rPr>
        <w:t>that</w:t>
      </w:r>
      <w:r w:rsidRPr="0044150C" w:rsidDel="00B43638">
        <w:rPr>
          <w:rFonts w:ascii="Arial" w:hAnsi="Arial" w:cs="Arial"/>
          <w:spacing w:val="17"/>
          <w:sz w:val="24"/>
          <w:szCs w:val="24"/>
        </w:rPr>
        <w:t xml:space="preserve"> </w:t>
      </w:r>
      <w:r w:rsidRPr="0044150C" w:rsidDel="00B43638">
        <w:rPr>
          <w:rFonts w:ascii="Arial" w:hAnsi="Arial" w:cs="Arial"/>
          <w:sz w:val="24"/>
          <w:szCs w:val="24"/>
        </w:rPr>
        <w:t>the</w:t>
      </w:r>
      <w:r w:rsidRPr="0044150C" w:rsidDel="00B43638">
        <w:rPr>
          <w:rFonts w:ascii="Arial" w:hAnsi="Arial" w:cs="Arial"/>
          <w:spacing w:val="18"/>
          <w:sz w:val="24"/>
          <w:szCs w:val="24"/>
        </w:rPr>
        <w:t xml:space="preserve"> </w:t>
      </w:r>
      <w:r w:rsidRPr="0044150C" w:rsidDel="00B43638">
        <w:rPr>
          <w:rFonts w:ascii="Arial" w:hAnsi="Arial" w:cs="Arial"/>
          <w:sz w:val="24"/>
          <w:szCs w:val="24"/>
        </w:rPr>
        <w:t>price</w:t>
      </w:r>
      <w:r w:rsidRPr="0044150C" w:rsidDel="00B43638">
        <w:rPr>
          <w:rFonts w:ascii="Arial" w:hAnsi="Arial" w:cs="Arial"/>
          <w:spacing w:val="16"/>
          <w:sz w:val="24"/>
          <w:szCs w:val="24"/>
        </w:rPr>
        <w:t xml:space="preserve"> </w:t>
      </w:r>
      <w:r w:rsidRPr="0044150C" w:rsidDel="00B43638">
        <w:rPr>
          <w:rFonts w:ascii="Arial" w:hAnsi="Arial" w:cs="Arial"/>
          <w:sz w:val="24"/>
          <w:szCs w:val="24"/>
        </w:rPr>
        <w:t>paid</w:t>
      </w:r>
      <w:r w:rsidRPr="0044150C" w:rsidDel="00B43638">
        <w:rPr>
          <w:rFonts w:ascii="Arial" w:hAnsi="Arial" w:cs="Arial"/>
          <w:spacing w:val="19"/>
          <w:sz w:val="24"/>
          <w:szCs w:val="24"/>
        </w:rPr>
        <w:t xml:space="preserve"> </w:t>
      </w:r>
      <w:r w:rsidRPr="0044150C" w:rsidDel="00B43638">
        <w:rPr>
          <w:rFonts w:ascii="Arial" w:hAnsi="Arial" w:cs="Arial"/>
          <w:sz w:val="24"/>
          <w:szCs w:val="24"/>
        </w:rPr>
        <w:t>reflects</w:t>
      </w:r>
      <w:r w:rsidRPr="0044150C" w:rsidDel="00B43638">
        <w:rPr>
          <w:rFonts w:ascii="Arial" w:hAnsi="Arial" w:cs="Arial"/>
          <w:spacing w:val="20"/>
          <w:sz w:val="24"/>
          <w:szCs w:val="24"/>
        </w:rPr>
        <w:t xml:space="preserve"> </w:t>
      </w:r>
      <w:r w:rsidRPr="0044150C" w:rsidDel="00B43638">
        <w:rPr>
          <w:rFonts w:ascii="Arial" w:hAnsi="Arial" w:cs="Arial"/>
          <w:sz w:val="24"/>
          <w:szCs w:val="24"/>
        </w:rPr>
        <w:t>adequate</w:t>
      </w:r>
      <w:r w:rsidRPr="0044150C" w:rsidDel="00B43638">
        <w:rPr>
          <w:rFonts w:ascii="Arial" w:hAnsi="Arial" w:cs="Arial"/>
          <w:spacing w:val="21"/>
          <w:sz w:val="24"/>
          <w:szCs w:val="24"/>
        </w:rPr>
        <w:t xml:space="preserve"> </w:t>
      </w:r>
      <w:r w:rsidRPr="0044150C" w:rsidDel="00B43638">
        <w:rPr>
          <w:rFonts w:ascii="Arial" w:hAnsi="Arial" w:cs="Arial"/>
          <w:sz w:val="24"/>
          <w:szCs w:val="24"/>
        </w:rPr>
        <w:t>remuneration.</w:t>
      </w:r>
      <w:r w:rsidR="00B45993" w:rsidRPr="0044150C" w:rsidDel="00B43638">
        <w:rPr>
          <w:rStyle w:val="ab"/>
          <w:rFonts w:ascii="Arial" w:hAnsi="Arial" w:cs="Arial"/>
          <w:sz w:val="24"/>
          <w:szCs w:val="24"/>
        </w:rPr>
        <w:footnoteReference w:id="45"/>
      </w:r>
      <w:r w:rsidRPr="0044150C" w:rsidDel="00B43638">
        <w:rPr>
          <w:rFonts w:ascii="Arial" w:hAnsi="Arial" w:cs="Arial"/>
          <w:sz w:val="24"/>
          <w:szCs w:val="24"/>
        </w:rPr>
        <w:t xml:space="preserve"> Consequently,</w:t>
      </w:r>
      <w:r w:rsidRPr="0044150C" w:rsidDel="00B43638">
        <w:rPr>
          <w:rFonts w:ascii="Arial" w:hAnsi="Arial" w:cs="Arial"/>
          <w:spacing w:val="16"/>
          <w:sz w:val="24"/>
          <w:szCs w:val="24"/>
        </w:rPr>
        <w:t xml:space="preserve"> </w:t>
      </w:r>
      <w:r w:rsidRPr="0044150C" w:rsidDel="00B43638">
        <w:rPr>
          <w:rFonts w:ascii="Arial" w:hAnsi="Arial" w:cs="Arial"/>
          <w:sz w:val="24"/>
          <w:szCs w:val="24"/>
        </w:rPr>
        <w:t>the</w:t>
      </w:r>
      <w:r w:rsidRPr="0044150C" w:rsidDel="00B43638">
        <w:rPr>
          <w:rFonts w:ascii="Arial" w:hAnsi="Arial" w:cs="Arial"/>
          <w:spacing w:val="16"/>
          <w:sz w:val="24"/>
          <w:szCs w:val="24"/>
        </w:rPr>
        <w:t xml:space="preserve"> </w:t>
      </w:r>
      <w:r w:rsidRPr="0044150C" w:rsidDel="00B43638">
        <w:rPr>
          <w:rFonts w:ascii="Arial" w:hAnsi="Arial" w:cs="Arial"/>
          <w:sz w:val="24"/>
          <w:szCs w:val="24"/>
        </w:rPr>
        <w:t>fact</w:t>
      </w:r>
      <w:r w:rsidRPr="0044150C" w:rsidDel="00B43638">
        <w:rPr>
          <w:rFonts w:ascii="Arial" w:hAnsi="Arial" w:cs="Arial"/>
          <w:spacing w:val="19"/>
          <w:sz w:val="24"/>
          <w:szCs w:val="24"/>
        </w:rPr>
        <w:t xml:space="preserve"> </w:t>
      </w:r>
      <w:r w:rsidRPr="0044150C" w:rsidDel="00B43638">
        <w:rPr>
          <w:rFonts w:ascii="Arial" w:hAnsi="Arial" w:cs="Arial"/>
          <w:sz w:val="24"/>
          <w:szCs w:val="24"/>
        </w:rPr>
        <w:t xml:space="preserve">that prices are determined through competitive bidding and </w:t>
      </w:r>
      <w:r w:rsidRPr="0044150C" w:rsidDel="00B43638">
        <w:rPr>
          <w:rFonts w:ascii="Arial" w:hAnsi="Arial" w:cs="Arial"/>
          <w:sz w:val="24"/>
          <w:szCs w:val="24"/>
        </w:rPr>
        <w:lastRenderedPageBreak/>
        <w:t>negotiation, ensures that they are not distorted but instead reflect an adequate market price.</w:t>
      </w:r>
    </w:p>
    <w:p w14:paraId="221138A4" w14:textId="14DBD082" w:rsidR="00672C19" w:rsidRPr="0044150C" w:rsidDel="00B43638" w:rsidRDefault="00672C19" w:rsidP="00B45993">
      <w:pPr>
        <w:pStyle w:val="a7"/>
        <w:tabs>
          <w:tab w:val="clear" w:pos="720"/>
          <w:tab w:val="num" w:pos="0"/>
        </w:tabs>
        <w:spacing w:before="10"/>
        <w:ind w:right="95"/>
        <w:rPr>
          <w:rFonts w:ascii="Arial" w:hAnsi="Arial" w:cs="Arial"/>
          <w:sz w:val="24"/>
          <w:szCs w:val="24"/>
        </w:rPr>
      </w:pPr>
    </w:p>
    <w:p w14:paraId="09B6AC52" w14:textId="76E6ACA2" w:rsidR="00672C19" w:rsidRPr="0044150C" w:rsidDel="00B43638" w:rsidRDefault="00672C19" w:rsidP="00A77481">
      <w:pPr>
        <w:pStyle w:val="a9"/>
        <w:widowControl w:val="0"/>
        <w:numPr>
          <w:ilvl w:val="0"/>
          <w:numId w:val="1"/>
        </w:numPr>
        <w:autoSpaceDE w:val="0"/>
        <w:autoSpaceDN w:val="0"/>
        <w:ind w:right="95" w:hanging="644"/>
        <w:contextualSpacing w:val="0"/>
        <w:rPr>
          <w:rFonts w:ascii="Arial" w:hAnsi="Arial" w:cs="Arial"/>
          <w:sz w:val="24"/>
          <w:szCs w:val="24"/>
          <w:lang w:val="en-GB"/>
        </w:rPr>
      </w:pPr>
      <w:r w:rsidRPr="0044150C" w:rsidDel="00B43638">
        <w:rPr>
          <w:rFonts w:ascii="Arial" w:hAnsi="Arial" w:cs="Arial"/>
          <w:sz w:val="24"/>
          <w:szCs w:val="24"/>
          <w:lang w:val="en-GB"/>
        </w:rPr>
        <w:t xml:space="preserve">Thus, the LUR prices in China should be used to review whether or not the alleged remuneration is less than adequate and thereby confers a benefit to </w:t>
      </w:r>
      <w:r w:rsidR="009C3948" w:rsidRPr="0044150C" w:rsidDel="00B43638">
        <w:rPr>
          <w:rFonts w:ascii="Arial" w:hAnsi="Arial" w:cs="Arial"/>
          <w:sz w:val="24"/>
          <w:szCs w:val="24"/>
          <w:lang w:val="en-GB"/>
        </w:rPr>
        <w:t>boom lift</w:t>
      </w:r>
      <w:r w:rsidRPr="0044150C" w:rsidDel="00B43638">
        <w:rPr>
          <w:rFonts w:ascii="Arial" w:hAnsi="Arial" w:cs="Arial"/>
          <w:spacing w:val="-3"/>
          <w:sz w:val="24"/>
          <w:szCs w:val="24"/>
          <w:lang w:val="en-GB"/>
        </w:rPr>
        <w:t xml:space="preserve"> </w:t>
      </w:r>
      <w:r w:rsidRPr="0044150C" w:rsidDel="00B43638">
        <w:rPr>
          <w:rFonts w:ascii="Arial" w:hAnsi="Arial" w:cs="Arial"/>
          <w:sz w:val="24"/>
          <w:szCs w:val="24"/>
          <w:lang w:val="en-GB"/>
        </w:rPr>
        <w:t>producers.</w:t>
      </w:r>
    </w:p>
    <w:p w14:paraId="3FFD76DE" w14:textId="3B5D51C7" w:rsidR="00672C19" w:rsidRPr="0044150C" w:rsidDel="00B43638" w:rsidRDefault="00672C19" w:rsidP="00B45993">
      <w:pPr>
        <w:pStyle w:val="a7"/>
        <w:tabs>
          <w:tab w:val="clear" w:pos="720"/>
          <w:tab w:val="num" w:pos="0"/>
        </w:tabs>
        <w:ind w:right="95"/>
        <w:rPr>
          <w:rFonts w:ascii="Arial" w:hAnsi="Arial" w:cs="Arial"/>
          <w:sz w:val="24"/>
          <w:szCs w:val="24"/>
        </w:rPr>
      </w:pPr>
    </w:p>
    <w:p w14:paraId="79C5FB83" w14:textId="639F1387" w:rsidR="00672C19" w:rsidRPr="0044150C" w:rsidDel="00B43638" w:rsidRDefault="00672C19" w:rsidP="00A77481">
      <w:pPr>
        <w:pStyle w:val="a9"/>
        <w:widowControl w:val="0"/>
        <w:numPr>
          <w:ilvl w:val="0"/>
          <w:numId w:val="1"/>
        </w:numPr>
        <w:autoSpaceDE w:val="0"/>
        <w:autoSpaceDN w:val="0"/>
        <w:ind w:right="95" w:hanging="644"/>
        <w:contextualSpacing w:val="0"/>
        <w:rPr>
          <w:rFonts w:ascii="Arial" w:hAnsi="Arial" w:cs="Arial"/>
          <w:sz w:val="24"/>
          <w:szCs w:val="24"/>
          <w:lang w:val="en-GB"/>
        </w:rPr>
      </w:pPr>
      <w:r w:rsidRPr="0044150C" w:rsidDel="00B43638">
        <w:rPr>
          <w:rFonts w:ascii="Arial" w:hAnsi="Arial" w:cs="Arial"/>
          <w:sz w:val="24"/>
          <w:szCs w:val="24"/>
          <w:lang w:val="en-GB"/>
        </w:rPr>
        <w:t xml:space="preserve">In sum, the Application provides no evidence regarding benefit to the exporting producers of </w:t>
      </w:r>
      <w:r w:rsidR="009C3948" w:rsidRPr="0044150C" w:rsidDel="00B43638">
        <w:rPr>
          <w:rFonts w:ascii="Arial" w:hAnsi="Arial" w:cs="Arial"/>
          <w:sz w:val="24"/>
          <w:szCs w:val="24"/>
          <w:lang w:val="en-GB"/>
        </w:rPr>
        <w:t>boom lift</w:t>
      </w:r>
      <w:r w:rsidRPr="0044150C" w:rsidDel="00B43638">
        <w:rPr>
          <w:rFonts w:ascii="Arial" w:hAnsi="Arial" w:cs="Arial"/>
          <w:sz w:val="24"/>
          <w:szCs w:val="24"/>
          <w:lang w:val="en-GB"/>
        </w:rPr>
        <w:t xml:space="preserve"> and specificity. Therefore, any investigation of this alleged program is inconsistent with Articles 11.2 and 11.3 of the SCM Agreement.</w:t>
      </w:r>
    </w:p>
    <w:p w14:paraId="7D364CA3" w14:textId="68BD1488" w:rsidR="00672C19" w:rsidRPr="0044150C" w:rsidDel="00B43638" w:rsidRDefault="00672C19" w:rsidP="00B45993">
      <w:pPr>
        <w:pStyle w:val="a9"/>
        <w:widowControl w:val="0"/>
        <w:tabs>
          <w:tab w:val="left" w:pos="917"/>
        </w:tabs>
        <w:autoSpaceDE w:val="0"/>
        <w:autoSpaceDN w:val="0"/>
        <w:ind w:left="644" w:right="95"/>
        <w:contextualSpacing w:val="0"/>
        <w:rPr>
          <w:rFonts w:ascii="Arial" w:hAnsi="Arial" w:cs="Arial"/>
          <w:i/>
          <w:sz w:val="24"/>
          <w:szCs w:val="24"/>
          <w:lang w:val="en-GB"/>
        </w:rPr>
      </w:pPr>
    </w:p>
    <w:p w14:paraId="45D3DFF4" w14:textId="77777777" w:rsidR="00133D6C" w:rsidRPr="0044150C" w:rsidRDefault="00133D6C" w:rsidP="00133D6C">
      <w:pPr>
        <w:pStyle w:val="3"/>
        <w:spacing w:before="0"/>
        <w:rPr>
          <w:rFonts w:ascii="Arial" w:eastAsiaTheme="minorEastAsia" w:hAnsi="Arial" w:cs="Arial"/>
          <w:b/>
          <w:bCs/>
          <w:color w:val="auto"/>
          <w:lang w:val="en-GB"/>
        </w:rPr>
      </w:pPr>
      <w:bookmarkStart w:id="45" w:name="_Toc226652299"/>
      <w:r w:rsidRPr="0044150C">
        <w:rPr>
          <w:rFonts w:ascii="Arial" w:eastAsia="Times New Roman" w:hAnsi="Arial" w:cs="Arial"/>
          <w:b/>
          <w:bCs/>
          <w:color w:val="auto"/>
          <w:lang w:val="en-GB" w:eastAsia="en-US"/>
        </w:rPr>
        <w:t xml:space="preserve">Alleged provision of </w:t>
      </w:r>
      <w:r w:rsidRPr="0044150C">
        <w:rPr>
          <w:rFonts w:ascii="Arial" w:eastAsiaTheme="minorEastAsia" w:hAnsi="Arial" w:cs="Arial"/>
          <w:b/>
          <w:bCs/>
          <w:color w:val="auto"/>
          <w:lang w:val="en-GB"/>
        </w:rPr>
        <w:t>electricity</w:t>
      </w:r>
      <w:r w:rsidRPr="0044150C">
        <w:rPr>
          <w:rFonts w:ascii="Arial" w:eastAsia="Times New Roman" w:hAnsi="Arial" w:cs="Arial"/>
          <w:b/>
          <w:bCs/>
          <w:color w:val="auto"/>
          <w:lang w:val="en-GB" w:eastAsia="en-US"/>
        </w:rPr>
        <w:t xml:space="preserve"> at LTAR</w:t>
      </w:r>
      <w:bookmarkEnd w:id="45"/>
      <w:r w:rsidRPr="0044150C">
        <w:rPr>
          <w:rFonts w:ascii="Arial" w:eastAsia="Times New Roman" w:hAnsi="Arial" w:cs="Arial"/>
          <w:b/>
          <w:bCs/>
          <w:color w:val="auto"/>
          <w:lang w:val="en-GB" w:eastAsia="en-US"/>
        </w:rPr>
        <w:t xml:space="preserve"> </w:t>
      </w:r>
    </w:p>
    <w:p w14:paraId="6C436C0E" w14:textId="77777777" w:rsidR="00133D6C" w:rsidRPr="0044150C" w:rsidRDefault="00133D6C" w:rsidP="00133D6C">
      <w:pPr>
        <w:pStyle w:val="a9"/>
        <w:widowControl w:val="0"/>
        <w:autoSpaceDE w:val="0"/>
        <w:autoSpaceDN w:val="0"/>
        <w:ind w:left="644" w:right="95"/>
        <w:contextualSpacing w:val="0"/>
        <w:rPr>
          <w:rFonts w:ascii="Arial" w:hAnsi="Arial" w:cs="Arial"/>
          <w:sz w:val="24"/>
          <w:szCs w:val="24"/>
          <w:lang w:val="en-GB"/>
        </w:rPr>
      </w:pPr>
    </w:p>
    <w:p w14:paraId="71953BCF" w14:textId="13C2B5EC" w:rsidR="00133D6C" w:rsidRPr="0044150C" w:rsidRDefault="00133D6C" w:rsidP="00A77481">
      <w:pPr>
        <w:pStyle w:val="a9"/>
        <w:widowControl w:val="0"/>
        <w:numPr>
          <w:ilvl w:val="0"/>
          <w:numId w:val="1"/>
        </w:numPr>
        <w:autoSpaceDE w:val="0"/>
        <w:autoSpaceDN w:val="0"/>
        <w:ind w:right="95" w:hanging="644"/>
        <w:contextualSpacing w:val="0"/>
        <w:rPr>
          <w:rFonts w:ascii="Arial" w:hAnsi="Arial" w:cs="Arial"/>
          <w:sz w:val="24"/>
          <w:szCs w:val="24"/>
          <w:lang w:val="en-GB"/>
        </w:rPr>
      </w:pPr>
      <w:r w:rsidRPr="0044150C">
        <w:rPr>
          <w:rFonts w:ascii="Arial" w:hAnsi="Arial" w:cs="Arial"/>
          <w:sz w:val="24"/>
          <w:szCs w:val="24"/>
          <w:lang w:val="en-GB"/>
        </w:rPr>
        <w:t xml:space="preserve">According to the Applicant, the provision of </w:t>
      </w:r>
      <w:r w:rsidR="00AA4D3A" w:rsidRPr="0044150C">
        <w:rPr>
          <w:rFonts w:ascii="Arial" w:hAnsi="Arial" w:cs="Arial"/>
          <w:sz w:val="24"/>
          <w:szCs w:val="24"/>
          <w:lang w:val="en-GB"/>
        </w:rPr>
        <w:t>electricity</w:t>
      </w:r>
      <w:r w:rsidRPr="0044150C">
        <w:rPr>
          <w:rFonts w:ascii="Arial" w:hAnsi="Arial" w:cs="Arial"/>
          <w:sz w:val="24"/>
          <w:szCs w:val="24"/>
          <w:lang w:val="en-GB"/>
        </w:rPr>
        <w:t xml:space="preserve"> at reduced rates to the boom lift industry qualifies as a countervailable subsidy. The GOC disagrees for three</w:t>
      </w:r>
      <w:r w:rsidRPr="0044150C">
        <w:rPr>
          <w:rFonts w:ascii="Arial" w:hAnsi="Arial" w:cs="Arial"/>
          <w:spacing w:val="-16"/>
          <w:sz w:val="24"/>
          <w:szCs w:val="24"/>
          <w:lang w:val="en-GB"/>
        </w:rPr>
        <w:t xml:space="preserve"> </w:t>
      </w:r>
      <w:r w:rsidRPr="0044150C">
        <w:rPr>
          <w:rFonts w:ascii="Arial" w:hAnsi="Arial" w:cs="Arial"/>
          <w:sz w:val="24"/>
          <w:szCs w:val="24"/>
          <w:lang w:val="en-GB"/>
        </w:rPr>
        <w:t>reasons.</w:t>
      </w:r>
    </w:p>
    <w:p w14:paraId="0524759B" w14:textId="77777777" w:rsidR="00133D6C" w:rsidRPr="0044150C" w:rsidRDefault="00133D6C" w:rsidP="00133D6C">
      <w:pPr>
        <w:pStyle w:val="a9"/>
        <w:widowControl w:val="0"/>
        <w:autoSpaceDE w:val="0"/>
        <w:autoSpaceDN w:val="0"/>
        <w:ind w:left="644" w:right="95"/>
        <w:contextualSpacing w:val="0"/>
        <w:rPr>
          <w:rFonts w:ascii="Arial" w:hAnsi="Arial" w:cs="Arial"/>
          <w:sz w:val="24"/>
          <w:szCs w:val="24"/>
          <w:lang w:val="en-GB"/>
        </w:rPr>
      </w:pPr>
    </w:p>
    <w:p w14:paraId="62C06318" w14:textId="3BA99BDD" w:rsidR="00133D6C" w:rsidRPr="0044150C" w:rsidRDefault="00133D6C" w:rsidP="00A77481">
      <w:pPr>
        <w:pStyle w:val="a7"/>
        <w:numPr>
          <w:ilvl w:val="0"/>
          <w:numId w:val="1"/>
        </w:numPr>
        <w:spacing w:before="100"/>
        <w:ind w:right="95" w:hanging="644"/>
        <w:jc w:val="both"/>
        <w:rPr>
          <w:rFonts w:ascii="Arial" w:hAnsi="Arial" w:cs="Arial"/>
          <w:sz w:val="24"/>
          <w:szCs w:val="24"/>
        </w:rPr>
      </w:pPr>
      <w:r w:rsidRPr="0044150C">
        <w:rPr>
          <w:rFonts w:ascii="Arial" w:hAnsi="Arial" w:cs="Arial"/>
          <w:sz w:val="24"/>
          <w:szCs w:val="24"/>
        </w:rPr>
        <w:t xml:space="preserve">First, the Applicant relies on completely unrelated </w:t>
      </w:r>
      <w:r w:rsidRPr="0044150C">
        <w:rPr>
          <w:rFonts w:ascii="Arial" w:eastAsiaTheme="minorEastAsia" w:hAnsi="Arial" w:cs="Arial"/>
          <w:sz w:val="24"/>
          <w:szCs w:val="24"/>
          <w:lang w:eastAsia="zh-CN"/>
        </w:rPr>
        <w:t>previous</w:t>
      </w:r>
      <w:r w:rsidRPr="0044150C">
        <w:rPr>
          <w:rFonts w:ascii="Arial" w:hAnsi="Arial" w:cs="Arial"/>
          <w:sz w:val="24"/>
          <w:szCs w:val="24"/>
        </w:rPr>
        <w:t xml:space="preserve"> investigation to assert that there is</w:t>
      </w:r>
      <w:r w:rsidRPr="0044150C">
        <w:rPr>
          <w:rFonts w:ascii="Arial" w:hAnsi="Arial" w:cs="Arial"/>
          <w:spacing w:val="-10"/>
          <w:sz w:val="24"/>
          <w:szCs w:val="24"/>
        </w:rPr>
        <w:t xml:space="preserve"> </w:t>
      </w:r>
      <w:r w:rsidRPr="0044150C">
        <w:rPr>
          <w:rFonts w:ascii="Arial" w:hAnsi="Arial" w:cs="Arial"/>
          <w:i/>
          <w:sz w:val="24"/>
          <w:szCs w:val="24"/>
        </w:rPr>
        <w:t>prima</w:t>
      </w:r>
      <w:r w:rsidRPr="0044150C">
        <w:rPr>
          <w:rFonts w:ascii="Arial" w:hAnsi="Arial" w:cs="Arial"/>
          <w:i/>
          <w:spacing w:val="-11"/>
          <w:sz w:val="24"/>
          <w:szCs w:val="24"/>
        </w:rPr>
        <w:t xml:space="preserve"> </w:t>
      </w:r>
      <w:r w:rsidRPr="0044150C">
        <w:rPr>
          <w:rFonts w:ascii="Arial" w:hAnsi="Arial" w:cs="Arial"/>
          <w:i/>
          <w:sz w:val="24"/>
          <w:szCs w:val="24"/>
        </w:rPr>
        <w:t>facie</w:t>
      </w:r>
      <w:r w:rsidRPr="0044150C">
        <w:rPr>
          <w:rFonts w:ascii="Arial" w:hAnsi="Arial" w:cs="Arial"/>
          <w:i/>
          <w:spacing w:val="-12"/>
          <w:sz w:val="24"/>
          <w:szCs w:val="24"/>
        </w:rPr>
        <w:t xml:space="preserve"> </w:t>
      </w:r>
      <w:r w:rsidRPr="0044150C">
        <w:rPr>
          <w:rFonts w:ascii="Arial" w:hAnsi="Arial" w:cs="Arial"/>
          <w:sz w:val="24"/>
          <w:szCs w:val="24"/>
        </w:rPr>
        <w:t>evidence</w:t>
      </w:r>
      <w:r w:rsidRPr="0044150C">
        <w:rPr>
          <w:rFonts w:ascii="Arial" w:hAnsi="Arial" w:cs="Arial"/>
          <w:spacing w:val="-11"/>
          <w:sz w:val="24"/>
          <w:szCs w:val="24"/>
        </w:rPr>
        <w:t xml:space="preserve"> </w:t>
      </w:r>
      <w:r w:rsidRPr="0044150C">
        <w:rPr>
          <w:rFonts w:ascii="Arial" w:hAnsi="Arial" w:cs="Arial"/>
          <w:sz w:val="24"/>
          <w:szCs w:val="24"/>
        </w:rPr>
        <w:t>that</w:t>
      </w:r>
      <w:r w:rsidRPr="0044150C">
        <w:rPr>
          <w:rFonts w:ascii="Arial" w:hAnsi="Arial" w:cs="Arial"/>
          <w:spacing w:val="-10"/>
          <w:sz w:val="24"/>
          <w:szCs w:val="24"/>
        </w:rPr>
        <w:t xml:space="preserve"> </w:t>
      </w:r>
      <w:r w:rsidRPr="0044150C">
        <w:rPr>
          <w:rFonts w:ascii="Arial" w:hAnsi="Arial" w:cs="Arial"/>
          <w:sz w:val="24"/>
          <w:szCs w:val="24"/>
        </w:rPr>
        <w:t>(i)</w:t>
      </w:r>
      <w:r w:rsidRPr="0044150C">
        <w:rPr>
          <w:rFonts w:ascii="Arial" w:hAnsi="Arial" w:cs="Arial"/>
          <w:spacing w:val="-12"/>
          <w:sz w:val="24"/>
          <w:szCs w:val="24"/>
        </w:rPr>
        <w:t xml:space="preserve"> </w:t>
      </w:r>
      <w:r w:rsidRPr="0044150C">
        <w:rPr>
          <w:rFonts w:ascii="Arial" w:hAnsi="Arial" w:cs="Arial"/>
          <w:sz w:val="24"/>
          <w:szCs w:val="24"/>
        </w:rPr>
        <w:t>the</w:t>
      </w:r>
      <w:r w:rsidRPr="0044150C">
        <w:rPr>
          <w:rFonts w:ascii="Arial" w:hAnsi="Arial" w:cs="Arial"/>
          <w:spacing w:val="-10"/>
          <w:sz w:val="24"/>
          <w:szCs w:val="24"/>
        </w:rPr>
        <w:t xml:space="preserve"> </w:t>
      </w:r>
      <w:r w:rsidRPr="0044150C">
        <w:rPr>
          <w:rFonts w:ascii="Arial" w:hAnsi="Arial" w:cs="Arial"/>
          <w:sz w:val="24"/>
          <w:szCs w:val="24"/>
        </w:rPr>
        <w:t>entities</w:t>
      </w:r>
      <w:r w:rsidRPr="0044150C">
        <w:rPr>
          <w:rFonts w:ascii="Arial" w:hAnsi="Arial" w:cs="Arial"/>
          <w:spacing w:val="-11"/>
          <w:sz w:val="24"/>
          <w:szCs w:val="24"/>
        </w:rPr>
        <w:t xml:space="preserve"> </w:t>
      </w:r>
      <w:r w:rsidRPr="0044150C">
        <w:rPr>
          <w:rFonts w:ascii="Arial" w:hAnsi="Arial" w:cs="Arial"/>
          <w:sz w:val="24"/>
          <w:szCs w:val="24"/>
        </w:rPr>
        <w:t>providing</w:t>
      </w:r>
      <w:r w:rsidRPr="0044150C">
        <w:rPr>
          <w:rFonts w:ascii="Arial" w:hAnsi="Arial" w:cs="Arial"/>
          <w:spacing w:val="-10"/>
          <w:sz w:val="24"/>
          <w:szCs w:val="24"/>
        </w:rPr>
        <w:t xml:space="preserve"> </w:t>
      </w:r>
      <w:r w:rsidR="00AA4D3A" w:rsidRPr="0044150C">
        <w:rPr>
          <w:rFonts w:ascii="Arial" w:hAnsi="Arial" w:cs="Arial"/>
          <w:sz w:val="24"/>
          <w:szCs w:val="24"/>
        </w:rPr>
        <w:t>electricity</w:t>
      </w:r>
      <w:r w:rsidRPr="0044150C">
        <w:rPr>
          <w:rFonts w:ascii="Arial" w:hAnsi="Arial" w:cs="Arial"/>
          <w:spacing w:val="-12"/>
          <w:sz w:val="24"/>
          <w:szCs w:val="24"/>
        </w:rPr>
        <w:t xml:space="preserve"> </w:t>
      </w:r>
      <w:r w:rsidRPr="0044150C">
        <w:rPr>
          <w:rFonts w:ascii="Arial" w:hAnsi="Arial" w:cs="Arial"/>
          <w:sz w:val="24"/>
          <w:szCs w:val="24"/>
        </w:rPr>
        <w:t>at</w:t>
      </w:r>
      <w:r w:rsidRPr="0044150C">
        <w:rPr>
          <w:rFonts w:ascii="Arial" w:hAnsi="Arial" w:cs="Arial"/>
          <w:spacing w:val="-10"/>
          <w:sz w:val="24"/>
          <w:szCs w:val="24"/>
        </w:rPr>
        <w:t xml:space="preserve"> </w:t>
      </w:r>
      <w:r w:rsidRPr="0044150C">
        <w:rPr>
          <w:rFonts w:ascii="Arial" w:hAnsi="Arial" w:cs="Arial"/>
          <w:sz w:val="24"/>
          <w:szCs w:val="24"/>
        </w:rPr>
        <w:t>allegedly</w:t>
      </w:r>
      <w:r w:rsidRPr="0044150C">
        <w:rPr>
          <w:rFonts w:ascii="Arial" w:hAnsi="Arial" w:cs="Arial"/>
          <w:spacing w:val="-11"/>
          <w:sz w:val="24"/>
          <w:szCs w:val="24"/>
        </w:rPr>
        <w:t xml:space="preserve"> </w:t>
      </w:r>
      <w:r w:rsidRPr="0044150C">
        <w:rPr>
          <w:rFonts w:ascii="Arial" w:hAnsi="Arial" w:cs="Arial"/>
          <w:sz w:val="24"/>
          <w:szCs w:val="24"/>
        </w:rPr>
        <w:t>reduced</w:t>
      </w:r>
      <w:r w:rsidRPr="0044150C">
        <w:rPr>
          <w:rFonts w:ascii="Arial" w:hAnsi="Arial" w:cs="Arial"/>
          <w:spacing w:val="-11"/>
          <w:sz w:val="24"/>
          <w:szCs w:val="24"/>
        </w:rPr>
        <w:t xml:space="preserve"> </w:t>
      </w:r>
      <w:r w:rsidRPr="0044150C">
        <w:rPr>
          <w:rFonts w:ascii="Arial" w:hAnsi="Arial" w:cs="Arial"/>
          <w:sz w:val="24"/>
          <w:szCs w:val="24"/>
        </w:rPr>
        <w:t>rates</w:t>
      </w:r>
      <w:r w:rsidRPr="0044150C">
        <w:rPr>
          <w:rFonts w:ascii="Arial" w:hAnsi="Arial" w:cs="Arial"/>
          <w:spacing w:val="-10"/>
          <w:sz w:val="24"/>
          <w:szCs w:val="24"/>
        </w:rPr>
        <w:t xml:space="preserve"> </w:t>
      </w:r>
      <w:r w:rsidRPr="0044150C">
        <w:rPr>
          <w:rFonts w:ascii="Arial" w:hAnsi="Arial" w:cs="Arial"/>
          <w:sz w:val="24"/>
          <w:szCs w:val="24"/>
        </w:rPr>
        <w:t>are</w:t>
      </w:r>
      <w:r w:rsidRPr="0044150C">
        <w:rPr>
          <w:rFonts w:ascii="Arial" w:hAnsi="Arial" w:cs="Arial"/>
          <w:spacing w:val="-12"/>
          <w:sz w:val="24"/>
          <w:szCs w:val="24"/>
        </w:rPr>
        <w:t xml:space="preserve"> </w:t>
      </w:r>
      <w:r w:rsidRPr="0044150C">
        <w:rPr>
          <w:rFonts w:ascii="Arial" w:hAnsi="Arial" w:cs="Arial"/>
          <w:sz w:val="24"/>
          <w:szCs w:val="24"/>
        </w:rPr>
        <w:t xml:space="preserve">public bodies within the meaning of Article 1.1(a)(1) of the SCM Agreement, and (ii) the alleged provision of </w:t>
      </w:r>
      <w:r w:rsidR="00AA4D3A" w:rsidRPr="0044150C">
        <w:rPr>
          <w:rFonts w:ascii="Arial" w:hAnsi="Arial" w:cs="Arial"/>
          <w:sz w:val="24"/>
          <w:szCs w:val="24"/>
        </w:rPr>
        <w:t>electricity</w:t>
      </w:r>
      <w:r w:rsidRPr="0044150C">
        <w:rPr>
          <w:rFonts w:ascii="Arial" w:hAnsi="Arial" w:cs="Arial"/>
          <w:sz w:val="24"/>
          <w:szCs w:val="24"/>
        </w:rPr>
        <w:t xml:space="preserve"> at </w:t>
      </w:r>
      <w:r w:rsidRPr="0044150C">
        <w:rPr>
          <w:rFonts w:ascii="Arial" w:hAnsi="Arial" w:cs="Arial"/>
          <w:spacing w:val="-11"/>
          <w:sz w:val="24"/>
          <w:szCs w:val="24"/>
        </w:rPr>
        <w:t xml:space="preserve">LTAR </w:t>
      </w:r>
      <w:r w:rsidRPr="0044150C">
        <w:rPr>
          <w:rFonts w:ascii="Arial" w:hAnsi="Arial" w:cs="Arial"/>
          <w:sz w:val="24"/>
          <w:szCs w:val="24"/>
        </w:rPr>
        <w:t xml:space="preserve">conferred a benefit to the </w:t>
      </w:r>
      <w:r w:rsidRPr="0044150C">
        <w:rPr>
          <w:rFonts w:ascii="Arial" w:eastAsiaTheme="minorEastAsia" w:hAnsi="Arial" w:cs="Arial"/>
          <w:sz w:val="24"/>
          <w:szCs w:val="24"/>
          <w:lang w:eastAsia="zh-CN"/>
        </w:rPr>
        <w:t>boom lift</w:t>
      </w:r>
      <w:r w:rsidRPr="0044150C">
        <w:rPr>
          <w:rFonts w:ascii="Arial" w:hAnsi="Arial" w:cs="Arial"/>
          <w:sz w:val="24"/>
          <w:szCs w:val="24"/>
        </w:rPr>
        <w:t xml:space="preserve"> industry. As</w:t>
      </w:r>
      <w:r w:rsidRPr="0044150C">
        <w:rPr>
          <w:rFonts w:ascii="Arial" w:hAnsi="Arial" w:cs="Arial"/>
          <w:spacing w:val="20"/>
          <w:sz w:val="24"/>
          <w:szCs w:val="24"/>
        </w:rPr>
        <w:t xml:space="preserve"> </w:t>
      </w:r>
      <w:r w:rsidRPr="0044150C">
        <w:rPr>
          <w:rFonts w:ascii="Arial" w:hAnsi="Arial" w:cs="Arial"/>
          <w:sz w:val="24"/>
          <w:szCs w:val="24"/>
        </w:rPr>
        <w:t>noted</w:t>
      </w:r>
      <w:r w:rsidRPr="0044150C">
        <w:rPr>
          <w:rFonts w:ascii="Arial" w:hAnsi="Arial" w:cs="Arial"/>
          <w:spacing w:val="18"/>
          <w:sz w:val="24"/>
          <w:szCs w:val="24"/>
        </w:rPr>
        <w:t xml:space="preserve"> </w:t>
      </w:r>
      <w:r w:rsidRPr="0044150C">
        <w:rPr>
          <w:rFonts w:ascii="Arial" w:hAnsi="Arial" w:cs="Arial"/>
          <w:sz w:val="24"/>
          <w:szCs w:val="24"/>
        </w:rPr>
        <w:t>by</w:t>
      </w:r>
      <w:r w:rsidRPr="0044150C">
        <w:rPr>
          <w:rFonts w:ascii="Arial" w:hAnsi="Arial" w:cs="Arial"/>
          <w:spacing w:val="20"/>
          <w:sz w:val="24"/>
          <w:szCs w:val="24"/>
        </w:rPr>
        <w:t xml:space="preserve"> </w:t>
      </w:r>
      <w:r w:rsidRPr="0044150C">
        <w:rPr>
          <w:rFonts w:ascii="Arial" w:hAnsi="Arial" w:cs="Arial"/>
          <w:sz w:val="24"/>
          <w:szCs w:val="24"/>
        </w:rPr>
        <w:t>the</w:t>
      </w:r>
      <w:r w:rsidRPr="0044150C">
        <w:rPr>
          <w:rFonts w:ascii="Arial" w:hAnsi="Arial" w:cs="Arial"/>
          <w:spacing w:val="18"/>
          <w:sz w:val="24"/>
          <w:szCs w:val="24"/>
        </w:rPr>
        <w:t xml:space="preserve"> </w:t>
      </w:r>
      <w:r w:rsidRPr="0044150C">
        <w:rPr>
          <w:rFonts w:ascii="Arial" w:hAnsi="Arial" w:cs="Arial"/>
          <w:sz w:val="24"/>
          <w:szCs w:val="24"/>
        </w:rPr>
        <w:t>Panel</w:t>
      </w:r>
      <w:r w:rsidRPr="0044150C">
        <w:rPr>
          <w:rFonts w:ascii="Arial" w:hAnsi="Arial" w:cs="Arial"/>
          <w:spacing w:val="18"/>
          <w:sz w:val="24"/>
          <w:szCs w:val="24"/>
        </w:rPr>
        <w:t xml:space="preserve"> </w:t>
      </w:r>
      <w:r w:rsidRPr="0044150C">
        <w:rPr>
          <w:rFonts w:ascii="Arial" w:hAnsi="Arial" w:cs="Arial"/>
          <w:sz w:val="24"/>
          <w:szCs w:val="24"/>
        </w:rPr>
        <w:t xml:space="preserve">in </w:t>
      </w:r>
      <w:r w:rsidRPr="0044150C">
        <w:rPr>
          <w:rFonts w:ascii="Arial" w:hAnsi="Arial" w:cs="Arial"/>
          <w:i/>
          <w:sz w:val="24"/>
          <w:szCs w:val="24"/>
        </w:rPr>
        <w:t>China – GOES</w:t>
      </w:r>
      <w:r w:rsidRPr="0044150C">
        <w:rPr>
          <w:rFonts w:ascii="Arial" w:hAnsi="Arial" w:cs="Arial"/>
          <w:sz w:val="24"/>
          <w:szCs w:val="24"/>
        </w:rPr>
        <w:t>, historical evidence of benefit cannot prove the existence of a benefit in the investigation period especially if the subsidy is non-recurring and was granted several years prior to the investigation period.</w:t>
      </w:r>
      <w:r w:rsidRPr="0044150C">
        <w:rPr>
          <w:rStyle w:val="ab"/>
          <w:rFonts w:ascii="Arial" w:hAnsi="Arial" w:cs="Arial"/>
          <w:sz w:val="24"/>
          <w:szCs w:val="24"/>
        </w:rPr>
        <w:footnoteReference w:id="46"/>
      </w:r>
      <w:r w:rsidRPr="0044150C">
        <w:rPr>
          <w:rFonts w:ascii="Arial" w:hAnsi="Arial" w:cs="Arial"/>
          <w:sz w:val="24"/>
          <w:szCs w:val="24"/>
        </w:rPr>
        <w:t xml:space="preserve"> As already noted in relation to the alleged provision of LURs and raw materials at LTAR, the </w:t>
      </w:r>
      <w:r w:rsidRPr="0044150C">
        <w:rPr>
          <w:rFonts w:ascii="Arial" w:hAnsi="Arial" w:cs="Arial"/>
          <w:sz w:val="24"/>
          <w:szCs w:val="24"/>
        </w:rPr>
        <w:lastRenderedPageBreak/>
        <w:t xml:space="preserve">Application does not provide any </w:t>
      </w:r>
      <w:r w:rsidRPr="0044150C">
        <w:rPr>
          <w:rFonts w:ascii="Arial" w:hAnsi="Arial" w:cs="Arial"/>
          <w:i/>
          <w:sz w:val="24"/>
          <w:szCs w:val="24"/>
        </w:rPr>
        <w:t xml:space="preserve">prima facie </w:t>
      </w:r>
      <w:r w:rsidRPr="0044150C">
        <w:rPr>
          <w:rFonts w:ascii="Arial" w:hAnsi="Arial" w:cs="Arial"/>
          <w:sz w:val="24"/>
          <w:szCs w:val="24"/>
        </w:rPr>
        <w:t>evidence of the existence of this subsidy.</w:t>
      </w:r>
    </w:p>
    <w:p w14:paraId="09A67ADF" w14:textId="77777777" w:rsidR="00133D6C" w:rsidRPr="0044150C" w:rsidRDefault="00133D6C" w:rsidP="00133D6C">
      <w:pPr>
        <w:pStyle w:val="a9"/>
        <w:widowControl w:val="0"/>
        <w:autoSpaceDE w:val="0"/>
        <w:autoSpaceDN w:val="0"/>
        <w:ind w:left="644" w:right="95"/>
        <w:contextualSpacing w:val="0"/>
        <w:rPr>
          <w:rFonts w:ascii="Arial" w:hAnsi="Arial" w:cs="Arial"/>
          <w:sz w:val="24"/>
          <w:szCs w:val="24"/>
          <w:lang w:val="en-GB"/>
        </w:rPr>
      </w:pPr>
    </w:p>
    <w:p w14:paraId="52C466BF" w14:textId="688DF2F7" w:rsidR="00133D6C" w:rsidRPr="0044150C" w:rsidRDefault="00133D6C" w:rsidP="00A77481">
      <w:pPr>
        <w:pStyle w:val="a9"/>
        <w:widowControl w:val="0"/>
        <w:numPr>
          <w:ilvl w:val="0"/>
          <w:numId w:val="1"/>
        </w:numPr>
        <w:autoSpaceDE w:val="0"/>
        <w:autoSpaceDN w:val="0"/>
        <w:ind w:right="95" w:hanging="644"/>
        <w:contextualSpacing w:val="0"/>
        <w:rPr>
          <w:rFonts w:ascii="Arial" w:hAnsi="Arial" w:cs="Arial"/>
          <w:sz w:val="24"/>
          <w:szCs w:val="24"/>
          <w:lang w:val="en-GB"/>
        </w:rPr>
      </w:pPr>
      <w:r w:rsidRPr="0044150C">
        <w:rPr>
          <w:rFonts w:ascii="Arial" w:hAnsi="Arial" w:cs="Arial"/>
          <w:sz w:val="24"/>
          <w:szCs w:val="24"/>
          <w:lang w:val="en-GB"/>
        </w:rPr>
        <w:t xml:space="preserve">Second, in any case, the Applicant fails to provide any evidence of </w:t>
      </w:r>
      <w:r w:rsidR="00696285" w:rsidRPr="0044150C">
        <w:rPr>
          <w:rFonts w:ascii="Arial" w:hAnsi="Arial" w:cs="Arial"/>
          <w:sz w:val="24"/>
          <w:szCs w:val="24"/>
          <w:lang w:val="en-GB"/>
        </w:rPr>
        <w:t>financial contribution or benefit</w:t>
      </w:r>
      <w:r w:rsidRPr="0044150C">
        <w:rPr>
          <w:rFonts w:ascii="Arial" w:hAnsi="Arial" w:cs="Arial"/>
          <w:sz w:val="24"/>
          <w:szCs w:val="24"/>
          <w:lang w:val="en-GB"/>
        </w:rPr>
        <w:t xml:space="preserve"> within the meaning of Article </w:t>
      </w:r>
      <w:r w:rsidR="00696285" w:rsidRPr="0044150C">
        <w:rPr>
          <w:rFonts w:ascii="Arial" w:hAnsi="Arial" w:cs="Arial"/>
          <w:sz w:val="24"/>
          <w:szCs w:val="24"/>
          <w:lang w:val="en-GB"/>
        </w:rPr>
        <w:t>1</w:t>
      </w:r>
      <w:r w:rsidRPr="0044150C">
        <w:rPr>
          <w:rFonts w:ascii="Arial" w:hAnsi="Arial" w:cs="Arial"/>
          <w:sz w:val="24"/>
          <w:szCs w:val="24"/>
          <w:lang w:val="en-GB"/>
        </w:rPr>
        <w:t xml:space="preserve"> of the SCM Agreement. </w:t>
      </w:r>
      <w:r w:rsidR="00696285" w:rsidRPr="0044150C">
        <w:rPr>
          <w:rFonts w:ascii="Arial" w:hAnsi="Arial" w:cs="Arial"/>
          <w:sz w:val="24"/>
          <w:szCs w:val="24"/>
          <w:lang w:val="en-GB"/>
        </w:rPr>
        <w:t>T</w:t>
      </w:r>
      <w:r w:rsidRPr="0044150C">
        <w:rPr>
          <w:rFonts w:ascii="Arial" w:hAnsi="Arial" w:cs="Arial"/>
          <w:sz w:val="24"/>
          <w:szCs w:val="24"/>
          <w:lang w:val="en-GB"/>
        </w:rPr>
        <w:t xml:space="preserve">he Applicant merely asserts that </w:t>
      </w:r>
      <w:r w:rsidR="00DD2AAE" w:rsidRPr="0044150C">
        <w:rPr>
          <w:rFonts w:ascii="Arial" w:hAnsi="Arial" w:cs="Arial"/>
          <w:sz w:val="24"/>
          <w:szCs w:val="24"/>
          <w:lang w:val="en-GB"/>
        </w:rPr>
        <w:t>electricity is provided at preferential rates as a result of state-directed price control and selective eligibility under industrial policy, and that measures such as the NDRC Circular No. 1105 (2019) and corresponding provincial notices authorise reduced electricity prices for industrial users in encouraged sectors, which includes MAE producers</w:t>
      </w:r>
      <w:r w:rsidRPr="0044150C">
        <w:rPr>
          <w:rFonts w:ascii="Arial" w:hAnsi="Arial" w:cs="Arial"/>
          <w:sz w:val="24"/>
          <w:szCs w:val="24"/>
          <w:lang w:val="en-GB"/>
        </w:rPr>
        <w:t>.</w:t>
      </w:r>
      <w:r w:rsidRPr="0044150C">
        <w:rPr>
          <w:rFonts w:ascii="Arial" w:hAnsi="Arial" w:cs="Arial"/>
          <w:spacing w:val="-6"/>
          <w:sz w:val="24"/>
          <w:szCs w:val="24"/>
          <w:lang w:val="en-GB"/>
        </w:rPr>
        <w:t xml:space="preserve"> </w:t>
      </w:r>
      <w:r w:rsidR="00917B60" w:rsidRPr="0044150C">
        <w:rPr>
          <w:rFonts w:ascii="Arial" w:hAnsi="Arial" w:cs="Arial"/>
          <w:spacing w:val="-6"/>
          <w:sz w:val="24"/>
          <w:szCs w:val="24"/>
          <w:lang w:val="en-GB"/>
        </w:rPr>
        <w:t xml:space="preserve">In fact, </w:t>
      </w:r>
      <w:r w:rsidR="00696285" w:rsidRPr="0044150C">
        <w:rPr>
          <w:rFonts w:ascii="Arial" w:hAnsi="Arial" w:cs="Arial" w:hint="eastAsia"/>
          <w:sz w:val="24"/>
          <w:szCs w:val="24"/>
          <w:lang w:val="en-GB"/>
        </w:rPr>
        <w:t xml:space="preserve"> "Notice on Further Deepening the Market-Oriented Reform of Coal-fired Power Generation On-grid Tariffs" (</w:t>
      </w:r>
      <w:r w:rsidR="00696285" w:rsidRPr="0044150C">
        <w:rPr>
          <w:rFonts w:ascii="Arial" w:hAnsi="Arial" w:cs="Arial" w:hint="eastAsia"/>
          <w:sz w:val="24"/>
          <w:szCs w:val="24"/>
          <w:lang w:val="en-GB"/>
        </w:rPr>
        <w:t>〔</w:t>
      </w:r>
      <w:r w:rsidR="00696285" w:rsidRPr="0044150C">
        <w:rPr>
          <w:rFonts w:ascii="Arial" w:hAnsi="Arial" w:cs="Arial" w:hint="eastAsia"/>
          <w:sz w:val="24"/>
          <w:szCs w:val="24"/>
          <w:lang w:val="en-GB"/>
        </w:rPr>
        <w:t>2021</w:t>
      </w:r>
      <w:r w:rsidR="00696285" w:rsidRPr="0044150C">
        <w:rPr>
          <w:rFonts w:ascii="Arial" w:hAnsi="Arial" w:cs="Arial" w:hint="eastAsia"/>
          <w:sz w:val="24"/>
          <w:szCs w:val="24"/>
          <w:lang w:val="en-GB"/>
        </w:rPr>
        <w:t>〕</w:t>
      </w:r>
      <w:r w:rsidR="00696285" w:rsidRPr="0044150C">
        <w:rPr>
          <w:rFonts w:ascii="Arial" w:hAnsi="Arial" w:cs="Arial" w:hint="eastAsia"/>
          <w:sz w:val="24"/>
          <w:szCs w:val="24"/>
          <w:lang w:val="en-GB"/>
        </w:rPr>
        <w:t xml:space="preserve">1439, hereinafter re-ferred to as "Document No. [2021] 1439") </w:t>
      </w:r>
      <w:r w:rsidR="00696285" w:rsidRPr="0044150C">
        <w:rPr>
          <w:rFonts w:ascii="Arial" w:hAnsi="Arial" w:cs="Arial"/>
          <w:spacing w:val="-6"/>
          <w:sz w:val="24"/>
          <w:szCs w:val="24"/>
          <w:lang w:val="en-GB"/>
        </w:rPr>
        <w:t xml:space="preserve"> (</w:t>
      </w:r>
      <w:r w:rsidR="00696285" w:rsidRPr="0044150C">
        <w:rPr>
          <w:rFonts w:ascii="Arial" w:hAnsi="Arial" w:cs="Arial"/>
          <w:sz w:val="24"/>
          <w:szCs w:val="24"/>
          <w:lang w:val="en-GB"/>
        </w:rPr>
        <w:t>Appendix C3.1.1)</w:t>
      </w:r>
      <w:r w:rsidR="00917B60" w:rsidRPr="0044150C">
        <w:rPr>
          <w:rFonts w:ascii="Arial" w:hAnsi="Arial" w:cs="Arial"/>
          <w:spacing w:val="-6"/>
          <w:sz w:val="24"/>
          <w:szCs w:val="24"/>
          <w:lang w:val="en-GB"/>
        </w:rPr>
        <w:t xml:space="preserve"> stipulates that "[t]his notice shall be implemented from October 15, 2021. In cases where current policies are inconsistent with this notice, the provisions of this notice shall prevail." Therefore, all the evidence regarding financial contribution alleged in the application is no longer applicable to this case.</w:t>
      </w:r>
      <w:r w:rsidR="00696285" w:rsidRPr="0044150C">
        <w:rPr>
          <w:rFonts w:ascii="Arial" w:hAnsi="Arial" w:cs="Arial"/>
          <w:spacing w:val="-6"/>
          <w:sz w:val="24"/>
          <w:szCs w:val="24"/>
          <w:lang w:val="en-GB"/>
        </w:rPr>
        <w:t xml:space="preserve"> </w:t>
      </w:r>
      <w:r w:rsidRPr="0044150C">
        <w:rPr>
          <w:rFonts w:ascii="Arial" w:hAnsi="Arial" w:cs="Arial"/>
          <w:sz w:val="24"/>
          <w:szCs w:val="24"/>
          <w:lang w:val="en-GB"/>
        </w:rPr>
        <w:t>The</w:t>
      </w:r>
      <w:r w:rsidRPr="0044150C">
        <w:rPr>
          <w:rFonts w:ascii="Arial" w:hAnsi="Arial" w:cs="Arial"/>
          <w:spacing w:val="-13"/>
          <w:sz w:val="24"/>
          <w:szCs w:val="24"/>
          <w:lang w:val="en-GB"/>
        </w:rPr>
        <w:t xml:space="preserve"> </w:t>
      </w:r>
      <w:r w:rsidRPr="0044150C">
        <w:rPr>
          <w:rFonts w:ascii="Arial" w:hAnsi="Arial" w:cs="Arial"/>
          <w:sz w:val="24"/>
          <w:szCs w:val="24"/>
          <w:lang w:val="en-GB"/>
        </w:rPr>
        <w:t>ability</w:t>
      </w:r>
      <w:r w:rsidRPr="0044150C">
        <w:rPr>
          <w:rFonts w:ascii="Arial" w:hAnsi="Arial" w:cs="Arial"/>
          <w:spacing w:val="-11"/>
          <w:sz w:val="24"/>
          <w:szCs w:val="24"/>
          <w:lang w:val="en-GB"/>
        </w:rPr>
        <w:t xml:space="preserve"> </w:t>
      </w:r>
      <w:r w:rsidRPr="0044150C">
        <w:rPr>
          <w:rFonts w:ascii="Arial" w:hAnsi="Arial" w:cs="Arial"/>
          <w:sz w:val="24"/>
          <w:szCs w:val="24"/>
          <w:lang w:val="en-GB"/>
        </w:rPr>
        <w:t>to</w:t>
      </w:r>
      <w:r w:rsidRPr="0044150C">
        <w:rPr>
          <w:rFonts w:ascii="Arial" w:hAnsi="Arial" w:cs="Arial"/>
          <w:spacing w:val="-14"/>
          <w:sz w:val="24"/>
          <w:szCs w:val="24"/>
          <w:lang w:val="en-GB"/>
        </w:rPr>
        <w:t xml:space="preserve"> </w:t>
      </w:r>
      <w:r w:rsidRPr="0044150C">
        <w:rPr>
          <w:rFonts w:ascii="Arial" w:hAnsi="Arial" w:cs="Arial"/>
          <w:sz w:val="24"/>
          <w:szCs w:val="24"/>
          <w:lang w:val="en-GB"/>
        </w:rPr>
        <w:t>directly</w:t>
      </w:r>
      <w:r w:rsidRPr="0044150C">
        <w:rPr>
          <w:rFonts w:ascii="Arial" w:hAnsi="Arial" w:cs="Arial"/>
          <w:spacing w:val="-11"/>
          <w:sz w:val="24"/>
          <w:szCs w:val="24"/>
          <w:lang w:val="en-GB"/>
        </w:rPr>
        <w:t xml:space="preserve"> </w:t>
      </w:r>
      <w:r w:rsidRPr="0044150C">
        <w:rPr>
          <w:rFonts w:ascii="Arial" w:hAnsi="Arial" w:cs="Arial"/>
          <w:sz w:val="24"/>
          <w:szCs w:val="24"/>
          <w:lang w:val="en-GB"/>
        </w:rPr>
        <w:t>purchase</w:t>
      </w:r>
      <w:r w:rsidRPr="0044150C">
        <w:rPr>
          <w:rFonts w:ascii="Arial" w:hAnsi="Arial" w:cs="Arial"/>
          <w:spacing w:val="-9"/>
          <w:sz w:val="24"/>
          <w:szCs w:val="24"/>
          <w:lang w:val="en-GB"/>
        </w:rPr>
        <w:t xml:space="preserve"> </w:t>
      </w:r>
      <w:r w:rsidRPr="0044150C">
        <w:rPr>
          <w:rFonts w:ascii="Arial" w:hAnsi="Arial" w:cs="Arial"/>
          <w:sz w:val="24"/>
          <w:szCs w:val="24"/>
          <w:lang w:val="en-GB"/>
        </w:rPr>
        <w:t>electricity</w:t>
      </w:r>
      <w:r w:rsidRPr="0044150C">
        <w:rPr>
          <w:rFonts w:ascii="Arial" w:hAnsi="Arial" w:cs="Arial"/>
          <w:spacing w:val="-12"/>
          <w:sz w:val="24"/>
          <w:szCs w:val="24"/>
          <w:lang w:val="en-GB"/>
        </w:rPr>
        <w:t xml:space="preserve"> </w:t>
      </w:r>
      <w:r w:rsidRPr="0044150C">
        <w:rPr>
          <w:rFonts w:ascii="Arial" w:hAnsi="Arial" w:cs="Arial"/>
          <w:sz w:val="24"/>
          <w:szCs w:val="24"/>
          <w:lang w:val="en-GB"/>
        </w:rPr>
        <w:t>from</w:t>
      </w:r>
      <w:r w:rsidRPr="0044150C">
        <w:rPr>
          <w:rFonts w:ascii="Arial" w:hAnsi="Arial" w:cs="Arial"/>
          <w:spacing w:val="-11"/>
          <w:sz w:val="24"/>
          <w:szCs w:val="24"/>
          <w:lang w:val="en-GB"/>
        </w:rPr>
        <w:t xml:space="preserve"> </w:t>
      </w:r>
      <w:r w:rsidRPr="0044150C">
        <w:rPr>
          <w:rFonts w:ascii="Arial" w:hAnsi="Arial" w:cs="Arial"/>
          <w:sz w:val="24"/>
          <w:szCs w:val="24"/>
          <w:lang w:val="en-GB"/>
        </w:rPr>
        <w:t>power</w:t>
      </w:r>
      <w:r w:rsidRPr="0044150C">
        <w:rPr>
          <w:rFonts w:ascii="Arial" w:hAnsi="Arial" w:cs="Arial"/>
          <w:spacing w:val="-13"/>
          <w:sz w:val="24"/>
          <w:szCs w:val="24"/>
          <w:lang w:val="en-GB"/>
        </w:rPr>
        <w:t xml:space="preserve"> </w:t>
      </w:r>
      <w:r w:rsidRPr="0044150C">
        <w:rPr>
          <w:rFonts w:ascii="Arial" w:hAnsi="Arial" w:cs="Arial"/>
          <w:sz w:val="24"/>
          <w:szCs w:val="24"/>
          <w:lang w:val="en-GB"/>
        </w:rPr>
        <w:t>generators</w:t>
      </w:r>
      <w:r w:rsidRPr="0044150C">
        <w:rPr>
          <w:rFonts w:ascii="Arial" w:hAnsi="Arial" w:cs="Arial"/>
          <w:spacing w:val="-11"/>
          <w:sz w:val="24"/>
          <w:szCs w:val="24"/>
          <w:lang w:val="en-GB"/>
        </w:rPr>
        <w:t xml:space="preserve"> </w:t>
      </w:r>
      <w:r w:rsidRPr="0044150C">
        <w:rPr>
          <w:rFonts w:ascii="Arial" w:hAnsi="Arial" w:cs="Arial"/>
          <w:sz w:val="24"/>
          <w:szCs w:val="24"/>
          <w:lang w:val="en-GB"/>
        </w:rPr>
        <w:t>does</w:t>
      </w:r>
      <w:r w:rsidRPr="0044150C">
        <w:rPr>
          <w:rFonts w:ascii="Arial" w:hAnsi="Arial" w:cs="Arial"/>
          <w:spacing w:val="-11"/>
          <w:sz w:val="24"/>
          <w:szCs w:val="24"/>
          <w:lang w:val="en-GB"/>
        </w:rPr>
        <w:t xml:space="preserve"> </w:t>
      </w:r>
      <w:r w:rsidRPr="0044150C">
        <w:rPr>
          <w:rFonts w:ascii="Arial" w:hAnsi="Arial" w:cs="Arial"/>
          <w:sz w:val="24"/>
          <w:szCs w:val="24"/>
          <w:lang w:val="en-GB"/>
        </w:rPr>
        <w:t>not amount to a financial contribution or</w:t>
      </w:r>
      <w:r w:rsidRPr="0044150C">
        <w:rPr>
          <w:rFonts w:ascii="Arial" w:hAnsi="Arial" w:cs="Arial"/>
          <w:spacing w:val="-1"/>
          <w:sz w:val="24"/>
          <w:szCs w:val="24"/>
          <w:lang w:val="en-GB"/>
        </w:rPr>
        <w:t xml:space="preserve"> </w:t>
      </w:r>
      <w:r w:rsidRPr="0044150C">
        <w:rPr>
          <w:rFonts w:ascii="Arial" w:hAnsi="Arial" w:cs="Arial"/>
          <w:sz w:val="24"/>
          <w:szCs w:val="24"/>
          <w:lang w:val="en-GB"/>
        </w:rPr>
        <w:t>benefit.</w:t>
      </w:r>
    </w:p>
    <w:p w14:paraId="53A68DE5" w14:textId="77777777" w:rsidR="00133D6C" w:rsidRPr="0044150C" w:rsidRDefault="00133D6C" w:rsidP="00133D6C">
      <w:pPr>
        <w:pStyle w:val="a9"/>
        <w:widowControl w:val="0"/>
        <w:autoSpaceDE w:val="0"/>
        <w:autoSpaceDN w:val="0"/>
        <w:spacing w:before="241"/>
        <w:ind w:left="644" w:right="95"/>
        <w:rPr>
          <w:rFonts w:ascii="Arial" w:hAnsi="Arial" w:cs="Arial"/>
          <w:sz w:val="24"/>
          <w:szCs w:val="24"/>
          <w:lang w:val="en-GB"/>
        </w:rPr>
      </w:pPr>
    </w:p>
    <w:p w14:paraId="379E623C" w14:textId="617C953E" w:rsidR="00133D6C" w:rsidRPr="0044150C" w:rsidRDefault="00133D6C" w:rsidP="00A77481">
      <w:pPr>
        <w:pStyle w:val="a9"/>
        <w:widowControl w:val="0"/>
        <w:numPr>
          <w:ilvl w:val="0"/>
          <w:numId w:val="1"/>
        </w:numPr>
        <w:autoSpaceDE w:val="0"/>
        <w:autoSpaceDN w:val="0"/>
        <w:spacing w:before="241"/>
        <w:ind w:right="95" w:hanging="644"/>
        <w:rPr>
          <w:rFonts w:ascii="Arial" w:hAnsi="Arial" w:cs="Arial"/>
          <w:sz w:val="24"/>
          <w:szCs w:val="24"/>
          <w:lang w:val="en-GB"/>
        </w:rPr>
      </w:pPr>
      <w:r w:rsidRPr="0044150C">
        <w:rPr>
          <w:rFonts w:ascii="Arial" w:hAnsi="Arial" w:cs="Arial"/>
          <w:sz w:val="24"/>
          <w:szCs w:val="24"/>
          <w:lang w:val="en-GB"/>
        </w:rPr>
        <w:t xml:space="preserve">It is noted that the Chinese government </w:t>
      </w:r>
      <w:r w:rsidR="00DD2AAE" w:rsidRPr="0044150C">
        <w:rPr>
          <w:rFonts w:ascii="Arial" w:hAnsi="Arial" w:cs="Arial"/>
          <w:sz w:val="24"/>
          <w:szCs w:val="24"/>
          <w:lang w:val="en-GB"/>
        </w:rPr>
        <w:t xml:space="preserve">has advanced electricity market reform </w:t>
      </w:r>
      <w:r w:rsidRPr="0044150C">
        <w:rPr>
          <w:rFonts w:ascii="Arial" w:hAnsi="Arial" w:cs="Arial"/>
          <w:sz w:val="24"/>
          <w:szCs w:val="24"/>
          <w:lang w:val="en-GB"/>
        </w:rPr>
        <w:t>and it encourages direct transactions between electricity generation companies and electricity users. The prices are determined by the supply and demand on the market.</w:t>
      </w:r>
      <w:r w:rsidR="00917B60" w:rsidRPr="0044150C">
        <w:rPr>
          <w:rFonts w:ascii="Arial" w:hAnsi="Arial" w:cs="Arial"/>
          <w:sz w:val="24"/>
          <w:szCs w:val="24"/>
          <w:lang w:val="en-GB"/>
        </w:rPr>
        <w:t xml:space="preserve"> </w:t>
      </w:r>
      <w:r w:rsidR="00917B60" w:rsidRPr="0044150C">
        <w:rPr>
          <w:rFonts w:ascii="Arial" w:hAnsi="Arial" w:cs="Arial" w:hint="eastAsia"/>
          <w:sz w:val="24"/>
          <w:szCs w:val="24"/>
          <w:lang w:val="en-GB"/>
        </w:rPr>
        <w:t>In October 2021, the National Development and Reform Commission (NDRC) issued the Document No. [2021] 1439</w:t>
      </w:r>
      <w:r w:rsidR="00917B60" w:rsidRPr="0044150C">
        <w:rPr>
          <w:rFonts w:ascii="Arial" w:hAnsi="Arial" w:cs="Arial"/>
          <w:sz w:val="24"/>
          <w:szCs w:val="24"/>
          <w:lang w:val="en-GB"/>
        </w:rPr>
        <w:t xml:space="preserve"> </w:t>
      </w:r>
      <w:r w:rsidR="0043580A" w:rsidRPr="0044150C">
        <w:rPr>
          <w:rFonts w:ascii="Arial" w:hAnsi="Arial" w:cs="Arial"/>
          <w:sz w:val="24"/>
          <w:szCs w:val="24"/>
          <w:lang w:val="en-GB"/>
        </w:rPr>
        <w:t>(</w:t>
      </w:r>
      <w:r w:rsidR="00917B60" w:rsidRPr="0044150C">
        <w:rPr>
          <w:rFonts w:ascii="Arial" w:hAnsi="Arial" w:cs="Arial"/>
          <w:sz w:val="24"/>
          <w:szCs w:val="24"/>
          <w:lang w:val="en-GB"/>
        </w:rPr>
        <w:t>Appendix C3.1.1), which explicitly required all provinces to abolish the catalogue sales price of electricity for industrial and commercial use, enabling all industrial and commercial electricity users to enter the electricity trading market and purchase electricity at market prices. Accordingly, all provincial governments issued notices abolishing the catalogue sales price of electricity for industrial and commercial use.</w:t>
      </w:r>
    </w:p>
    <w:p w14:paraId="522B5BAE" w14:textId="77777777" w:rsidR="00133D6C" w:rsidRPr="0044150C" w:rsidRDefault="00133D6C" w:rsidP="00133D6C">
      <w:pPr>
        <w:pStyle w:val="a9"/>
        <w:widowControl w:val="0"/>
        <w:autoSpaceDE w:val="0"/>
        <w:autoSpaceDN w:val="0"/>
        <w:spacing w:before="241"/>
        <w:ind w:left="644" w:right="95"/>
        <w:rPr>
          <w:rFonts w:ascii="Arial" w:hAnsi="Arial" w:cs="Arial"/>
          <w:sz w:val="24"/>
          <w:szCs w:val="24"/>
          <w:lang w:val="en-GB"/>
        </w:rPr>
      </w:pPr>
    </w:p>
    <w:p w14:paraId="646911C7" w14:textId="4F1F2659" w:rsidR="00133D6C" w:rsidRPr="0044150C" w:rsidRDefault="00133D6C" w:rsidP="00A77481">
      <w:pPr>
        <w:pStyle w:val="a9"/>
        <w:widowControl w:val="0"/>
        <w:numPr>
          <w:ilvl w:val="0"/>
          <w:numId w:val="1"/>
        </w:numPr>
        <w:autoSpaceDE w:val="0"/>
        <w:autoSpaceDN w:val="0"/>
        <w:spacing w:before="241"/>
        <w:ind w:right="95" w:hanging="644"/>
        <w:rPr>
          <w:rFonts w:ascii="Arial" w:hAnsi="Arial" w:cs="Arial"/>
          <w:sz w:val="24"/>
          <w:szCs w:val="24"/>
          <w:lang w:val="en-GB"/>
        </w:rPr>
      </w:pPr>
      <w:r w:rsidRPr="0044150C">
        <w:rPr>
          <w:rFonts w:ascii="Arial" w:hAnsi="Arial" w:cs="Arial"/>
          <w:sz w:val="24"/>
          <w:szCs w:val="24"/>
          <w:lang w:val="en-GB"/>
        </w:rPr>
        <w:lastRenderedPageBreak/>
        <w:t xml:space="preserve">The GOC submits that notes that no specificity exists with respect to the provision of electricity. </w:t>
      </w:r>
      <w:r w:rsidR="00696285" w:rsidRPr="0044150C">
        <w:rPr>
          <w:rFonts w:ascii="Arial" w:hAnsi="Arial" w:cs="Arial"/>
          <w:sz w:val="24"/>
          <w:szCs w:val="24"/>
          <w:lang w:val="en-GB"/>
        </w:rPr>
        <w:t xml:space="preserve">Indeed, the Applicant does not even attempt to explain how – let alone provide </w:t>
      </w:r>
      <w:r w:rsidR="00696285" w:rsidRPr="0044150C">
        <w:rPr>
          <w:rFonts w:ascii="Arial" w:hAnsi="Arial" w:cs="Arial"/>
          <w:i/>
          <w:sz w:val="24"/>
          <w:szCs w:val="24"/>
          <w:lang w:val="en-GB"/>
        </w:rPr>
        <w:t xml:space="preserve">prima facie </w:t>
      </w:r>
      <w:r w:rsidR="00696285" w:rsidRPr="0044150C">
        <w:rPr>
          <w:rFonts w:ascii="Arial" w:hAnsi="Arial" w:cs="Arial"/>
          <w:sz w:val="24"/>
          <w:szCs w:val="24"/>
          <w:lang w:val="en-GB"/>
        </w:rPr>
        <w:t xml:space="preserve">evidence that – the alleged provision of power at </w:t>
      </w:r>
      <w:r w:rsidR="00696285" w:rsidRPr="0044150C">
        <w:rPr>
          <w:rFonts w:ascii="Arial" w:hAnsi="Arial" w:cs="Arial"/>
          <w:spacing w:val="-11"/>
          <w:sz w:val="24"/>
          <w:szCs w:val="24"/>
          <w:lang w:val="en-GB"/>
        </w:rPr>
        <w:t xml:space="preserve">LTAR </w:t>
      </w:r>
      <w:r w:rsidR="00696285" w:rsidRPr="0044150C">
        <w:rPr>
          <w:rFonts w:ascii="Arial" w:hAnsi="Arial" w:cs="Arial"/>
          <w:sz w:val="24"/>
          <w:szCs w:val="24"/>
          <w:lang w:val="en-GB"/>
        </w:rPr>
        <w:t xml:space="preserve">would be specific to the Chinese boom lift producers. Instead, </w:t>
      </w:r>
      <w:r w:rsidRPr="0044150C">
        <w:rPr>
          <w:rFonts w:ascii="Arial" w:hAnsi="Arial" w:cs="Arial"/>
          <w:sz w:val="24"/>
          <w:szCs w:val="24"/>
          <w:lang w:val="en-GB"/>
        </w:rPr>
        <w:t>There are a vast number of user industries for electricity. The industries that purchase/use electricity are not limited to the boom lift industry, and the boom lift industry in China is not a disproportionate or predominant consumer of electricity. The GOC does not impose any limitation on the consumption of electricity by law or policy. Indeed, all companies located in the same region are entitled to the same electricity rate, irrespective of the business sectors. Therefore, the investigation into the alleged provision of electricity at LTAR is inconsistent with Articles 11.2 and 11.3 of the SCM Agreement in this case.</w:t>
      </w:r>
    </w:p>
    <w:p w14:paraId="38AFA82F" w14:textId="77777777" w:rsidR="00133D6C" w:rsidRPr="0044150C" w:rsidRDefault="00133D6C" w:rsidP="00B45993">
      <w:pPr>
        <w:pStyle w:val="a9"/>
        <w:widowControl w:val="0"/>
        <w:tabs>
          <w:tab w:val="left" w:pos="917"/>
        </w:tabs>
        <w:autoSpaceDE w:val="0"/>
        <w:autoSpaceDN w:val="0"/>
        <w:ind w:left="644" w:right="95"/>
        <w:contextualSpacing w:val="0"/>
        <w:rPr>
          <w:rFonts w:ascii="Arial" w:hAnsi="Arial" w:cs="Arial"/>
          <w:i/>
          <w:sz w:val="24"/>
          <w:szCs w:val="24"/>
          <w:lang w:val="en-GB"/>
        </w:rPr>
      </w:pPr>
    </w:p>
    <w:p w14:paraId="27036A3D" w14:textId="60F37BA0" w:rsidR="00672C19" w:rsidRPr="0044150C" w:rsidRDefault="004015FF" w:rsidP="004015FF">
      <w:pPr>
        <w:pStyle w:val="3"/>
        <w:spacing w:before="0"/>
        <w:rPr>
          <w:rFonts w:ascii="Arial" w:eastAsiaTheme="minorEastAsia" w:hAnsi="Arial" w:cs="Arial"/>
          <w:b/>
          <w:bCs/>
          <w:color w:val="auto"/>
          <w:lang w:val="en-GB"/>
        </w:rPr>
      </w:pPr>
      <w:bookmarkStart w:id="46" w:name="_Toc226652300"/>
      <w:r w:rsidRPr="0044150C">
        <w:rPr>
          <w:rFonts w:ascii="Arial" w:eastAsia="Times New Roman" w:hAnsi="Arial" w:cs="Arial"/>
          <w:b/>
          <w:bCs/>
          <w:color w:val="auto"/>
          <w:lang w:val="en-GB" w:eastAsia="en-US"/>
        </w:rPr>
        <w:t xml:space="preserve">Alleged provision of </w:t>
      </w:r>
      <w:r w:rsidR="007D71BE" w:rsidRPr="0044150C">
        <w:rPr>
          <w:rFonts w:ascii="Arial" w:eastAsiaTheme="minorEastAsia" w:hAnsi="Arial" w:cs="Arial"/>
          <w:b/>
          <w:bCs/>
          <w:color w:val="auto"/>
          <w:lang w:val="en-GB"/>
        </w:rPr>
        <w:t xml:space="preserve">upstream inputs </w:t>
      </w:r>
      <w:r w:rsidRPr="0044150C">
        <w:rPr>
          <w:rFonts w:ascii="Arial" w:eastAsia="Times New Roman" w:hAnsi="Arial" w:cs="Arial"/>
          <w:b/>
          <w:bCs/>
          <w:color w:val="auto"/>
          <w:lang w:val="en-GB" w:eastAsia="en-US"/>
        </w:rPr>
        <w:t>at LTAR</w:t>
      </w:r>
      <w:bookmarkEnd w:id="46"/>
    </w:p>
    <w:p w14:paraId="5A17A60A" w14:textId="77777777" w:rsidR="00B35E4F" w:rsidRPr="0044150C" w:rsidRDefault="00B35E4F" w:rsidP="00B35E4F">
      <w:pPr>
        <w:pStyle w:val="a9"/>
        <w:widowControl w:val="0"/>
        <w:autoSpaceDE w:val="0"/>
        <w:autoSpaceDN w:val="0"/>
        <w:ind w:left="644" w:right="95"/>
        <w:rPr>
          <w:rFonts w:ascii="Arial" w:hAnsi="Arial" w:cs="Arial"/>
          <w:sz w:val="24"/>
          <w:szCs w:val="24"/>
          <w:lang w:val="en-GB"/>
        </w:rPr>
      </w:pPr>
    </w:p>
    <w:p w14:paraId="0DE6D9AB" w14:textId="77DA9099" w:rsidR="002A1172" w:rsidRPr="0044150C" w:rsidRDefault="004015FF" w:rsidP="00A77481">
      <w:pPr>
        <w:pStyle w:val="a9"/>
        <w:widowControl w:val="0"/>
        <w:numPr>
          <w:ilvl w:val="0"/>
          <w:numId w:val="1"/>
        </w:numPr>
        <w:autoSpaceDE w:val="0"/>
        <w:autoSpaceDN w:val="0"/>
        <w:ind w:right="95" w:hanging="644"/>
        <w:rPr>
          <w:rFonts w:ascii="Arial" w:hAnsi="Arial" w:cs="Arial"/>
          <w:sz w:val="24"/>
          <w:szCs w:val="24"/>
          <w:lang w:val="en-GB"/>
        </w:rPr>
      </w:pPr>
      <w:r w:rsidRPr="0044150C">
        <w:rPr>
          <w:rFonts w:ascii="Arial" w:hAnsi="Arial" w:cs="Arial"/>
          <w:sz w:val="24"/>
          <w:szCs w:val="24"/>
          <w:lang w:val="en-GB"/>
        </w:rPr>
        <w:t>The Applicant alleges that</w:t>
      </w:r>
      <w:r w:rsidR="007D71BE" w:rsidRPr="0044150C">
        <w:rPr>
          <w:rFonts w:ascii="Arial" w:hAnsi="Arial" w:cs="Arial"/>
          <w:sz w:val="24"/>
          <w:szCs w:val="24"/>
          <w:lang w:val="en-GB"/>
        </w:rPr>
        <w:t xml:space="preserve"> upstream inputs for MAE are supplied at less than adequate remuneration, through the form of targeted state support to steel, tyres, engines, batteries and hydraulic components, which are all essential inputs for MAE. It further alleges that sector-specific strategies such as the 13th Five-Year Plan for the Hydraulic Industry and the Light Industry Development Plan (2016–2020), the 14th Five-Year Development Plan for the Construction Machinery Industry which calls for “breakthroughs in key components and technologies such as mid-to-high-end hydraulic components”, and Made in China 2025 programme classifies hydraulic parts as “core basic parts” as evidence that GOC provided supports to the MAE upstream inputs.</w:t>
      </w:r>
    </w:p>
    <w:p w14:paraId="28F05A35" w14:textId="77777777" w:rsidR="002A1172" w:rsidRPr="0044150C" w:rsidRDefault="002A1172" w:rsidP="002A1172">
      <w:pPr>
        <w:pStyle w:val="a9"/>
        <w:widowControl w:val="0"/>
        <w:autoSpaceDE w:val="0"/>
        <w:autoSpaceDN w:val="0"/>
        <w:ind w:left="644" w:right="95"/>
        <w:rPr>
          <w:rFonts w:ascii="Arial" w:hAnsi="Arial" w:cs="Arial"/>
          <w:sz w:val="24"/>
          <w:szCs w:val="24"/>
          <w:lang w:val="en-GB"/>
        </w:rPr>
      </w:pPr>
    </w:p>
    <w:p w14:paraId="365DE799" w14:textId="0CD580DE" w:rsidR="004015FF" w:rsidRPr="0044150C" w:rsidRDefault="004015FF" w:rsidP="00A77481">
      <w:pPr>
        <w:pStyle w:val="a9"/>
        <w:widowControl w:val="0"/>
        <w:numPr>
          <w:ilvl w:val="0"/>
          <w:numId w:val="1"/>
        </w:numPr>
        <w:autoSpaceDE w:val="0"/>
        <w:autoSpaceDN w:val="0"/>
        <w:ind w:right="95" w:hanging="644"/>
        <w:contextualSpacing w:val="0"/>
        <w:rPr>
          <w:rFonts w:ascii="Arial" w:hAnsi="Arial" w:cs="Arial"/>
          <w:sz w:val="24"/>
          <w:szCs w:val="24"/>
          <w:lang w:val="en-GB"/>
        </w:rPr>
      </w:pPr>
      <w:r w:rsidRPr="0044150C">
        <w:rPr>
          <w:rFonts w:ascii="Arial" w:hAnsi="Arial" w:cs="Arial"/>
          <w:sz w:val="24"/>
          <w:szCs w:val="24"/>
          <w:lang w:val="en-GB"/>
        </w:rPr>
        <w:t>The GOC firmly disagrees with the claims in the Application based on mere</w:t>
      </w:r>
      <w:r w:rsidRPr="0044150C">
        <w:rPr>
          <w:rFonts w:ascii="Arial" w:hAnsi="Arial" w:cs="Arial"/>
          <w:spacing w:val="-19"/>
          <w:sz w:val="24"/>
          <w:szCs w:val="24"/>
          <w:lang w:val="en-GB"/>
        </w:rPr>
        <w:t xml:space="preserve"> </w:t>
      </w:r>
      <w:r w:rsidRPr="0044150C">
        <w:rPr>
          <w:rFonts w:ascii="Arial" w:hAnsi="Arial" w:cs="Arial"/>
          <w:sz w:val="24"/>
          <w:szCs w:val="24"/>
          <w:lang w:val="en-GB"/>
        </w:rPr>
        <w:t>speculation.</w:t>
      </w:r>
    </w:p>
    <w:p w14:paraId="4B8AA934" w14:textId="77777777" w:rsidR="004015FF" w:rsidRPr="0044150C" w:rsidRDefault="004015FF" w:rsidP="002A1172">
      <w:pPr>
        <w:pStyle w:val="a7"/>
        <w:tabs>
          <w:tab w:val="clear" w:pos="720"/>
        </w:tabs>
        <w:spacing w:before="10"/>
        <w:ind w:left="567" w:right="95" w:hanging="692"/>
        <w:rPr>
          <w:rFonts w:ascii="Arial" w:hAnsi="Arial" w:cs="Arial"/>
          <w:sz w:val="24"/>
          <w:szCs w:val="24"/>
        </w:rPr>
      </w:pPr>
    </w:p>
    <w:p w14:paraId="218A1AD1" w14:textId="1D23B883" w:rsidR="004015FF" w:rsidRPr="0044150C" w:rsidRDefault="004015FF" w:rsidP="00A77481">
      <w:pPr>
        <w:pStyle w:val="a9"/>
        <w:widowControl w:val="0"/>
        <w:numPr>
          <w:ilvl w:val="0"/>
          <w:numId w:val="1"/>
        </w:numPr>
        <w:autoSpaceDE w:val="0"/>
        <w:autoSpaceDN w:val="0"/>
        <w:ind w:right="95" w:hanging="644"/>
        <w:contextualSpacing w:val="0"/>
        <w:rPr>
          <w:rFonts w:ascii="Arial" w:hAnsi="Arial" w:cs="Arial"/>
          <w:sz w:val="24"/>
          <w:szCs w:val="24"/>
          <w:lang w:val="en-GB"/>
        </w:rPr>
      </w:pPr>
      <w:r w:rsidRPr="0044150C">
        <w:rPr>
          <w:rFonts w:ascii="Arial" w:hAnsi="Arial" w:cs="Arial"/>
          <w:sz w:val="24"/>
          <w:szCs w:val="24"/>
          <w:lang w:val="en-GB"/>
        </w:rPr>
        <w:t xml:space="preserve">In this regard, first, as already mentioned in section 3.2 above, </w:t>
      </w:r>
      <w:r w:rsidR="009C3948" w:rsidRPr="0044150C">
        <w:rPr>
          <w:rFonts w:ascii="Arial" w:hAnsi="Arial" w:cs="Arial"/>
          <w:sz w:val="24"/>
          <w:szCs w:val="24"/>
          <w:lang w:val="en-GB"/>
        </w:rPr>
        <w:t>boom lift</w:t>
      </w:r>
      <w:r w:rsidR="00AA048D" w:rsidRPr="0044150C">
        <w:rPr>
          <w:rFonts w:ascii="Arial" w:hAnsi="Arial" w:cs="Arial"/>
          <w:sz w:val="24"/>
          <w:szCs w:val="24"/>
          <w:lang w:val="en-GB"/>
        </w:rPr>
        <w:t xml:space="preserve"> is not in encouraged industry</w:t>
      </w:r>
      <w:r w:rsidRPr="0044150C">
        <w:rPr>
          <w:rFonts w:ascii="Arial" w:hAnsi="Arial" w:cs="Arial"/>
          <w:sz w:val="24"/>
          <w:szCs w:val="24"/>
          <w:lang w:val="en-GB"/>
        </w:rPr>
        <w:t xml:space="preserve">. Moreover, the Applicant has not established that </w:t>
      </w:r>
      <w:r w:rsidR="007D71BE" w:rsidRPr="0044150C">
        <w:rPr>
          <w:rFonts w:ascii="Arial" w:hAnsi="Arial" w:cs="Arial"/>
          <w:sz w:val="24"/>
          <w:szCs w:val="24"/>
          <w:lang w:val="en-GB"/>
        </w:rPr>
        <w:t xml:space="preserve">steel, </w:t>
      </w:r>
      <w:r w:rsidR="007D71BE" w:rsidRPr="0044150C">
        <w:rPr>
          <w:rFonts w:ascii="Arial" w:hAnsi="Arial" w:cs="Arial"/>
          <w:sz w:val="24"/>
          <w:szCs w:val="24"/>
          <w:lang w:val="en-GB"/>
        </w:rPr>
        <w:lastRenderedPageBreak/>
        <w:t>tyres, engines, batteries and hydraulic components</w:t>
      </w:r>
      <w:r w:rsidRPr="0044150C">
        <w:rPr>
          <w:rFonts w:ascii="Arial" w:hAnsi="Arial" w:cs="Arial"/>
          <w:sz w:val="24"/>
          <w:szCs w:val="24"/>
          <w:lang w:val="en-GB"/>
        </w:rPr>
        <w:t xml:space="preserve"> were provided at </w:t>
      </w:r>
      <w:r w:rsidRPr="0044150C">
        <w:rPr>
          <w:rFonts w:ascii="Arial" w:hAnsi="Arial" w:cs="Arial"/>
          <w:spacing w:val="-9"/>
          <w:sz w:val="24"/>
          <w:szCs w:val="24"/>
          <w:lang w:val="en-GB"/>
        </w:rPr>
        <w:t>LTAR.</w:t>
      </w:r>
      <w:r w:rsidRPr="0044150C">
        <w:rPr>
          <w:rFonts w:ascii="Arial" w:hAnsi="Arial" w:cs="Arial"/>
          <w:spacing w:val="-17"/>
          <w:sz w:val="24"/>
          <w:szCs w:val="24"/>
          <w:lang w:val="en-GB"/>
        </w:rPr>
        <w:t xml:space="preserve"> </w:t>
      </w:r>
      <w:r w:rsidRPr="0044150C">
        <w:rPr>
          <w:rFonts w:ascii="Arial" w:hAnsi="Arial" w:cs="Arial"/>
          <w:sz w:val="24"/>
          <w:szCs w:val="24"/>
          <w:lang w:val="en-GB"/>
        </w:rPr>
        <w:t>The</w:t>
      </w:r>
      <w:r w:rsidRPr="0044150C">
        <w:rPr>
          <w:rFonts w:ascii="Arial" w:hAnsi="Arial" w:cs="Arial"/>
          <w:spacing w:val="-12"/>
          <w:sz w:val="24"/>
          <w:szCs w:val="24"/>
          <w:lang w:val="en-GB"/>
        </w:rPr>
        <w:t xml:space="preserve"> </w:t>
      </w:r>
      <w:r w:rsidRPr="0044150C">
        <w:rPr>
          <w:rFonts w:ascii="Arial" w:hAnsi="Arial" w:cs="Arial"/>
          <w:sz w:val="24"/>
          <w:szCs w:val="24"/>
          <w:lang w:val="en-GB"/>
        </w:rPr>
        <w:t>nature</w:t>
      </w:r>
      <w:r w:rsidRPr="0044150C">
        <w:rPr>
          <w:rFonts w:ascii="Arial" w:hAnsi="Arial" w:cs="Arial"/>
          <w:spacing w:val="-12"/>
          <w:sz w:val="24"/>
          <w:szCs w:val="24"/>
          <w:lang w:val="en-GB"/>
        </w:rPr>
        <w:t xml:space="preserve"> </w:t>
      </w:r>
      <w:r w:rsidRPr="0044150C">
        <w:rPr>
          <w:rFonts w:ascii="Arial" w:hAnsi="Arial" w:cs="Arial"/>
          <w:sz w:val="24"/>
          <w:szCs w:val="24"/>
          <w:lang w:val="en-GB"/>
        </w:rPr>
        <w:t>and</w:t>
      </w:r>
      <w:r w:rsidRPr="0044150C">
        <w:rPr>
          <w:rFonts w:ascii="Arial" w:hAnsi="Arial" w:cs="Arial"/>
          <w:spacing w:val="-9"/>
          <w:sz w:val="24"/>
          <w:szCs w:val="24"/>
          <w:lang w:val="en-GB"/>
        </w:rPr>
        <w:t xml:space="preserve"> </w:t>
      </w:r>
      <w:r w:rsidRPr="0044150C">
        <w:rPr>
          <w:rFonts w:ascii="Arial" w:hAnsi="Arial" w:cs="Arial"/>
          <w:sz w:val="24"/>
          <w:szCs w:val="24"/>
          <w:lang w:val="en-GB"/>
        </w:rPr>
        <w:t>existence</w:t>
      </w:r>
      <w:r w:rsidRPr="0044150C">
        <w:rPr>
          <w:rFonts w:ascii="Arial" w:hAnsi="Arial" w:cs="Arial"/>
          <w:spacing w:val="-13"/>
          <w:sz w:val="24"/>
          <w:szCs w:val="24"/>
          <w:lang w:val="en-GB"/>
        </w:rPr>
        <w:t xml:space="preserve"> </w:t>
      </w:r>
      <w:r w:rsidRPr="0044150C">
        <w:rPr>
          <w:rFonts w:ascii="Arial" w:hAnsi="Arial" w:cs="Arial"/>
          <w:sz w:val="24"/>
          <w:szCs w:val="24"/>
          <w:lang w:val="en-GB"/>
        </w:rPr>
        <w:t>of</w:t>
      </w:r>
      <w:r w:rsidRPr="0044150C">
        <w:rPr>
          <w:rFonts w:ascii="Arial" w:hAnsi="Arial" w:cs="Arial"/>
          <w:spacing w:val="-12"/>
          <w:sz w:val="24"/>
          <w:szCs w:val="24"/>
          <w:lang w:val="en-GB"/>
        </w:rPr>
        <w:t xml:space="preserve"> </w:t>
      </w:r>
      <w:r w:rsidRPr="0044150C">
        <w:rPr>
          <w:rFonts w:ascii="Arial" w:hAnsi="Arial" w:cs="Arial"/>
          <w:sz w:val="24"/>
          <w:szCs w:val="24"/>
          <w:lang w:val="en-GB"/>
        </w:rPr>
        <w:t>the</w:t>
      </w:r>
      <w:r w:rsidRPr="0044150C">
        <w:rPr>
          <w:rFonts w:ascii="Arial" w:hAnsi="Arial" w:cs="Arial"/>
          <w:spacing w:val="-9"/>
          <w:sz w:val="24"/>
          <w:szCs w:val="24"/>
          <w:lang w:val="en-GB"/>
        </w:rPr>
        <w:t xml:space="preserve"> </w:t>
      </w:r>
      <w:r w:rsidRPr="0044150C">
        <w:rPr>
          <w:rFonts w:ascii="Arial" w:hAnsi="Arial" w:cs="Arial"/>
          <w:sz w:val="24"/>
          <w:szCs w:val="24"/>
          <w:lang w:val="en-GB"/>
        </w:rPr>
        <w:t>alleged</w:t>
      </w:r>
      <w:r w:rsidRPr="0044150C">
        <w:rPr>
          <w:rFonts w:ascii="Arial" w:hAnsi="Arial" w:cs="Arial"/>
          <w:spacing w:val="-10"/>
          <w:sz w:val="24"/>
          <w:szCs w:val="24"/>
          <w:lang w:val="en-GB"/>
        </w:rPr>
        <w:t xml:space="preserve"> </w:t>
      </w:r>
      <w:r w:rsidRPr="0044150C">
        <w:rPr>
          <w:rFonts w:ascii="Arial" w:hAnsi="Arial" w:cs="Arial"/>
          <w:sz w:val="24"/>
          <w:szCs w:val="24"/>
          <w:lang w:val="en-GB"/>
        </w:rPr>
        <w:t>subsidy</w:t>
      </w:r>
      <w:r w:rsidRPr="0044150C">
        <w:rPr>
          <w:rFonts w:ascii="Arial" w:hAnsi="Arial" w:cs="Arial"/>
          <w:spacing w:val="-11"/>
          <w:sz w:val="24"/>
          <w:szCs w:val="24"/>
          <w:lang w:val="en-GB"/>
        </w:rPr>
        <w:t xml:space="preserve"> </w:t>
      </w:r>
      <w:r w:rsidRPr="0044150C">
        <w:rPr>
          <w:rFonts w:ascii="Arial" w:hAnsi="Arial" w:cs="Arial"/>
          <w:sz w:val="24"/>
          <w:szCs w:val="24"/>
          <w:lang w:val="en-GB"/>
        </w:rPr>
        <w:t>had</w:t>
      </w:r>
      <w:r w:rsidRPr="0044150C">
        <w:rPr>
          <w:rFonts w:ascii="Arial" w:hAnsi="Arial" w:cs="Arial"/>
          <w:spacing w:val="-11"/>
          <w:sz w:val="24"/>
          <w:szCs w:val="24"/>
          <w:lang w:val="en-GB"/>
        </w:rPr>
        <w:t xml:space="preserve"> </w:t>
      </w:r>
      <w:r w:rsidRPr="0044150C">
        <w:rPr>
          <w:rFonts w:ascii="Arial" w:hAnsi="Arial" w:cs="Arial"/>
          <w:sz w:val="24"/>
          <w:szCs w:val="24"/>
          <w:lang w:val="en-GB"/>
        </w:rPr>
        <w:t>to</w:t>
      </w:r>
      <w:r w:rsidRPr="0044150C">
        <w:rPr>
          <w:rFonts w:ascii="Arial" w:hAnsi="Arial" w:cs="Arial"/>
          <w:spacing w:val="-11"/>
          <w:sz w:val="24"/>
          <w:szCs w:val="24"/>
          <w:lang w:val="en-GB"/>
        </w:rPr>
        <w:t xml:space="preserve"> </w:t>
      </w:r>
      <w:r w:rsidRPr="0044150C">
        <w:rPr>
          <w:rFonts w:ascii="Arial" w:hAnsi="Arial" w:cs="Arial"/>
          <w:sz w:val="24"/>
          <w:szCs w:val="24"/>
          <w:lang w:val="en-GB"/>
        </w:rPr>
        <w:t>be</w:t>
      </w:r>
      <w:r w:rsidRPr="0044150C">
        <w:rPr>
          <w:rFonts w:ascii="Arial" w:hAnsi="Arial" w:cs="Arial"/>
          <w:spacing w:val="-12"/>
          <w:sz w:val="24"/>
          <w:szCs w:val="24"/>
          <w:lang w:val="en-GB"/>
        </w:rPr>
        <w:t xml:space="preserve"> </w:t>
      </w:r>
      <w:r w:rsidRPr="0044150C">
        <w:rPr>
          <w:rFonts w:ascii="Arial" w:hAnsi="Arial" w:cs="Arial"/>
          <w:sz w:val="24"/>
          <w:szCs w:val="24"/>
          <w:lang w:val="en-GB"/>
        </w:rPr>
        <w:t>established</w:t>
      </w:r>
      <w:r w:rsidRPr="0044150C">
        <w:rPr>
          <w:rFonts w:ascii="Arial" w:hAnsi="Arial" w:cs="Arial"/>
          <w:spacing w:val="-10"/>
          <w:sz w:val="24"/>
          <w:szCs w:val="24"/>
          <w:lang w:val="en-GB"/>
        </w:rPr>
        <w:t xml:space="preserve"> </w:t>
      </w:r>
      <w:r w:rsidRPr="0044150C">
        <w:rPr>
          <w:rFonts w:ascii="Arial" w:hAnsi="Arial" w:cs="Arial"/>
          <w:sz w:val="24"/>
          <w:szCs w:val="24"/>
          <w:lang w:val="en-GB"/>
        </w:rPr>
        <w:t>with</w:t>
      </w:r>
      <w:r w:rsidRPr="0044150C">
        <w:rPr>
          <w:rFonts w:ascii="Arial" w:hAnsi="Arial" w:cs="Arial"/>
          <w:spacing w:val="-11"/>
          <w:sz w:val="24"/>
          <w:szCs w:val="24"/>
          <w:lang w:val="en-GB"/>
        </w:rPr>
        <w:t xml:space="preserve"> </w:t>
      </w:r>
      <w:r w:rsidRPr="0044150C">
        <w:rPr>
          <w:rFonts w:ascii="Arial" w:hAnsi="Arial" w:cs="Arial"/>
          <w:sz w:val="24"/>
          <w:szCs w:val="24"/>
          <w:lang w:val="en-GB"/>
        </w:rPr>
        <w:t>regard</w:t>
      </w:r>
      <w:r w:rsidRPr="0044150C">
        <w:rPr>
          <w:rFonts w:ascii="Arial" w:hAnsi="Arial" w:cs="Arial"/>
          <w:spacing w:val="-12"/>
          <w:sz w:val="24"/>
          <w:szCs w:val="24"/>
          <w:lang w:val="en-GB"/>
        </w:rPr>
        <w:t xml:space="preserve"> </w:t>
      </w:r>
      <w:r w:rsidRPr="0044150C">
        <w:rPr>
          <w:rFonts w:ascii="Arial" w:hAnsi="Arial" w:cs="Arial"/>
          <w:sz w:val="24"/>
          <w:szCs w:val="24"/>
          <w:lang w:val="en-GB"/>
        </w:rPr>
        <w:t>to</w:t>
      </w:r>
      <w:r w:rsidRPr="0044150C">
        <w:rPr>
          <w:rFonts w:ascii="Arial" w:hAnsi="Arial" w:cs="Arial"/>
          <w:spacing w:val="-12"/>
          <w:sz w:val="24"/>
          <w:szCs w:val="24"/>
          <w:lang w:val="en-GB"/>
        </w:rPr>
        <w:t xml:space="preserve"> </w:t>
      </w:r>
      <w:r w:rsidR="00AA048D" w:rsidRPr="0044150C">
        <w:rPr>
          <w:rFonts w:ascii="Arial" w:hAnsi="Arial" w:cs="Arial"/>
          <w:sz w:val="24"/>
          <w:szCs w:val="24"/>
          <w:lang w:val="en-GB"/>
        </w:rPr>
        <w:t>the specific input</w:t>
      </w:r>
      <w:r w:rsidRPr="0044150C">
        <w:rPr>
          <w:rFonts w:ascii="Arial" w:hAnsi="Arial" w:cs="Arial"/>
          <w:sz w:val="24"/>
          <w:szCs w:val="24"/>
          <w:lang w:val="en-GB"/>
        </w:rPr>
        <w:t>.</w:t>
      </w:r>
    </w:p>
    <w:p w14:paraId="4A337F1E" w14:textId="77777777" w:rsidR="004015FF" w:rsidRPr="0044150C" w:rsidRDefault="004015FF" w:rsidP="002A1172">
      <w:pPr>
        <w:pStyle w:val="a7"/>
        <w:tabs>
          <w:tab w:val="clear" w:pos="720"/>
        </w:tabs>
        <w:spacing w:before="10"/>
        <w:ind w:left="567" w:right="95" w:hanging="692"/>
        <w:rPr>
          <w:rFonts w:ascii="Arial" w:hAnsi="Arial" w:cs="Arial"/>
          <w:sz w:val="24"/>
          <w:szCs w:val="24"/>
        </w:rPr>
      </w:pPr>
    </w:p>
    <w:p w14:paraId="29AB2D88" w14:textId="3F18478D" w:rsidR="004015FF" w:rsidRPr="0044150C" w:rsidRDefault="004015FF" w:rsidP="00A77481">
      <w:pPr>
        <w:pStyle w:val="a9"/>
        <w:widowControl w:val="0"/>
        <w:numPr>
          <w:ilvl w:val="0"/>
          <w:numId w:val="1"/>
        </w:numPr>
        <w:autoSpaceDE w:val="0"/>
        <w:autoSpaceDN w:val="0"/>
        <w:ind w:right="95" w:hanging="644"/>
        <w:contextualSpacing w:val="0"/>
        <w:rPr>
          <w:rFonts w:ascii="Arial" w:hAnsi="Arial" w:cs="Arial"/>
          <w:sz w:val="24"/>
          <w:szCs w:val="24"/>
          <w:lang w:val="en-GB"/>
        </w:rPr>
      </w:pPr>
      <w:r w:rsidRPr="0044150C">
        <w:rPr>
          <w:rFonts w:ascii="Arial" w:hAnsi="Arial" w:cs="Arial"/>
          <w:sz w:val="24"/>
          <w:szCs w:val="24"/>
          <w:lang w:val="en-GB"/>
        </w:rPr>
        <w:t>Second, the Applicant has not provided any evidence of the existence of this subsidy in terms of the financial contribution by a</w:t>
      </w:r>
      <w:r w:rsidR="00B42106" w:rsidRPr="0044150C">
        <w:rPr>
          <w:rFonts w:ascii="Arial" w:hAnsi="Arial" w:cs="Arial"/>
          <w:sz w:val="24"/>
          <w:szCs w:val="24"/>
          <w:lang w:val="en-GB"/>
        </w:rPr>
        <w:t xml:space="preserve"> government or any</w:t>
      </w:r>
      <w:r w:rsidRPr="0044150C">
        <w:rPr>
          <w:rFonts w:ascii="Arial" w:hAnsi="Arial" w:cs="Arial"/>
          <w:sz w:val="24"/>
          <w:szCs w:val="24"/>
          <w:lang w:val="en-GB"/>
        </w:rPr>
        <w:t xml:space="preserve"> “public body”. </w:t>
      </w:r>
    </w:p>
    <w:p w14:paraId="68977A03" w14:textId="189B4309" w:rsidR="004015FF" w:rsidRPr="0044150C" w:rsidRDefault="004015FF" w:rsidP="00A77481">
      <w:pPr>
        <w:pStyle w:val="a9"/>
        <w:widowControl w:val="0"/>
        <w:numPr>
          <w:ilvl w:val="0"/>
          <w:numId w:val="1"/>
        </w:numPr>
        <w:autoSpaceDE w:val="0"/>
        <w:autoSpaceDN w:val="0"/>
        <w:spacing w:before="241"/>
        <w:ind w:right="95" w:hanging="644"/>
        <w:contextualSpacing w:val="0"/>
        <w:rPr>
          <w:rFonts w:ascii="Arial" w:hAnsi="Arial" w:cs="Arial"/>
          <w:sz w:val="24"/>
          <w:szCs w:val="24"/>
          <w:lang w:val="en-GB"/>
        </w:rPr>
      </w:pPr>
      <w:r w:rsidRPr="0044150C">
        <w:rPr>
          <w:rFonts w:ascii="Arial" w:hAnsi="Arial" w:cs="Arial"/>
          <w:sz w:val="24"/>
          <w:szCs w:val="24"/>
          <w:lang w:val="en-GB"/>
        </w:rPr>
        <w:t>While the Applicant states that the supposedly applicable Chinese policies make clear that the GOC provides</w:t>
      </w:r>
      <w:r w:rsidR="00B42106" w:rsidRPr="0044150C">
        <w:rPr>
          <w:rFonts w:ascii="Arial" w:hAnsi="Arial" w:cs="Arial"/>
          <w:sz w:val="24"/>
          <w:szCs w:val="24"/>
          <w:lang w:val="en-GB"/>
        </w:rPr>
        <w:t xml:space="preserve"> targeted support to these industries</w:t>
      </w:r>
      <w:r w:rsidRPr="0044150C">
        <w:rPr>
          <w:rFonts w:ascii="Arial" w:hAnsi="Arial" w:cs="Arial"/>
          <w:spacing w:val="-9"/>
          <w:sz w:val="24"/>
          <w:szCs w:val="24"/>
          <w:lang w:val="en-GB"/>
        </w:rPr>
        <w:t xml:space="preserve">, </w:t>
      </w:r>
      <w:r w:rsidRPr="0044150C">
        <w:rPr>
          <w:rFonts w:ascii="Arial" w:hAnsi="Arial" w:cs="Arial"/>
          <w:sz w:val="24"/>
          <w:szCs w:val="24"/>
          <w:lang w:val="en-GB"/>
        </w:rPr>
        <w:t xml:space="preserve">the Applicant does not even indicate how the GOC does that. </w:t>
      </w:r>
      <w:r w:rsidR="00B42106" w:rsidRPr="0044150C">
        <w:rPr>
          <w:rFonts w:ascii="Arial" w:hAnsi="Arial" w:cs="Arial"/>
          <w:sz w:val="24"/>
          <w:szCs w:val="24"/>
          <w:lang w:val="en-GB"/>
        </w:rPr>
        <w:t>T</w:t>
      </w:r>
      <w:r w:rsidRPr="0044150C">
        <w:rPr>
          <w:rFonts w:ascii="Arial" w:hAnsi="Arial" w:cs="Arial"/>
          <w:sz w:val="24"/>
          <w:szCs w:val="24"/>
          <w:lang w:val="en-GB"/>
        </w:rPr>
        <w:t>he</w:t>
      </w:r>
      <w:r w:rsidRPr="0044150C">
        <w:rPr>
          <w:rFonts w:ascii="Arial" w:hAnsi="Arial" w:cs="Arial"/>
          <w:spacing w:val="-19"/>
          <w:sz w:val="24"/>
          <w:szCs w:val="24"/>
          <w:lang w:val="en-GB"/>
        </w:rPr>
        <w:t xml:space="preserve"> </w:t>
      </w:r>
      <w:r w:rsidRPr="0044150C">
        <w:rPr>
          <w:rFonts w:ascii="Arial" w:hAnsi="Arial" w:cs="Arial"/>
          <w:sz w:val="24"/>
          <w:szCs w:val="24"/>
          <w:lang w:val="en-GB"/>
        </w:rPr>
        <w:t>Applicant</w:t>
      </w:r>
      <w:r w:rsidRPr="0044150C">
        <w:rPr>
          <w:rFonts w:ascii="Arial" w:hAnsi="Arial" w:cs="Arial"/>
          <w:spacing w:val="-7"/>
          <w:sz w:val="24"/>
          <w:szCs w:val="24"/>
          <w:lang w:val="en-GB"/>
        </w:rPr>
        <w:t xml:space="preserve"> </w:t>
      </w:r>
      <w:r w:rsidRPr="0044150C">
        <w:rPr>
          <w:rFonts w:ascii="Arial" w:hAnsi="Arial" w:cs="Arial"/>
          <w:sz w:val="24"/>
          <w:szCs w:val="24"/>
          <w:lang w:val="en-GB"/>
        </w:rPr>
        <w:t>has</w:t>
      </w:r>
      <w:r w:rsidRPr="0044150C">
        <w:rPr>
          <w:rFonts w:ascii="Arial" w:hAnsi="Arial" w:cs="Arial"/>
          <w:spacing w:val="-9"/>
          <w:sz w:val="24"/>
          <w:szCs w:val="24"/>
          <w:lang w:val="en-GB"/>
        </w:rPr>
        <w:t xml:space="preserve"> </w:t>
      </w:r>
      <w:r w:rsidRPr="0044150C">
        <w:rPr>
          <w:rFonts w:ascii="Arial" w:hAnsi="Arial" w:cs="Arial"/>
          <w:sz w:val="24"/>
          <w:szCs w:val="24"/>
          <w:lang w:val="en-GB"/>
        </w:rPr>
        <w:t>not</w:t>
      </w:r>
      <w:r w:rsidRPr="0044150C">
        <w:rPr>
          <w:rFonts w:ascii="Arial" w:hAnsi="Arial" w:cs="Arial"/>
          <w:spacing w:val="-5"/>
          <w:sz w:val="24"/>
          <w:szCs w:val="24"/>
          <w:lang w:val="en-GB"/>
        </w:rPr>
        <w:t xml:space="preserve"> </w:t>
      </w:r>
      <w:r w:rsidRPr="0044150C">
        <w:rPr>
          <w:rFonts w:ascii="Arial" w:hAnsi="Arial" w:cs="Arial"/>
          <w:sz w:val="24"/>
          <w:szCs w:val="24"/>
          <w:lang w:val="en-GB"/>
        </w:rPr>
        <w:t>established</w:t>
      </w:r>
      <w:r w:rsidRPr="0044150C">
        <w:rPr>
          <w:rFonts w:ascii="Arial" w:hAnsi="Arial" w:cs="Arial"/>
          <w:spacing w:val="-9"/>
          <w:sz w:val="24"/>
          <w:szCs w:val="24"/>
          <w:lang w:val="en-GB"/>
        </w:rPr>
        <w:t xml:space="preserve"> </w:t>
      </w:r>
      <w:r w:rsidRPr="0044150C">
        <w:rPr>
          <w:rFonts w:ascii="Arial" w:hAnsi="Arial" w:cs="Arial"/>
          <w:sz w:val="24"/>
          <w:szCs w:val="24"/>
          <w:lang w:val="en-GB"/>
        </w:rPr>
        <w:t>the</w:t>
      </w:r>
      <w:r w:rsidRPr="0044150C">
        <w:rPr>
          <w:rFonts w:ascii="Arial" w:hAnsi="Arial" w:cs="Arial"/>
          <w:spacing w:val="-9"/>
          <w:sz w:val="24"/>
          <w:szCs w:val="24"/>
          <w:lang w:val="en-GB"/>
        </w:rPr>
        <w:t xml:space="preserve"> </w:t>
      </w:r>
      <w:r w:rsidRPr="0044150C">
        <w:rPr>
          <w:rFonts w:ascii="Arial" w:hAnsi="Arial" w:cs="Arial"/>
          <w:sz w:val="24"/>
          <w:szCs w:val="24"/>
          <w:lang w:val="en-GB"/>
        </w:rPr>
        <w:t>existence</w:t>
      </w:r>
      <w:r w:rsidRPr="0044150C">
        <w:rPr>
          <w:rFonts w:ascii="Arial" w:hAnsi="Arial" w:cs="Arial"/>
          <w:spacing w:val="-10"/>
          <w:sz w:val="24"/>
          <w:szCs w:val="24"/>
          <w:lang w:val="en-GB"/>
        </w:rPr>
        <w:t xml:space="preserve"> </w:t>
      </w:r>
      <w:r w:rsidRPr="0044150C">
        <w:rPr>
          <w:rFonts w:ascii="Arial" w:hAnsi="Arial" w:cs="Arial"/>
          <w:sz w:val="24"/>
          <w:szCs w:val="24"/>
          <w:lang w:val="en-GB"/>
        </w:rPr>
        <w:t>of</w:t>
      </w:r>
      <w:r w:rsidRPr="0044150C">
        <w:rPr>
          <w:rFonts w:ascii="Arial" w:hAnsi="Arial" w:cs="Arial"/>
          <w:spacing w:val="-8"/>
          <w:sz w:val="24"/>
          <w:szCs w:val="24"/>
          <w:lang w:val="en-GB"/>
        </w:rPr>
        <w:t xml:space="preserve"> </w:t>
      </w:r>
      <w:r w:rsidRPr="0044150C">
        <w:rPr>
          <w:rFonts w:ascii="Arial" w:hAnsi="Arial" w:cs="Arial"/>
          <w:sz w:val="24"/>
          <w:szCs w:val="24"/>
          <w:lang w:val="en-GB"/>
        </w:rPr>
        <w:t>public</w:t>
      </w:r>
      <w:r w:rsidRPr="0044150C">
        <w:rPr>
          <w:rFonts w:ascii="Arial" w:hAnsi="Arial" w:cs="Arial"/>
          <w:spacing w:val="-10"/>
          <w:sz w:val="24"/>
          <w:szCs w:val="24"/>
          <w:lang w:val="en-GB"/>
        </w:rPr>
        <w:t xml:space="preserve"> </w:t>
      </w:r>
      <w:r w:rsidRPr="0044150C">
        <w:rPr>
          <w:rFonts w:ascii="Arial" w:hAnsi="Arial" w:cs="Arial"/>
          <w:sz w:val="24"/>
          <w:szCs w:val="24"/>
          <w:lang w:val="en-GB"/>
        </w:rPr>
        <w:t>bodies,</w:t>
      </w:r>
      <w:r w:rsidRPr="0044150C">
        <w:rPr>
          <w:rFonts w:ascii="Arial" w:hAnsi="Arial" w:cs="Arial"/>
          <w:spacing w:val="-8"/>
          <w:sz w:val="24"/>
          <w:szCs w:val="24"/>
          <w:lang w:val="en-GB"/>
        </w:rPr>
        <w:t xml:space="preserve"> </w:t>
      </w:r>
      <w:r w:rsidRPr="0044150C">
        <w:rPr>
          <w:rFonts w:ascii="Arial" w:hAnsi="Arial" w:cs="Arial"/>
          <w:sz w:val="24"/>
          <w:szCs w:val="24"/>
          <w:lang w:val="en-GB"/>
        </w:rPr>
        <w:t>and</w:t>
      </w:r>
      <w:r w:rsidRPr="0044150C">
        <w:rPr>
          <w:rFonts w:ascii="Arial" w:hAnsi="Arial" w:cs="Arial"/>
          <w:spacing w:val="-3"/>
          <w:sz w:val="24"/>
          <w:szCs w:val="24"/>
          <w:lang w:val="en-GB"/>
        </w:rPr>
        <w:t xml:space="preserve"> </w:t>
      </w:r>
      <w:r w:rsidRPr="0044150C">
        <w:rPr>
          <w:rFonts w:ascii="Arial" w:hAnsi="Arial" w:cs="Arial"/>
          <w:sz w:val="24"/>
          <w:szCs w:val="24"/>
          <w:lang w:val="en-GB"/>
        </w:rPr>
        <w:t>it</w:t>
      </w:r>
      <w:r w:rsidRPr="0044150C">
        <w:rPr>
          <w:rFonts w:ascii="Arial" w:hAnsi="Arial" w:cs="Arial"/>
          <w:spacing w:val="-8"/>
          <w:sz w:val="24"/>
          <w:szCs w:val="24"/>
          <w:lang w:val="en-GB"/>
        </w:rPr>
        <w:t xml:space="preserve"> </w:t>
      </w:r>
      <w:r w:rsidRPr="0044150C">
        <w:rPr>
          <w:rFonts w:ascii="Arial" w:hAnsi="Arial" w:cs="Arial"/>
          <w:sz w:val="24"/>
          <w:szCs w:val="24"/>
          <w:lang w:val="en-GB"/>
        </w:rPr>
        <w:t>has</w:t>
      </w:r>
      <w:r w:rsidRPr="0044150C">
        <w:rPr>
          <w:rFonts w:ascii="Arial" w:hAnsi="Arial" w:cs="Arial"/>
          <w:spacing w:val="-7"/>
          <w:sz w:val="24"/>
          <w:szCs w:val="24"/>
          <w:lang w:val="en-GB"/>
        </w:rPr>
        <w:t xml:space="preserve"> </w:t>
      </w:r>
      <w:r w:rsidRPr="0044150C">
        <w:rPr>
          <w:rFonts w:ascii="Arial" w:hAnsi="Arial" w:cs="Arial"/>
          <w:sz w:val="24"/>
          <w:szCs w:val="24"/>
          <w:lang w:val="en-GB"/>
        </w:rPr>
        <w:t xml:space="preserve">also not provided any evidence of entrustment and direction. The GOC underlines that the Panel in </w:t>
      </w:r>
      <w:r w:rsidRPr="0044150C">
        <w:rPr>
          <w:rFonts w:ascii="Arial" w:hAnsi="Arial" w:cs="Arial"/>
          <w:i/>
          <w:sz w:val="24"/>
          <w:szCs w:val="24"/>
          <w:lang w:val="en-GB"/>
        </w:rPr>
        <w:t>US</w:t>
      </w:r>
      <w:r w:rsidRPr="0044150C">
        <w:rPr>
          <w:rFonts w:ascii="Arial" w:hAnsi="Arial" w:cs="Arial"/>
          <w:i/>
          <w:spacing w:val="-5"/>
          <w:sz w:val="24"/>
          <w:szCs w:val="24"/>
          <w:lang w:val="en-GB"/>
        </w:rPr>
        <w:t xml:space="preserve"> </w:t>
      </w:r>
      <w:r w:rsidRPr="0044150C">
        <w:rPr>
          <w:rFonts w:ascii="Arial" w:hAnsi="Arial" w:cs="Arial"/>
          <w:i/>
          <w:sz w:val="24"/>
          <w:szCs w:val="24"/>
          <w:lang w:val="en-GB"/>
        </w:rPr>
        <w:t>–</w:t>
      </w:r>
      <w:r w:rsidRPr="0044150C">
        <w:rPr>
          <w:rFonts w:ascii="Arial" w:hAnsi="Arial" w:cs="Arial"/>
          <w:i/>
          <w:spacing w:val="-5"/>
          <w:sz w:val="24"/>
          <w:szCs w:val="24"/>
          <w:lang w:val="en-GB"/>
        </w:rPr>
        <w:t xml:space="preserve"> </w:t>
      </w:r>
      <w:r w:rsidRPr="0044150C">
        <w:rPr>
          <w:rFonts w:ascii="Arial" w:hAnsi="Arial" w:cs="Arial"/>
          <w:i/>
          <w:sz w:val="24"/>
          <w:szCs w:val="24"/>
          <w:lang w:val="en-GB"/>
        </w:rPr>
        <w:t>DRAMs</w:t>
      </w:r>
      <w:r w:rsidRPr="0044150C">
        <w:rPr>
          <w:rFonts w:ascii="Arial" w:hAnsi="Arial" w:cs="Arial"/>
          <w:i/>
          <w:spacing w:val="-5"/>
          <w:sz w:val="24"/>
          <w:szCs w:val="24"/>
          <w:lang w:val="en-GB"/>
        </w:rPr>
        <w:t xml:space="preserve"> </w:t>
      </w:r>
      <w:r w:rsidRPr="0044150C">
        <w:rPr>
          <w:rFonts w:ascii="Arial" w:hAnsi="Arial" w:cs="Arial"/>
          <w:i/>
          <w:sz w:val="24"/>
          <w:szCs w:val="24"/>
          <w:lang w:val="en-GB"/>
        </w:rPr>
        <w:t>(CVD)</w:t>
      </w:r>
      <w:r w:rsidRPr="0044150C">
        <w:rPr>
          <w:rFonts w:ascii="Arial" w:hAnsi="Arial" w:cs="Arial"/>
          <w:i/>
          <w:spacing w:val="-6"/>
          <w:sz w:val="24"/>
          <w:szCs w:val="24"/>
          <w:lang w:val="en-GB"/>
        </w:rPr>
        <w:t xml:space="preserve"> </w:t>
      </w:r>
      <w:r w:rsidRPr="0044150C">
        <w:rPr>
          <w:rFonts w:ascii="Arial" w:hAnsi="Arial" w:cs="Arial"/>
          <w:sz w:val="24"/>
          <w:szCs w:val="24"/>
          <w:lang w:val="en-GB"/>
        </w:rPr>
        <w:t>noted</w:t>
      </w:r>
      <w:r w:rsidRPr="0044150C">
        <w:rPr>
          <w:rFonts w:ascii="Arial" w:hAnsi="Arial" w:cs="Arial"/>
          <w:spacing w:val="-5"/>
          <w:sz w:val="24"/>
          <w:szCs w:val="24"/>
          <w:lang w:val="en-GB"/>
        </w:rPr>
        <w:t xml:space="preserve"> </w:t>
      </w:r>
      <w:r w:rsidRPr="0044150C">
        <w:rPr>
          <w:rFonts w:ascii="Arial" w:hAnsi="Arial" w:cs="Arial"/>
          <w:sz w:val="24"/>
          <w:szCs w:val="24"/>
          <w:lang w:val="en-GB"/>
        </w:rPr>
        <w:t>that</w:t>
      </w:r>
      <w:r w:rsidRPr="0044150C">
        <w:rPr>
          <w:rFonts w:ascii="Arial" w:hAnsi="Arial" w:cs="Arial"/>
          <w:spacing w:val="-4"/>
          <w:sz w:val="24"/>
          <w:szCs w:val="24"/>
          <w:lang w:val="en-GB"/>
        </w:rPr>
        <w:t xml:space="preserve"> </w:t>
      </w:r>
      <w:r w:rsidRPr="0044150C">
        <w:rPr>
          <w:rFonts w:ascii="Arial" w:hAnsi="Arial" w:cs="Arial"/>
          <w:sz w:val="24"/>
          <w:szCs w:val="24"/>
          <w:lang w:val="en-GB"/>
        </w:rPr>
        <w:t>“</w:t>
      </w:r>
      <w:r w:rsidRPr="0044150C">
        <w:rPr>
          <w:rFonts w:ascii="Arial" w:hAnsi="Arial" w:cs="Arial"/>
          <w:i/>
          <w:sz w:val="24"/>
          <w:szCs w:val="24"/>
          <w:lang w:val="en-GB"/>
        </w:rPr>
        <w:t>[t]he</w:t>
      </w:r>
      <w:r w:rsidRPr="0044150C">
        <w:rPr>
          <w:rFonts w:ascii="Arial" w:hAnsi="Arial" w:cs="Arial"/>
          <w:i/>
          <w:spacing w:val="-5"/>
          <w:sz w:val="24"/>
          <w:szCs w:val="24"/>
          <w:lang w:val="en-GB"/>
        </w:rPr>
        <w:t xml:space="preserve"> </w:t>
      </w:r>
      <w:r w:rsidRPr="0044150C">
        <w:rPr>
          <w:rFonts w:ascii="Arial" w:hAnsi="Arial" w:cs="Arial"/>
          <w:i/>
          <w:sz w:val="24"/>
          <w:szCs w:val="24"/>
          <w:lang w:val="en-GB"/>
        </w:rPr>
        <w:t>evidence</w:t>
      </w:r>
      <w:r w:rsidRPr="0044150C">
        <w:rPr>
          <w:rFonts w:ascii="Arial" w:hAnsi="Arial" w:cs="Arial"/>
          <w:i/>
          <w:spacing w:val="-6"/>
          <w:sz w:val="24"/>
          <w:szCs w:val="24"/>
          <w:lang w:val="en-GB"/>
        </w:rPr>
        <w:t xml:space="preserve"> </w:t>
      </w:r>
      <w:r w:rsidRPr="0044150C">
        <w:rPr>
          <w:rFonts w:ascii="Arial" w:hAnsi="Arial" w:cs="Arial"/>
          <w:i/>
          <w:sz w:val="24"/>
          <w:szCs w:val="24"/>
          <w:lang w:val="en-GB"/>
        </w:rPr>
        <w:t>of</w:t>
      </w:r>
      <w:r w:rsidRPr="0044150C">
        <w:rPr>
          <w:rFonts w:ascii="Arial" w:hAnsi="Arial" w:cs="Arial"/>
          <w:i/>
          <w:spacing w:val="-4"/>
          <w:sz w:val="24"/>
          <w:szCs w:val="24"/>
          <w:lang w:val="en-GB"/>
        </w:rPr>
        <w:t xml:space="preserve"> </w:t>
      </w:r>
      <w:r w:rsidRPr="0044150C">
        <w:rPr>
          <w:rFonts w:ascii="Arial" w:hAnsi="Arial" w:cs="Arial"/>
          <w:i/>
          <w:sz w:val="24"/>
          <w:szCs w:val="24"/>
          <w:lang w:val="en-GB"/>
        </w:rPr>
        <w:t>entrustment</w:t>
      </w:r>
      <w:r w:rsidRPr="0044150C">
        <w:rPr>
          <w:rFonts w:ascii="Arial" w:hAnsi="Arial" w:cs="Arial"/>
          <w:i/>
          <w:spacing w:val="-4"/>
          <w:sz w:val="24"/>
          <w:szCs w:val="24"/>
          <w:lang w:val="en-GB"/>
        </w:rPr>
        <w:t xml:space="preserve"> </w:t>
      </w:r>
      <w:r w:rsidRPr="0044150C">
        <w:rPr>
          <w:rFonts w:ascii="Arial" w:hAnsi="Arial" w:cs="Arial"/>
          <w:i/>
          <w:sz w:val="24"/>
          <w:szCs w:val="24"/>
          <w:lang w:val="en-GB"/>
        </w:rPr>
        <w:t>or</w:t>
      </w:r>
      <w:r w:rsidRPr="0044150C">
        <w:rPr>
          <w:rFonts w:ascii="Arial" w:hAnsi="Arial" w:cs="Arial"/>
          <w:i/>
          <w:spacing w:val="-4"/>
          <w:sz w:val="24"/>
          <w:szCs w:val="24"/>
          <w:lang w:val="en-GB"/>
        </w:rPr>
        <w:t xml:space="preserve"> </w:t>
      </w:r>
      <w:r w:rsidRPr="0044150C">
        <w:rPr>
          <w:rFonts w:ascii="Arial" w:hAnsi="Arial" w:cs="Arial"/>
          <w:i/>
          <w:sz w:val="24"/>
          <w:szCs w:val="24"/>
          <w:lang w:val="en-GB"/>
        </w:rPr>
        <w:t>direction</w:t>
      </w:r>
      <w:r w:rsidRPr="0044150C">
        <w:rPr>
          <w:rFonts w:ascii="Arial" w:hAnsi="Arial" w:cs="Arial"/>
          <w:i/>
          <w:spacing w:val="-5"/>
          <w:sz w:val="24"/>
          <w:szCs w:val="24"/>
          <w:lang w:val="en-GB"/>
        </w:rPr>
        <w:t xml:space="preserve"> </w:t>
      </w:r>
      <w:r w:rsidRPr="0044150C">
        <w:rPr>
          <w:rFonts w:ascii="Arial" w:hAnsi="Arial" w:cs="Arial"/>
          <w:i/>
          <w:sz w:val="24"/>
          <w:szCs w:val="24"/>
          <w:lang w:val="en-GB"/>
        </w:rPr>
        <w:t>must</w:t>
      </w:r>
      <w:r w:rsidRPr="0044150C">
        <w:rPr>
          <w:rFonts w:ascii="Arial" w:hAnsi="Arial" w:cs="Arial"/>
          <w:i/>
          <w:spacing w:val="-5"/>
          <w:sz w:val="24"/>
          <w:szCs w:val="24"/>
          <w:lang w:val="en-GB"/>
        </w:rPr>
        <w:t xml:space="preserve"> </w:t>
      </w:r>
      <w:r w:rsidRPr="0044150C">
        <w:rPr>
          <w:rFonts w:ascii="Arial" w:hAnsi="Arial" w:cs="Arial"/>
          <w:i/>
          <w:sz w:val="24"/>
          <w:szCs w:val="24"/>
          <w:lang w:val="en-GB"/>
        </w:rPr>
        <w:t>in</w:t>
      </w:r>
      <w:r w:rsidRPr="0044150C">
        <w:rPr>
          <w:rFonts w:ascii="Arial" w:hAnsi="Arial" w:cs="Arial"/>
          <w:i/>
          <w:spacing w:val="-4"/>
          <w:sz w:val="24"/>
          <w:szCs w:val="24"/>
          <w:lang w:val="en-GB"/>
        </w:rPr>
        <w:t xml:space="preserve"> </w:t>
      </w:r>
      <w:r w:rsidRPr="0044150C">
        <w:rPr>
          <w:rFonts w:ascii="Arial" w:hAnsi="Arial" w:cs="Arial"/>
          <w:i/>
          <w:sz w:val="24"/>
          <w:szCs w:val="24"/>
          <w:lang w:val="en-GB"/>
        </w:rPr>
        <w:t>all</w:t>
      </w:r>
      <w:r w:rsidRPr="0044150C">
        <w:rPr>
          <w:rFonts w:ascii="Arial" w:hAnsi="Arial" w:cs="Arial"/>
          <w:i/>
          <w:spacing w:val="-6"/>
          <w:sz w:val="24"/>
          <w:szCs w:val="24"/>
          <w:lang w:val="en-GB"/>
        </w:rPr>
        <w:t xml:space="preserve"> </w:t>
      </w:r>
      <w:r w:rsidRPr="0044150C">
        <w:rPr>
          <w:rFonts w:ascii="Arial" w:hAnsi="Arial" w:cs="Arial"/>
          <w:i/>
          <w:sz w:val="24"/>
          <w:szCs w:val="24"/>
          <w:lang w:val="en-GB"/>
        </w:rPr>
        <w:t>cases</w:t>
      </w:r>
      <w:r w:rsidRPr="0044150C">
        <w:rPr>
          <w:rFonts w:ascii="Arial" w:hAnsi="Arial" w:cs="Arial"/>
          <w:i/>
          <w:spacing w:val="-5"/>
          <w:sz w:val="24"/>
          <w:szCs w:val="24"/>
          <w:lang w:val="en-GB"/>
        </w:rPr>
        <w:t xml:space="preserve"> </w:t>
      </w:r>
      <w:r w:rsidRPr="0044150C">
        <w:rPr>
          <w:rFonts w:ascii="Arial" w:hAnsi="Arial" w:cs="Arial"/>
          <w:i/>
          <w:sz w:val="24"/>
          <w:szCs w:val="24"/>
          <w:lang w:val="en-GB"/>
        </w:rPr>
        <w:t>be probative and compelling</w:t>
      </w:r>
      <w:r w:rsidRPr="0044150C">
        <w:rPr>
          <w:rFonts w:ascii="Arial" w:hAnsi="Arial" w:cs="Arial"/>
          <w:sz w:val="24"/>
          <w:szCs w:val="24"/>
          <w:lang w:val="en-GB"/>
        </w:rPr>
        <w:t>.”</w:t>
      </w:r>
      <w:r w:rsidR="00CF2F8C" w:rsidRPr="0044150C">
        <w:rPr>
          <w:rStyle w:val="ab"/>
          <w:rFonts w:ascii="Arial" w:hAnsi="Arial" w:cs="Arial"/>
          <w:sz w:val="24"/>
          <w:szCs w:val="24"/>
          <w:lang w:val="en-GB"/>
        </w:rPr>
        <w:footnoteReference w:id="47"/>
      </w:r>
      <w:r w:rsidRPr="0044150C">
        <w:rPr>
          <w:rFonts w:ascii="Arial" w:hAnsi="Arial" w:cs="Arial"/>
          <w:sz w:val="24"/>
          <w:szCs w:val="24"/>
          <w:lang w:val="en-GB"/>
        </w:rPr>
        <w:t xml:space="preserve"> However, no evidence was provided by the Applicant.</w:t>
      </w:r>
    </w:p>
    <w:p w14:paraId="1630BEED" w14:textId="77777777" w:rsidR="004015FF" w:rsidRPr="0044150C" w:rsidRDefault="004015FF" w:rsidP="002A1172">
      <w:pPr>
        <w:pStyle w:val="a7"/>
        <w:tabs>
          <w:tab w:val="clear" w:pos="720"/>
        </w:tabs>
        <w:spacing w:before="9"/>
        <w:ind w:left="567" w:right="95" w:hanging="692"/>
        <w:rPr>
          <w:rFonts w:ascii="Arial" w:hAnsi="Arial" w:cs="Arial"/>
          <w:sz w:val="24"/>
          <w:szCs w:val="24"/>
        </w:rPr>
      </w:pPr>
    </w:p>
    <w:p w14:paraId="5B0A4771" w14:textId="7E256D71" w:rsidR="004015FF" w:rsidRPr="0044150C" w:rsidRDefault="004015FF" w:rsidP="00A77481">
      <w:pPr>
        <w:pStyle w:val="a9"/>
        <w:widowControl w:val="0"/>
        <w:numPr>
          <w:ilvl w:val="0"/>
          <w:numId w:val="1"/>
        </w:numPr>
        <w:autoSpaceDE w:val="0"/>
        <w:autoSpaceDN w:val="0"/>
        <w:spacing w:before="241"/>
        <w:ind w:right="95" w:hanging="644"/>
        <w:contextualSpacing w:val="0"/>
        <w:rPr>
          <w:rFonts w:ascii="Arial" w:hAnsi="Arial" w:cs="Arial"/>
          <w:sz w:val="24"/>
          <w:szCs w:val="24"/>
          <w:lang w:val="en-GB"/>
        </w:rPr>
      </w:pPr>
      <w:r w:rsidRPr="0044150C">
        <w:rPr>
          <w:rFonts w:ascii="Arial" w:hAnsi="Arial" w:cs="Arial"/>
          <w:sz w:val="24"/>
          <w:szCs w:val="24"/>
          <w:lang w:val="en-GB"/>
        </w:rPr>
        <w:t>Third, as regards the benefit, the Application does not provide any evidence whatsoever. Moreover, financial contribution and benefit are two different elements to be demonstrated to establish that a subsidy is specific.</w:t>
      </w:r>
      <w:r w:rsidR="00CF2F8C" w:rsidRPr="0044150C">
        <w:rPr>
          <w:rStyle w:val="ab"/>
          <w:rFonts w:ascii="Arial" w:hAnsi="Arial" w:cs="Arial"/>
          <w:sz w:val="24"/>
          <w:szCs w:val="24"/>
          <w:lang w:val="en-GB"/>
        </w:rPr>
        <w:footnoteReference w:id="48"/>
      </w:r>
      <w:r w:rsidRPr="0044150C">
        <w:rPr>
          <w:rFonts w:ascii="Arial" w:hAnsi="Arial" w:cs="Arial"/>
          <w:sz w:val="24"/>
          <w:szCs w:val="24"/>
          <w:lang w:val="en-GB"/>
        </w:rPr>
        <w:t xml:space="preserve"> However, the Application intertwines the two and applies a circular logic in that there is a financial contribution because of the benefit and vice versa. However, at no point in time does the Applicant give any evidence of the benefit being received by </w:t>
      </w:r>
      <w:r w:rsidR="009C3948" w:rsidRPr="0044150C">
        <w:rPr>
          <w:rFonts w:ascii="Arial" w:hAnsi="Arial" w:cs="Arial"/>
          <w:sz w:val="24"/>
          <w:szCs w:val="24"/>
          <w:lang w:val="en-GB"/>
        </w:rPr>
        <w:t>boom lift</w:t>
      </w:r>
      <w:r w:rsidRPr="0044150C">
        <w:rPr>
          <w:rFonts w:ascii="Arial" w:hAnsi="Arial" w:cs="Arial"/>
          <w:sz w:val="24"/>
          <w:szCs w:val="24"/>
          <w:lang w:val="en-GB"/>
        </w:rPr>
        <w:t xml:space="preserve"> producers in terms of below-market price purchases of the concerned inputs.</w:t>
      </w:r>
    </w:p>
    <w:p w14:paraId="6572CD36" w14:textId="77777777" w:rsidR="008C5019" w:rsidRPr="0044150C" w:rsidRDefault="008C5019" w:rsidP="008C5019">
      <w:pPr>
        <w:pStyle w:val="a9"/>
        <w:rPr>
          <w:rFonts w:ascii="Arial" w:hAnsi="Arial" w:cs="Arial"/>
          <w:sz w:val="24"/>
          <w:szCs w:val="24"/>
          <w:lang w:val="en-GB"/>
        </w:rPr>
      </w:pPr>
    </w:p>
    <w:p w14:paraId="24BC4369" w14:textId="1322C3EF" w:rsidR="008C5019" w:rsidRPr="0044150C" w:rsidRDefault="00443038" w:rsidP="00A77481">
      <w:pPr>
        <w:pStyle w:val="a9"/>
        <w:widowControl w:val="0"/>
        <w:numPr>
          <w:ilvl w:val="0"/>
          <w:numId w:val="1"/>
        </w:numPr>
        <w:autoSpaceDE w:val="0"/>
        <w:autoSpaceDN w:val="0"/>
        <w:spacing w:before="241"/>
        <w:ind w:right="95" w:hanging="644"/>
        <w:contextualSpacing w:val="0"/>
        <w:rPr>
          <w:rFonts w:ascii="Arial" w:hAnsi="Arial" w:cs="Arial"/>
          <w:sz w:val="24"/>
          <w:szCs w:val="24"/>
          <w:lang w:val="en-GB"/>
        </w:rPr>
      </w:pPr>
      <w:r w:rsidRPr="0044150C">
        <w:rPr>
          <w:rFonts w:ascii="Arial" w:hAnsi="Arial" w:cs="Arial"/>
          <w:sz w:val="24"/>
          <w:szCs w:val="24"/>
          <w:lang w:val="en-GB"/>
        </w:rPr>
        <w:t xml:space="preserve">Lastly, </w:t>
      </w:r>
      <w:r w:rsidR="00004AB4" w:rsidRPr="0044150C">
        <w:rPr>
          <w:rFonts w:ascii="Arial" w:hAnsi="Arial" w:cs="Arial"/>
          <w:sz w:val="24"/>
          <w:szCs w:val="24"/>
          <w:lang w:val="en-GB"/>
        </w:rPr>
        <w:t>in terms of specificity, the Application again does not provide any evidence whatsoever</w:t>
      </w:r>
      <w:r w:rsidR="00BE5AC1" w:rsidRPr="0044150C">
        <w:rPr>
          <w:rFonts w:ascii="Arial" w:hAnsi="Arial" w:cs="Arial"/>
          <w:sz w:val="24"/>
          <w:szCs w:val="24"/>
          <w:lang w:val="en-GB"/>
        </w:rPr>
        <w:t xml:space="preserve">. </w:t>
      </w:r>
      <w:r w:rsidRPr="0044150C">
        <w:rPr>
          <w:rFonts w:ascii="Arial" w:hAnsi="Arial" w:cs="Arial"/>
          <w:sz w:val="24"/>
          <w:szCs w:val="24"/>
          <w:lang w:val="en-GB"/>
        </w:rPr>
        <w:t xml:space="preserve">In </w:t>
      </w:r>
      <w:r w:rsidRPr="0044150C">
        <w:rPr>
          <w:rFonts w:ascii="Arial" w:hAnsi="Arial" w:cs="Arial"/>
          <w:i/>
          <w:iCs/>
          <w:sz w:val="24"/>
          <w:szCs w:val="24"/>
          <w:lang w:val="en-GB"/>
        </w:rPr>
        <w:t>US — Countervailing Measures (China)</w:t>
      </w:r>
      <w:r w:rsidRPr="0044150C">
        <w:rPr>
          <w:rFonts w:ascii="Arial" w:hAnsi="Arial" w:cs="Arial"/>
          <w:sz w:val="24"/>
          <w:szCs w:val="24"/>
          <w:lang w:val="en-GB"/>
        </w:rPr>
        <w:t xml:space="preserve"> (DS437), the </w:t>
      </w:r>
      <w:r w:rsidRPr="0044150C">
        <w:rPr>
          <w:rFonts w:ascii="Arial" w:hAnsi="Arial" w:cs="Arial"/>
          <w:sz w:val="24"/>
          <w:szCs w:val="24"/>
          <w:lang w:val="en-GB"/>
        </w:rPr>
        <w:lastRenderedPageBreak/>
        <w:t>panel and the Appellate Body stated that when an investigating authority determines specificity based on the premise that a subsidy program is used by only a limited number of companies or industries, it must first establish the existence of a "subsidy program," i.e., a “plan or scheme”, and that the financial assistance is provided under that “plan or scheme”. A systematic series of activities can serve as evidence of a "subsidy program"</w:t>
      </w:r>
      <w:r w:rsidR="00EB2FA5" w:rsidRPr="0044150C">
        <w:rPr>
          <w:rFonts w:ascii="Arial" w:hAnsi="Arial" w:cs="Arial"/>
          <w:sz w:val="24"/>
          <w:szCs w:val="24"/>
          <w:lang w:val="en-GB"/>
        </w:rPr>
        <w:t>,</w:t>
      </w:r>
      <w:r w:rsidRPr="0044150C">
        <w:rPr>
          <w:rFonts w:ascii="Arial" w:hAnsi="Arial" w:cs="Arial"/>
          <w:sz w:val="24"/>
          <w:szCs w:val="24"/>
          <w:lang w:val="en-GB"/>
        </w:rPr>
        <w:t xml:space="preserve"> but “repeated transactions” cannot be considered constituting a "subsidy program".</w:t>
      </w:r>
      <w:r w:rsidRPr="0044150C">
        <w:rPr>
          <w:rStyle w:val="ab"/>
          <w:rFonts w:ascii="Arial" w:hAnsi="Arial" w:cs="Arial"/>
          <w:sz w:val="24"/>
          <w:szCs w:val="24"/>
          <w:lang w:val="en-GB"/>
        </w:rPr>
        <w:footnoteReference w:id="49"/>
      </w:r>
      <w:r w:rsidRPr="0044150C">
        <w:rPr>
          <w:rFonts w:ascii="Arial" w:hAnsi="Arial" w:cs="Arial"/>
          <w:sz w:val="24"/>
          <w:szCs w:val="24"/>
          <w:lang w:val="en-GB"/>
        </w:rPr>
        <w:t xml:space="preserve"> In this investigation, the purchase and sale of raw materials were merely repeated transactions between upstream and downstream companies, not based on any plan reflecting industrial policy, and not influenced by factors such as industrial policy. Therefore, </w:t>
      </w:r>
      <w:r w:rsidR="00004AB4" w:rsidRPr="0044150C">
        <w:rPr>
          <w:rFonts w:ascii="Arial" w:hAnsi="Arial" w:cs="Arial"/>
          <w:sz w:val="24"/>
          <w:szCs w:val="24"/>
          <w:lang w:val="en-GB"/>
        </w:rPr>
        <w:t>the alleged program does not meet the requirement of specificity</w:t>
      </w:r>
      <w:r w:rsidRPr="0044150C">
        <w:rPr>
          <w:rFonts w:ascii="Arial" w:hAnsi="Arial" w:cs="Arial"/>
          <w:sz w:val="24"/>
          <w:szCs w:val="24"/>
          <w:lang w:val="en-GB"/>
        </w:rPr>
        <w:t>.</w:t>
      </w:r>
    </w:p>
    <w:p w14:paraId="3463A067" w14:textId="77777777" w:rsidR="004015FF" w:rsidRPr="0044150C" w:rsidRDefault="004015FF" w:rsidP="002A1172">
      <w:pPr>
        <w:pStyle w:val="a7"/>
        <w:tabs>
          <w:tab w:val="clear" w:pos="720"/>
        </w:tabs>
        <w:ind w:left="567" w:right="95" w:hanging="692"/>
        <w:rPr>
          <w:rFonts w:ascii="Arial" w:hAnsi="Arial" w:cs="Arial"/>
          <w:sz w:val="24"/>
          <w:szCs w:val="24"/>
          <w:lang w:eastAsia="zh-CN"/>
        </w:rPr>
      </w:pPr>
    </w:p>
    <w:p w14:paraId="35668C85" w14:textId="635D90EA" w:rsidR="004015FF" w:rsidRPr="0044150C" w:rsidRDefault="004015FF" w:rsidP="00A77481">
      <w:pPr>
        <w:pStyle w:val="a9"/>
        <w:widowControl w:val="0"/>
        <w:numPr>
          <w:ilvl w:val="0"/>
          <w:numId w:val="1"/>
        </w:numPr>
        <w:autoSpaceDE w:val="0"/>
        <w:autoSpaceDN w:val="0"/>
        <w:spacing w:before="241"/>
        <w:ind w:right="95" w:hanging="644"/>
        <w:contextualSpacing w:val="0"/>
        <w:rPr>
          <w:rFonts w:ascii="Arial" w:hAnsi="Arial" w:cs="Arial"/>
          <w:sz w:val="24"/>
          <w:szCs w:val="24"/>
          <w:lang w:val="en-GB"/>
        </w:rPr>
      </w:pPr>
      <w:r w:rsidRPr="0044150C">
        <w:rPr>
          <w:rFonts w:ascii="Arial" w:hAnsi="Arial" w:cs="Arial"/>
          <w:sz w:val="24"/>
          <w:szCs w:val="24"/>
          <w:lang w:val="en-GB"/>
        </w:rPr>
        <w:t>In sum, the investigation into the alleged provision of inputs at LTAR is inconsistent with Articles 11.2 and 11.3 of the SCM Agreement in this case.</w:t>
      </w:r>
    </w:p>
    <w:p w14:paraId="5AB6EFCF" w14:textId="77777777" w:rsidR="00BA0E9E" w:rsidRPr="0044150C" w:rsidRDefault="00BA0E9E" w:rsidP="00BA0E9E">
      <w:pPr>
        <w:pStyle w:val="a9"/>
        <w:autoSpaceDE w:val="0"/>
        <w:autoSpaceDN w:val="0"/>
        <w:adjustRightInd w:val="0"/>
        <w:contextualSpacing w:val="0"/>
        <w:rPr>
          <w:rFonts w:ascii="Arial" w:eastAsiaTheme="minorHAnsi" w:hAnsi="Arial" w:cs="Arial"/>
          <w:color w:val="000000" w:themeColor="text1"/>
          <w:sz w:val="24"/>
          <w:szCs w:val="24"/>
          <w:lang w:val="en-GB" w:eastAsia="en-US" w:bidi="hi-IN"/>
          <w14:ligatures w14:val="standardContextual"/>
        </w:rPr>
      </w:pPr>
    </w:p>
    <w:p w14:paraId="05A46003" w14:textId="0F274CD9" w:rsidR="00BA0E9E" w:rsidRPr="0044150C" w:rsidRDefault="00BA0E9E" w:rsidP="00BA0E9E">
      <w:pPr>
        <w:pStyle w:val="3"/>
        <w:rPr>
          <w:rFonts w:ascii="Arial" w:eastAsiaTheme="minorEastAsia" w:hAnsi="Arial" w:cs="Arial"/>
          <w:b/>
          <w:bCs/>
          <w:color w:val="auto"/>
          <w:lang w:val="en-GB"/>
        </w:rPr>
      </w:pPr>
      <w:bookmarkStart w:id="47" w:name="_Toc226652301"/>
      <w:r w:rsidRPr="0044150C">
        <w:rPr>
          <w:rFonts w:ascii="Arial" w:eastAsia="Times New Roman" w:hAnsi="Arial" w:cs="Arial"/>
          <w:b/>
          <w:bCs/>
          <w:color w:val="auto"/>
          <w:lang w:val="en-GB" w:eastAsia="en-US"/>
        </w:rPr>
        <w:t xml:space="preserve">Alleged </w:t>
      </w:r>
      <w:bookmarkStart w:id="48" w:name="_Hlk161350166"/>
      <w:r w:rsidRPr="0044150C">
        <w:rPr>
          <w:rFonts w:ascii="Arial" w:eastAsia="Times New Roman" w:hAnsi="Arial" w:cs="Arial"/>
          <w:b/>
          <w:bCs/>
          <w:color w:val="auto"/>
          <w:lang w:val="en-GB" w:eastAsia="en-US"/>
        </w:rPr>
        <w:t>provision of</w:t>
      </w:r>
      <w:r w:rsidRPr="0044150C">
        <w:rPr>
          <w:rFonts w:ascii="Arial" w:eastAsiaTheme="minorEastAsia" w:hAnsi="Arial" w:cs="Arial"/>
          <w:b/>
          <w:bCs/>
          <w:color w:val="auto"/>
          <w:lang w:val="en-GB"/>
        </w:rPr>
        <w:t xml:space="preserve"> logistics services at LTAR</w:t>
      </w:r>
      <w:bookmarkEnd w:id="47"/>
      <w:bookmarkEnd w:id="48"/>
      <w:r w:rsidRPr="0044150C">
        <w:rPr>
          <w:rFonts w:ascii="Arial" w:eastAsiaTheme="minorEastAsia" w:hAnsi="Arial" w:cs="Arial"/>
          <w:b/>
          <w:bCs/>
          <w:color w:val="auto"/>
          <w:lang w:val="en-GB"/>
        </w:rPr>
        <w:t xml:space="preserve"> </w:t>
      </w:r>
    </w:p>
    <w:p w14:paraId="2221B889" w14:textId="77777777" w:rsidR="00AD2E34" w:rsidRPr="0044150C" w:rsidRDefault="00AD2E34" w:rsidP="00AD2E34">
      <w:pPr>
        <w:pStyle w:val="a9"/>
        <w:autoSpaceDE w:val="0"/>
        <w:autoSpaceDN w:val="0"/>
        <w:adjustRightInd w:val="0"/>
        <w:contextualSpacing w:val="0"/>
        <w:rPr>
          <w:rFonts w:ascii="Arial" w:eastAsiaTheme="minorHAnsi" w:hAnsi="Arial" w:cs="Arial"/>
          <w:color w:val="000000" w:themeColor="text1"/>
          <w:sz w:val="24"/>
          <w:szCs w:val="24"/>
          <w:lang w:val="en-GB" w:eastAsia="en-US" w:bidi="hi-IN"/>
          <w14:ligatures w14:val="standardContextual"/>
        </w:rPr>
      </w:pPr>
    </w:p>
    <w:p w14:paraId="710230A3" w14:textId="1F728095" w:rsidR="00637B9E" w:rsidRPr="0044150C" w:rsidRDefault="00AD2E34" w:rsidP="00A77481">
      <w:pPr>
        <w:pStyle w:val="a9"/>
        <w:numPr>
          <w:ilvl w:val="0"/>
          <w:numId w:val="1"/>
        </w:numPr>
        <w:autoSpaceDE w:val="0"/>
        <w:autoSpaceDN w:val="0"/>
        <w:adjustRightInd w:val="0"/>
        <w:ind w:hanging="644"/>
        <w:contextualSpacing w:val="0"/>
        <w:rPr>
          <w:rFonts w:ascii="Arial" w:eastAsiaTheme="minorHAnsi" w:hAnsi="Arial" w:cs="Arial"/>
          <w:color w:val="000000" w:themeColor="text1"/>
          <w:sz w:val="24"/>
          <w:szCs w:val="24"/>
          <w:lang w:val="en-GB" w:bidi="hi-IN"/>
          <w14:ligatures w14:val="standardContextual"/>
        </w:rPr>
      </w:pPr>
      <w:r w:rsidRPr="0044150C">
        <w:rPr>
          <w:rFonts w:ascii="Arial" w:eastAsiaTheme="minorHAnsi" w:hAnsi="Arial" w:cs="Arial"/>
          <w:color w:val="000000" w:themeColor="text1"/>
          <w:sz w:val="24"/>
          <w:szCs w:val="24"/>
          <w:lang w:val="en-GB" w:bidi="hi-IN"/>
          <w14:ligatures w14:val="standardContextual"/>
        </w:rPr>
        <w:t xml:space="preserve">The Applicant alleges that </w:t>
      </w:r>
      <w:r w:rsidR="00B757D8" w:rsidRPr="0044150C">
        <w:rPr>
          <w:rFonts w:ascii="Arial" w:eastAsiaTheme="minorHAnsi" w:hAnsi="Arial" w:cs="Arial"/>
          <w:color w:val="000000" w:themeColor="text1"/>
          <w:sz w:val="24"/>
          <w:szCs w:val="24"/>
          <w:lang w:val="en-GB" w:bidi="hi-IN"/>
          <w14:ligatures w14:val="standardContextual"/>
        </w:rPr>
        <w:t xml:space="preserve"> logistics services are subsidised in the PRC because supporting Five-Year Plans for Modern Logistics (2022) “</w:t>
      </w:r>
      <w:r w:rsidR="00B757D8" w:rsidRPr="0044150C">
        <w:rPr>
          <w:rFonts w:ascii="Arial" w:eastAsiaTheme="minorHAnsi" w:hAnsi="Arial" w:cs="Arial"/>
          <w:i/>
          <w:iCs/>
          <w:color w:val="000000" w:themeColor="text1"/>
          <w:sz w:val="24"/>
          <w:szCs w:val="24"/>
          <w:lang w:val="en-GB" w:bidi="hi-IN"/>
          <w14:ligatures w14:val="standardContextual"/>
        </w:rPr>
        <w:t>authorise reduced rail and port tariffs, ensuring that exporters of bulky machinery like MAE face lower costs than market conditions would dictate</w:t>
      </w:r>
      <w:r w:rsidR="00B757D8" w:rsidRPr="0044150C">
        <w:rPr>
          <w:rFonts w:ascii="Arial" w:eastAsiaTheme="minorHAnsi" w:hAnsi="Arial" w:cs="Arial"/>
          <w:color w:val="000000" w:themeColor="text1"/>
          <w:sz w:val="24"/>
          <w:szCs w:val="24"/>
          <w:lang w:val="en-GB" w:bidi="hi-IN"/>
          <w14:ligatures w14:val="standardContextual"/>
        </w:rPr>
        <w:t>”.</w:t>
      </w:r>
    </w:p>
    <w:p w14:paraId="2A25B06C" w14:textId="77777777" w:rsidR="00637B9E" w:rsidRPr="0044150C" w:rsidRDefault="00637B9E" w:rsidP="00637B9E">
      <w:pPr>
        <w:pStyle w:val="a9"/>
        <w:autoSpaceDE w:val="0"/>
        <w:autoSpaceDN w:val="0"/>
        <w:adjustRightInd w:val="0"/>
        <w:ind w:left="644"/>
        <w:contextualSpacing w:val="0"/>
        <w:rPr>
          <w:rFonts w:ascii="Arial" w:eastAsiaTheme="minorHAnsi" w:hAnsi="Arial" w:cs="Arial"/>
          <w:color w:val="000000" w:themeColor="text1"/>
          <w:sz w:val="24"/>
          <w:szCs w:val="24"/>
          <w:lang w:val="en-GB" w:bidi="hi-IN"/>
          <w14:ligatures w14:val="standardContextual"/>
        </w:rPr>
      </w:pPr>
    </w:p>
    <w:p w14:paraId="35FCBCE9" w14:textId="0FDB4AF1" w:rsidR="006512CB" w:rsidRPr="0044150C" w:rsidRDefault="006512CB" w:rsidP="00A77481">
      <w:pPr>
        <w:pStyle w:val="a9"/>
        <w:numPr>
          <w:ilvl w:val="0"/>
          <w:numId w:val="1"/>
        </w:numPr>
        <w:autoSpaceDE w:val="0"/>
        <w:autoSpaceDN w:val="0"/>
        <w:adjustRightInd w:val="0"/>
        <w:ind w:hanging="644"/>
        <w:contextualSpacing w:val="0"/>
        <w:rPr>
          <w:rFonts w:ascii="Arial" w:eastAsiaTheme="minorHAnsi" w:hAnsi="Arial" w:cs="Arial"/>
          <w:color w:val="000000" w:themeColor="text1"/>
          <w:sz w:val="24"/>
          <w:szCs w:val="24"/>
          <w:lang w:val="en-GB" w:bidi="hi-IN"/>
          <w14:ligatures w14:val="standardContextual"/>
        </w:rPr>
      </w:pPr>
      <w:r w:rsidRPr="0044150C">
        <w:rPr>
          <w:rFonts w:ascii="Arial" w:hAnsi="Arial" w:cs="Arial"/>
          <w:color w:val="000000" w:themeColor="text1"/>
          <w:sz w:val="24"/>
          <w:szCs w:val="24"/>
          <w:lang w:val="en-GB" w:bidi="hi-IN"/>
          <w14:ligatures w14:val="standardContextual"/>
        </w:rPr>
        <w:t xml:space="preserve">The GOC strongly opposes the Applicant’s such allegations which </w:t>
      </w:r>
      <w:r w:rsidRPr="0044150C">
        <w:rPr>
          <w:rFonts w:ascii="Arial" w:eastAsiaTheme="minorHAnsi" w:hAnsi="Arial" w:cs="Arial"/>
          <w:color w:val="000000" w:themeColor="text1"/>
          <w:sz w:val="24"/>
          <w:szCs w:val="24"/>
          <w:lang w:val="en-GB" w:bidi="hi-IN"/>
          <w14:ligatures w14:val="standardContextual"/>
        </w:rPr>
        <w:t xml:space="preserve">are not rooted in facts but are based on assumptions, and the misinterpretation and misrepresentation of information. </w:t>
      </w:r>
      <w:r w:rsidR="0054044D" w:rsidRPr="0044150C">
        <w:rPr>
          <w:rFonts w:ascii="Arial" w:hAnsi="Arial" w:cs="Arial"/>
          <w:color w:val="000000" w:themeColor="text1"/>
          <w:sz w:val="24"/>
          <w:szCs w:val="24"/>
          <w:lang w:val="en-GB" w:bidi="hi-IN"/>
          <w14:ligatures w14:val="standardContextual"/>
        </w:rPr>
        <w:t xml:space="preserve">The GOC further submits that the Applicant failed to provide sufficient evidences on the existence of a financial contribution, evidence of benefit and evidence of specificity to support </w:t>
      </w:r>
      <w:r w:rsidR="00F23654" w:rsidRPr="0044150C">
        <w:rPr>
          <w:rFonts w:ascii="Arial" w:hAnsi="Arial" w:cs="Arial"/>
          <w:color w:val="000000" w:themeColor="text1"/>
          <w:sz w:val="24"/>
          <w:szCs w:val="24"/>
          <w:lang w:val="en-GB" w:bidi="hi-IN"/>
          <w14:ligatures w14:val="standardContextual"/>
        </w:rPr>
        <w:t>its assertion</w:t>
      </w:r>
      <w:r w:rsidR="0054044D" w:rsidRPr="0044150C">
        <w:rPr>
          <w:rFonts w:ascii="Arial" w:hAnsi="Arial" w:cs="Arial"/>
          <w:color w:val="000000" w:themeColor="text1"/>
          <w:sz w:val="24"/>
          <w:szCs w:val="24"/>
          <w:lang w:val="en-GB" w:bidi="hi-IN"/>
          <w14:ligatures w14:val="standardContextual"/>
        </w:rPr>
        <w:t>.</w:t>
      </w:r>
      <w:r w:rsidR="001503E8" w:rsidRPr="0044150C">
        <w:rPr>
          <w:rFonts w:ascii="Arial" w:hAnsi="Arial" w:cs="Arial"/>
          <w:color w:val="000000" w:themeColor="text1"/>
          <w:sz w:val="24"/>
          <w:szCs w:val="24"/>
          <w:lang w:val="en-GB" w:bidi="hi-IN"/>
          <w14:ligatures w14:val="standardContextual"/>
        </w:rPr>
        <w:t xml:space="preserve"> The Applicant merely cites the Five-Year Plans and a third-party article published </w:t>
      </w:r>
      <w:r w:rsidR="001503E8" w:rsidRPr="0044150C">
        <w:rPr>
          <w:rFonts w:ascii="Arial" w:hAnsi="Arial" w:cs="Arial"/>
          <w:color w:val="000000" w:themeColor="text1"/>
          <w:sz w:val="24"/>
          <w:szCs w:val="24"/>
          <w:lang w:val="en-GB" w:bidi="hi-IN"/>
          <w14:ligatures w14:val="standardContextual"/>
        </w:rPr>
        <w:lastRenderedPageBreak/>
        <w:t>online without any other factual evidence to support the existence of the alleged subsidy.</w:t>
      </w:r>
    </w:p>
    <w:p w14:paraId="1CD3653D" w14:textId="4AB697FE" w:rsidR="00EE04E3" w:rsidRPr="0044150C" w:rsidRDefault="00EE04E3" w:rsidP="00EE04E3">
      <w:pPr>
        <w:pStyle w:val="a9"/>
        <w:autoSpaceDE w:val="0"/>
        <w:autoSpaceDN w:val="0"/>
        <w:adjustRightInd w:val="0"/>
        <w:ind w:hanging="720"/>
        <w:contextualSpacing w:val="0"/>
        <w:rPr>
          <w:rFonts w:ascii="Arial" w:hAnsi="Arial" w:cs="Arial"/>
          <w:sz w:val="24"/>
          <w:szCs w:val="24"/>
          <w:lang w:val="en-GB"/>
        </w:rPr>
      </w:pPr>
    </w:p>
    <w:p w14:paraId="09E7C4AE" w14:textId="497DD1DA" w:rsidR="00EE04E3" w:rsidRPr="0044150C" w:rsidRDefault="00576E14" w:rsidP="00A77481">
      <w:pPr>
        <w:pStyle w:val="a9"/>
        <w:numPr>
          <w:ilvl w:val="0"/>
          <w:numId w:val="1"/>
        </w:numPr>
        <w:autoSpaceDE w:val="0"/>
        <w:autoSpaceDN w:val="0"/>
        <w:adjustRightInd w:val="0"/>
        <w:ind w:hanging="644"/>
        <w:contextualSpacing w:val="0"/>
        <w:rPr>
          <w:rFonts w:ascii="Arial" w:eastAsia="Times New Roman" w:hAnsi="Arial" w:cs="Arial"/>
          <w:sz w:val="24"/>
          <w:szCs w:val="24"/>
          <w:lang w:val="en-GB" w:eastAsia="en-US"/>
        </w:rPr>
      </w:pPr>
      <w:r w:rsidRPr="0044150C">
        <w:rPr>
          <w:rFonts w:ascii="Arial" w:eastAsia="Times New Roman" w:hAnsi="Arial" w:cs="Arial"/>
          <w:sz w:val="24"/>
          <w:szCs w:val="24"/>
          <w:lang w:val="en-GB" w:eastAsia="en-US"/>
        </w:rPr>
        <w:t xml:space="preserve">The GOC has provided the interpretation of “public body” under Section 2.4.1.1 of this Comment. </w:t>
      </w:r>
      <w:r w:rsidR="00EE04E3" w:rsidRPr="0044150C">
        <w:rPr>
          <w:rFonts w:ascii="Arial" w:eastAsia="Times New Roman" w:hAnsi="Arial" w:cs="Arial"/>
          <w:sz w:val="24"/>
          <w:szCs w:val="24"/>
          <w:lang w:val="en-GB" w:eastAsia="en-US"/>
        </w:rPr>
        <w:t xml:space="preserve">Seen in this context, </w:t>
      </w:r>
      <w:r w:rsidR="00F23654" w:rsidRPr="0044150C">
        <w:rPr>
          <w:rFonts w:ascii="Arial" w:hAnsi="Arial" w:cs="Arial"/>
          <w:sz w:val="24"/>
          <w:szCs w:val="24"/>
          <w:lang w:val="en-GB"/>
        </w:rPr>
        <w:t>the GOC submits that the merely indicating the two key Chinses transportation companies being SOEs</w:t>
      </w:r>
      <w:r w:rsidR="00EE04E3" w:rsidRPr="0044150C">
        <w:rPr>
          <w:rFonts w:ascii="Arial" w:eastAsia="Times New Roman" w:hAnsi="Arial" w:cs="Arial"/>
          <w:sz w:val="24"/>
          <w:szCs w:val="24"/>
          <w:lang w:val="en-GB" w:eastAsia="en-US"/>
        </w:rPr>
        <w:t xml:space="preserve">, </w:t>
      </w:r>
      <w:r w:rsidR="00EE04E3" w:rsidRPr="0044150C">
        <w:rPr>
          <w:rFonts w:ascii="Arial" w:hAnsi="Arial" w:cs="Arial"/>
          <w:sz w:val="24"/>
          <w:szCs w:val="24"/>
          <w:lang w:val="en-GB"/>
        </w:rPr>
        <w:t xml:space="preserve">did not evaluate the relationship between the alleged </w:t>
      </w:r>
      <w:r w:rsidR="00F23654" w:rsidRPr="0044150C">
        <w:rPr>
          <w:rFonts w:ascii="Arial" w:hAnsi="Arial" w:cs="Arial"/>
          <w:sz w:val="24"/>
          <w:szCs w:val="24"/>
          <w:lang w:val="en-GB"/>
        </w:rPr>
        <w:t>transportation companies</w:t>
      </w:r>
      <w:r w:rsidR="00EE04E3" w:rsidRPr="0044150C">
        <w:rPr>
          <w:rFonts w:ascii="Arial" w:hAnsi="Arial" w:cs="Arial"/>
          <w:sz w:val="24"/>
          <w:szCs w:val="24"/>
          <w:lang w:val="en-GB"/>
        </w:rPr>
        <w:t xml:space="preserve"> and the GOC in the Chinese legal order nor the extent to which the GOC in fact exercises/exercised meaningful control over </w:t>
      </w:r>
      <w:r w:rsidR="00F23654" w:rsidRPr="0044150C">
        <w:rPr>
          <w:rFonts w:ascii="Arial" w:hAnsi="Arial" w:cs="Arial"/>
          <w:sz w:val="24"/>
          <w:szCs w:val="24"/>
          <w:lang w:val="en-GB"/>
        </w:rPr>
        <w:t>the transportation companies</w:t>
      </w:r>
      <w:r w:rsidR="00EE04E3" w:rsidRPr="0044150C">
        <w:rPr>
          <w:rFonts w:ascii="Arial" w:hAnsi="Arial" w:cs="Arial"/>
          <w:sz w:val="24"/>
          <w:szCs w:val="24"/>
          <w:lang w:val="en-GB"/>
        </w:rPr>
        <w:t xml:space="preserve"> and their </w:t>
      </w:r>
      <w:r w:rsidR="00EE04E3" w:rsidRPr="0044150C">
        <w:rPr>
          <w:rFonts w:ascii="Arial" w:hAnsi="Arial" w:cs="Arial"/>
          <w:iCs/>
          <w:sz w:val="24"/>
          <w:szCs w:val="24"/>
          <w:lang w:val="en-GB"/>
        </w:rPr>
        <w:t>conduct</w:t>
      </w:r>
      <w:r w:rsidR="00EE04E3" w:rsidRPr="0044150C">
        <w:rPr>
          <w:rFonts w:ascii="Arial" w:hAnsi="Arial" w:cs="Arial"/>
          <w:i/>
          <w:iCs/>
          <w:sz w:val="24"/>
          <w:szCs w:val="24"/>
          <w:lang w:val="en-GB"/>
        </w:rPr>
        <w:t xml:space="preserve"> </w:t>
      </w:r>
      <w:r w:rsidR="00EE04E3" w:rsidRPr="0044150C">
        <w:rPr>
          <w:rFonts w:ascii="Arial" w:hAnsi="Arial" w:cs="Arial"/>
          <w:sz w:val="24"/>
          <w:szCs w:val="24"/>
          <w:lang w:val="en-GB"/>
        </w:rPr>
        <w:t xml:space="preserve">in support of its assertion that </w:t>
      </w:r>
      <w:r w:rsidR="00F23654" w:rsidRPr="0044150C">
        <w:rPr>
          <w:rFonts w:ascii="Arial" w:hAnsi="Arial" w:cs="Arial"/>
          <w:sz w:val="24"/>
          <w:szCs w:val="24"/>
          <w:lang w:val="en-GB"/>
        </w:rPr>
        <w:t>state-owned transportation companies</w:t>
      </w:r>
      <w:r w:rsidR="00EE04E3" w:rsidRPr="0044150C">
        <w:rPr>
          <w:rFonts w:ascii="Arial" w:hAnsi="Arial" w:cs="Arial"/>
          <w:sz w:val="24"/>
          <w:szCs w:val="24"/>
          <w:lang w:val="en-GB"/>
        </w:rPr>
        <w:t xml:space="preserve"> are public bodies within the meaning of Article 1.1(a)(1) of the SCM Agreement.</w:t>
      </w:r>
      <w:r w:rsidR="00EE04E3" w:rsidRPr="0044150C">
        <w:rPr>
          <w:rFonts w:ascii="Arial" w:eastAsia="Times New Roman" w:hAnsi="Arial" w:cs="Arial"/>
          <w:iCs/>
          <w:sz w:val="24"/>
          <w:szCs w:val="24"/>
          <w:lang w:val="en-GB" w:eastAsia="en-US"/>
        </w:rPr>
        <w:t xml:space="preserve"> </w:t>
      </w:r>
      <w:r w:rsidR="00541F2A" w:rsidRPr="0044150C">
        <w:rPr>
          <w:rFonts w:ascii="Arial" w:eastAsia="Times New Roman" w:hAnsi="Arial" w:cs="Arial"/>
          <w:iCs/>
          <w:sz w:val="24"/>
          <w:szCs w:val="24"/>
          <w:lang w:val="en-GB" w:eastAsia="en-US"/>
        </w:rPr>
        <w:t xml:space="preserve">Chinese State-owned </w:t>
      </w:r>
      <w:r w:rsidR="00541F2A" w:rsidRPr="0044150C">
        <w:rPr>
          <w:rFonts w:ascii="Arial" w:hAnsi="Arial" w:cs="Arial"/>
          <w:iCs/>
          <w:sz w:val="24"/>
          <w:szCs w:val="24"/>
          <w:lang w:val="en-GB"/>
        </w:rPr>
        <w:t>transportation</w:t>
      </w:r>
      <w:r w:rsidR="00541F2A" w:rsidRPr="0044150C">
        <w:rPr>
          <w:rFonts w:ascii="Arial" w:eastAsia="Times New Roman" w:hAnsi="Arial" w:cs="Arial"/>
          <w:iCs/>
          <w:sz w:val="24"/>
          <w:szCs w:val="24"/>
          <w:lang w:val="en-GB" w:eastAsia="en-US"/>
        </w:rPr>
        <w:t xml:space="preserve"> are not bestowed with governmental authority regardless of their shareholding, as they do not perform any functions which are not usually performed by </w:t>
      </w:r>
      <w:r w:rsidR="00541F2A" w:rsidRPr="0044150C">
        <w:rPr>
          <w:rFonts w:ascii="Arial" w:hAnsi="Arial" w:cs="Arial"/>
          <w:iCs/>
          <w:sz w:val="24"/>
          <w:szCs w:val="24"/>
          <w:lang w:val="en-GB"/>
        </w:rPr>
        <w:t>non-SOEs</w:t>
      </w:r>
      <w:r w:rsidR="00541F2A" w:rsidRPr="0044150C">
        <w:rPr>
          <w:rFonts w:ascii="Arial" w:eastAsia="Times New Roman" w:hAnsi="Arial" w:cs="Arial"/>
          <w:iCs/>
          <w:sz w:val="24"/>
          <w:szCs w:val="24"/>
          <w:lang w:val="en-GB" w:eastAsia="en-US"/>
        </w:rPr>
        <w:t>.</w:t>
      </w:r>
      <w:r w:rsidR="006D7C39" w:rsidRPr="0044150C">
        <w:rPr>
          <w:rFonts w:ascii="Arial" w:hAnsi="Arial" w:cs="Arial"/>
          <w:iCs/>
          <w:sz w:val="24"/>
          <w:szCs w:val="24"/>
          <w:lang w:val="en-GB"/>
        </w:rPr>
        <w:t xml:space="preserve"> </w:t>
      </w:r>
      <w:r w:rsidR="00F23654" w:rsidRPr="0044150C">
        <w:rPr>
          <w:rFonts w:ascii="Arial" w:hAnsi="Arial" w:cs="Arial"/>
          <w:iCs/>
          <w:sz w:val="24"/>
          <w:szCs w:val="24"/>
          <w:lang w:val="en-GB"/>
        </w:rPr>
        <w:t>T</w:t>
      </w:r>
      <w:r w:rsidR="00EE04E3" w:rsidRPr="0044150C">
        <w:rPr>
          <w:rFonts w:ascii="Arial" w:hAnsi="Arial" w:cs="Arial"/>
          <w:sz w:val="24"/>
          <w:szCs w:val="24"/>
          <w:lang w:val="en-GB"/>
        </w:rPr>
        <w:t xml:space="preserve">he Appellate Body in </w:t>
      </w:r>
      <w:r w:rsidR="00EE04E3" w:rsidRPr="0044150C">
        <w:rPr>
          <w:rFonts w:ascii="Arial" w:hAnsi="Arial" w:cs="Arial"/>
          <w:i/>
          <w:iCs/>
          <w:sz w:val="24"/>
          <w:szCs w:val="24"/>
          <w:lang w:val="en-GB"/>
        </w:rPr>
        <w:t>US – Anti-Dumping and Countervailing Duties</w:t>
      </w:r>
      <w:r w:rsidR="00EE04E3" w:rsidRPr="0044150C">
        <w:rPr>
          <w:rFonts w:ascii="Arial" w:hAnsi="Arial" w:cs="Arial"/>
          <w:sz w:val="24"/>
          <w:szCs w:val="24"/>
          <w:lang w:val="en-GB"/>
        </w:rPr>
        <w:t xml:space="preserve"> also held that an “</w:t>
      </w:r>
      <w:r w:rsidR="00EE04E3" w:rsidRPr="0044150C">
        <w:rPr>
          <w:rFonts w:ascii="Arial" w:hAnsi="Arial" w:cs="Arial"/>
          <w:i/>
          <w:iCs/>
          <w:sz w:val="24"/>
          <w:szCs w:val="24"/>
          <w:lang w:val="en-GB"/>
        </w:rPr>
        <w:t>investigating authority must, in making its determination, evaluate and give due consideration to all relevant characteristics of the entity and, in reaching its ultimate determination as to how that entity should be characterized, avoid focusing exclusively or unduly on any single characteristic without affording due consideration to others that may be relevant</w:t>
      </w:r>
      <w:r w:rsidR="00EE04E3" w:rsidRPr="0044150C">
        <w:rPr>
          <w:rFonts w:ascii="Arial" w:hAnsi="Arial" w:cs="Arial"/>
          <w:sz w:val="24"/>
          <w:szCs w:val="24"/>
          <w:lang w:val="en-GB"/>
        </w:rPr>
        <w:t>.”</w:t>
      </w:r>
      <w:r w:rsidR="00EE04E3" w:rsidRPr="0044150C">
        <w:rPr>
          <w:rStyle w:val="ab"/>
          <w:rFonts w:ascii="Arial" w:hAnsi="Arial" w:cs="Arial"/>
          <w:sz w:val="24"/>
          <w:szCs w:val="24"/>
          <w:lang w:val="en-GB"/>
        </w:rPr>
        <w:footnoteReference w:id="50"/>
      </w:r>
      <w:r w:rsidR="00541F2A" w:rsidRPr="0044150C">
        <w:rPr>
          <w:rFonts w:ascii="Arial" w:hAnsi="Arial" w:cs="Arial"/>
          <w:sz w:val="24"/>
          <w:szCs w:val="24"/>
          <w:lang w:val="en-GB"/>
        </w:rPr>
        <w:t xml:space="preserve"> </w:t>
      </w:r>
    </w:p>
    <w:p w14:paraId="1B710448" w14:textId="77777777" w:rsidR="00EE04E3" w:rsidRPr="0044150C" w:rsidRDefault="00EE04E3" w:rsidP="00EE04E3">
      <w:pPr>
        <w:pStyle w:val="a9"/>
        <w:rPr>
          <w:rFonts w:ascii="Arial" w:hAnsi="Arial" w:cs="Arial"/>
          <w:color w:val="000000" w:themeColor="text1"/>
          <w:sz w:val="24"/>
          <w:szCs w:val="24"/>
          <w:lang w:val="en-GB" w:bidi="hi-IN"/>
          <w14:ligatures w14:val="standardContextual"/>
        </w:rPr>
      </w:pPr>
    </w:p>
    <w:p w14:paraId="0A5EE02D" w14:textId="29504790" w:rsidR="00F23654" w:rsidRPr="0044150C" w:rsidRDefault="008260C7" w:rsidP="00A77481">
      <w:pPr>
        <w:pStyle w:val="a9"/>
        <w:widowControl w:val="0"/>
        <w:numPr>
          <w:ilvl w:val="0"/>
          <w:numId w:val="1"/>
        </w:numPr>
        <w:autoSpaceDE w:val="0"/>
        <w:autoSpaceDN w:val="0"/>
        <w:adjustRightInd w:val="0"/>
        <w:ind w:right="95" w:hanging="644"/>
        <w:contextualSpacing w:val="0"/>
        <w:rPr>
          <w:rFonts w:ascii="Arial" w:hAnsi="Arial" w:cs="Arial"/>
          <w:sz w:val="24"/>
          <w:szCs w:val="24"/>
          <w:lang w:val="en-GB"/>
        </w:rPr>
      </w:pPr>
      <w:r w:rsidRPr="0044150C">
        <w:rPr>
          <w:rFonts w:ascii="Arial" w:eastAsia="Times New Roman" w:hAnsi="Arial" w:cs="Arial"/>
          <w:sz w:val="24"/>
          <w:szCs w:val="24"/>
          <w:lang w:val="en-GB" w:eastAsia="en-US"/>
        </w:rPr>
        <w:t>As discussed previously, the Panel ruling in</w:t>
      </w:r>
      <w:r w:rsidRPr="0044150C">
        <w:rPr>
          <w:rFonts w:ascii="Arial" w:eastAsia="Times New Roman" w:hAnsi="Arial" w:cs="Arial"/>
          <w:i/>
          <w:sz w:val="24"/>
          <w:szCs w:val="24"/>
          <w:lang w:val="en-GB" w:eastAsia="en-US"/>
        </w:rPr>
        <w:t xml:space="preserve"> China </w:t>
      </w:r>
      <w:r w:rsidRPr="0044150C">
        <w:rPr>
          <w:rFonts w:ascii="Arial" w:hAnsi="Arial" w:cs="Arial"/>
          <w:i/>
          <w:iCs/>
          <w:color w:val="000000"/>
          <w:sz w:val="24"/>
          <w:szCs w:val="24"/>
          <w:lang w:val="en-GB" w:bidi="hi-IN"/>
        </w:rPr>
        <w:t>–</w:t>
      </w:r>
      <w:r w:rsidRPr="0044150C">
        <w:rPr>
          <w:rFonts w:ascii="Arial" w:eastAsia="Times New Roman" w:hAnsi="Arial" w:cs="Arial"/>
          <w:i/>
          <w:sz w:val="24"/>
          <w:szCs w:val="24"/>
          <w:lang w:val="en-GB" w:eastAsia="en-US"/>
        </w:rPr>
        <w:t xml:space="preserve"> GOES</w:t>
      </w:r>
      <w:r w:rsidRPr="0044150C">
        <w:rPr>
          <w:rFonts w:ascii="Arial" w:eastAsia="Times New Roman" w:hAnsi="Arial" w:cs="Arial"/>
          <w:sz w:val="24"/>
          <w:szCs w:val="24"/>
          <w:lang w:val="en-GB" w:eastAsia="en-US"/>
        </w:rPr>
        <w:t>, does not provide for exceptions or exemptions and a claim of subsidization must be evidenced on the basis of positive evidence and facts. The lack of reasonable availability of information about the possible benefit cannot excuse a complainant</w:t>
      </w:r>
      <w:r w:rsidR="003A55D6" w:rsidRPr="0044150C">
        <w:rPr>
          <w:rFonts w:ascii="Arial" w:hAnsi="Arial" w:cs="Arial"/>
          <w:sz w:val="24"/>
          <w:szCs w:val="24"/>
          <w:lang w:val="en-GB"/>
        </w:rPr>
        <w:t xml:space="preserve"> </w:t>
      </w:r>
      <w:r w:rsidRPr="0044150C">
        <w:rPr>
          <w:rFonts w:ascii="Arial" w:eastAsia="Times New Roman" w:hAnsi="Arial" w:cs="Arial"/>
          <w:sz w:val="24"/>
          <w:szCs w:val="24"/>
          <w:lang w:val="en-GB" w:eastAsia="en-US"/>
        </w:rPr>
        <w:t xml:space="preserve">from the obligation to demonstrate the existence of benefit for the period concerned and with reference to </w:t>
      </w:r>
      <w:r w:rsidR="009C3948" w:rsidRPr="0044150C">
        <w:rPr>
          <w:rFonts w:ascii="Arial" w:hAnsi="Arial" w:cs="Arial"/>
          <w:sz w:val="24"/>
          <w:szCs w:val="24"/>
          <w:lang w:val="en-GB"/>
        </w:rPr>
        <w:t>boom lift</w:t>
      </w:r>
      <w:r w:rsidR="00816DDA" w:rsidRPr="0044150C">
        <w:rPr>
          <w:rFonts w:ascii="Arial" w:hAnsi="Arial" w:cs="Arial"/>
          <w:sz w:val="24"/>
          <w:szCs w:val="24"/>
          <w:lang w:val="en-GB"/>
        </w:rPr>
        <w:t>s</w:t>
      </w:r>
      <w:r w:rsidRPr="0044150C">
        <w:rPr>
          <w:rFonts w:ascii="Arial" w:eastAsia="Times New Roman" w:hAnsi="Arial" w:cs="Arial"/>
          <w:sz w:val="24"/>
          <w:szCs w:val="24"/>
          <w:lang w:val="en-GB" w:eastAsia="en-US"/>
        </w:rPr>
        <w:t>.</w:t>
      </w:r>
      <w:r w:rsidRPr="0044150C">
        <w:rPr>
          <w:rStyle w:val="ab"/>
          <w:rFonts w:ascii="Arial" w:eastAsia="Times New Roman" w:hAnsi="Arial" w:cs="Arial"/>
          <w:sz w:val="24"/>
          <w:szCs w:val="24"/>
          <w:lang w:val="en-GB" w:eastAsia="en-US"/>
        </w:rPr>
        <w:footnoteReference w:id="51"/>
      </w:r>
      <w:r w:rsidRPr="0044150C">
        <w:rPr>
          <w:rFonts w:ascii="Arial" w:eastAsia="Times New Roman" w:hAnsi="Arial" w:cs="Arial"/>
          <w:sz w:val="24"/>
          <w:szCs w:val="24"/>
          <w:lang w:val="en-GB" w:eastAsia="en-US"/>
        </w:rPr>
        <w:t xml:space="preserve"> </w:t>
      </w:r>
      <w:r w:rsidR="006512CB" w:rsidRPr="0044150C">
        <w:rPr>
          <w:rFonts w:ascii="Arial" w:hAnsi="Arial" w:cs="Arial"/>
          <w:color w:val="000000" w:themeColor="text1"/>
          <w:sz w:val="24"/>
          <w:szCs w:val="24"/>
          <w:lang w:val="en-GB" w:bidi="hi-IN"/>
          <w14:ligatures w14:val="standardContextual"/>
        </w:rPr>
        <w:t xml:space="preserve"> </w:t>
      </w:r>
    </w:p>
    <w:p w14:paraId="74CAC6F5" w14:textId="77777777" w:rsidR="00F23654" w:rsidRPr="0044150C" w:rsidRDefault="00F23654" w:rsidP="00F23654">
      <w:pPr>
        <w:pStyle w:val="a7"/>
        <w:ind w:right="95"/>
        <w:rPr>
          <w:rFonts w:ascii="Arial" w:hAnsi="Arial" w:cs="Arial"/>
          <w:sz w:val="24"/>
          <w:szCs w:val="24"/>
        </w:rPr>
      </w:pPr>
    </w:p>
    <w:p w14:paraId="223F9014" w14:textId="74D88E26" w:rsidR="00F23654" w:rsidRPr="0044150C" w:rsidRDefault="00F23654" w:rsidP="00A77481">
      <w:pPr>
        <w:pStyle w:val="a9"/>
        <w:widowControl w:val="0"/>
        <w:numPr>
          <w:ilvl w:val="0"/>
          <w:numId w:val="1"/>
        </w:numPr>
        <w:tabs>
          <w:tab w:val="left" w:pos="917"/>
        </w:tabs>
        <w:autoSpaceDE w:val="0"/>
        <w:autoSpaceDN w:val="0"/>
        <w:ind w:right="95" w:hanging="644"/>
        <w:contextualSpacing w:val="0"/>
        <w:rPr>
          <w:rFonts w:ascii="Arial" w:hAnsi="Arial" w:cs="Arial"/>
          <w:sz w:val="24"/>
          <w:szCs w:val="24"/>
          <w:lang w:val="en-GB"/>
        </w:rPr>
      </w:pPr>
      <w:r w:rsidRPr="0044150C">
        <w:rPr>
          <w:rFonts w:ascii="Arial" w:hAnsi="Arial" w:cs="Arial"/>
          <w:sz w:val="24"/>
          <w:szCs w:val="24"/>
          <w:lang w:val="en-GB"/>
        </w:rPr>
        <w:t xml:space="preserve">In any event, the Legislation Law of China provides that only the Constitution, </w:t>
      </w:r>
      <w:r w:rsidRPr="0044150C">
        <w:rPr>
          <w:rFonts w:ascii="Arial" w:hAnsi="Arial" w:cs="Arial"/>
          <w:sz w:val="24"/>
          <w:szCs w:val="24"/>
          <w:lang w:val="en-GB"/>
        </w:rPr>
        <w:lastRenderedPageBreak/>
        <w:t xml:space="preserve">laws, administrative regulations, and local regulations and rules constitute general legislation in China. The difference between these types of binding measures and non-mandatory plans is also clear from the fact that the plans do not contain actual legal provisions, sanctions, or rules on applicability. </w:t>
      </w:r>
      <w:r w:rsidR="001503E8" w:rsidRPr="0044150C">
        <w:rPr>
          <w:rFonts w:ascii="Arial" w:hAnsi="Arial" w:cs="Arial"/>
          <w:sz w:val="24"/>
          <w:szCs w:val="24"/>
          <w:lang w:val="en-GB"/>
        </w:rPr>
        <w:t>The GOC has clarified multiplied times in its responses to this investigation that Five-Year Plans is merely a guiding policy document</w:t>
      </w:r>
      <w:r w:rsidR="00F46591" w:rsidRPr="0044150C">
        <w:rPr>
          <w:rFonts w:ascii="Arial" w:hAnsi="Arial" w:cs="Arial"/>
          <w:sz w:val="24"/>
          <w:szCs w:val="24"/>
          <w:lang w:val="en-GB"/>
        </w:rPr>
        <w:t xml:space="preserve"> and it does not provide, grant, entrust or direct any entities to provide so-called “logistic support” to any entity, let alone specifically to bulky machinery</w:t>
      </w:r>
      <w:r w:rsidR="001503E8" w:rsidRPr="0044150C">
        <w:rPr>
          <w:rFonts w:ascii="Arial" w:hAnsi="Arial" w:cs="Arial"/>
          <w:sz w:val="24"/>
          <w:szCs w:val="24"/>
          <w:lang w:val="en-GB"/>
        </w:rPr>
        <w:t xml:space="preserve">. </w:t>
      </w:r>
      <w:r w:rsidR="00CB683B" w:rsidRPr="0044150C">
        <w:rPr>
          <w:rFonts w:ascii="Arial" w:hAnsi="Arial" w:cs="Arial"/>
          <w:sz w:val="24"/>
          <w:szCs w:val="24"/>
          <w:lang w:val="en-GB"/>
        </w:rPr>
        <w:t xml:space="preserve">The GOC disagrees that the nature of the industrial policies could be understood and interpreted as entrusting or directing the transportation companies to provide logistics and shipping services at below-market price to the </w:t>
      </w:r>
      <w:r w:rsidR="009C3948" w:rsidRPr="0044150C">
        <w:rPr>
          <w:rFonts w:ascii="Arial" w:hAnsi="Arial" w:cs="Arial"/>
          <w:sz w:val="24"/>
          <w:szCs w:val="24"/>
          <w:lang w:val="en-GB"/>
        </w:rPr>
        <w:t>boom lift</w:t>
      </w:r>
      <w:r w:rsidR="00816DDA" w:rsidRPr="0044150C">
        <w:rPr>
          <w:rFonts w:ascii="Arial" w:hAnsi="Arial" w:cs="Arial"/>
          <w:sz w:val="24"/>
          <w:szCs w:val="24"/>
          <w:lang w:val="en-GB"/>
        </w:rPr>
        <w:t>s</w:t>
      </w:r>
      <w:r w:rsidR="00CB683B" w:rsidRPr="0044150C">
        <w:rPr>
          <w:rFonts w:ascii="Arial" w:hAnsi="Arial" w:cs="Arial"/>
          <w:sz w:val="24"/>
          <w:szCs w:val="24"/>
          <w:lang w:val="en-GB"/>
        </w:rPr>
        <w:t xml:space="preserve"> industry or qualifying the transportation companies as public bodies. </w:t>
      </w:r>
      <w:r w:rsidRPr="0044150C">
        <w:rPr>
          <w:rFonts w:ascii="Arial" w:hAnsi="Arial" w:cs="Arial"/>
          <w:sz w:val="24"/>
          <w:szCs w:val="24"/>
          <w:lang w:val="en-GB"/>
        </w:rPr>
        <w:t>Therefore, to the extent that the Applicant has relied on these plans in its analysis of the alleged subsidization, its claims are based on a misperception of the policy and therefore not accurate and adequate evidence.</w:t>
      </w:r>
    </w:p>
    <w:p w14:paraId="11408D1A" w14:textId="77777777" w:rsidR="00F23654" w:rsidRPr="0044150C" w:rsidRDefault="00F23654" w:rsidP="00F23654">
      <w:pPr>
        <w:pStyle w:val="a9"/>
        <w:rPr>
          <w:rFonts w:ascii="Arial" w:eastAsiaTheme="minorHAnsi" w:hAnsi="Arial" w:cs="Arial"/>
          <w:color w:val="000000" w:themeColor="text1"/>
          <w:sz w:val="24"/>
          <w:szCs w:val="24"/>
          <w:lang w:val="en-GB" w:bidi="hi-IN"/>
          <w14:ligatures w14:val="standardContextual"/>
        </w:rPr>
      </w:pPr>
    </w:p>
    <w:p w14:paraId="71900F74" w14:textId="42589F15" w:rsidR="00906DDC" w:rsidRPr="0044150C" w:rsidRDefault="00906DDC" w:rsidP="00A77481">
      <w:pPr>
        <w:pStyle w:val="a9"/>
        <w:numPr>
          <w:ilvl w:val="0"/>
          <w:numId w:val="1"/>
        </w:numPr>
        <w:autoSpaceDE w:val="0"/>
        <w:autoSpaceDN w:val="0"/>
        <w:adjustRightInd w:val="0"/>
        <w:ind w:hanging="644"/>
        <w:contextualSpacing w:val="0"/>
        <w:rPr>
          <w:rFonts w:ascii="Arial" w:hAnsi="Arial" w:cs="Arial"/>
          <w:color w:val="000000" w:themeColor="text1"/>
          <w:sz w:val="24"/>
          <w:szCs w:val="24"/>
          <w:lang w:val="en-GB" w:bidi="hi-IN"/>
          <w14:ligatures w14:val="standardContextual"/>
        </w:rPr>
      </w:pPr>
      <w:r w:rsidRPr="0044150C">
        <w:rPr>
          <w:rFonts w:ascii="Arial" w:eastAsiaTheme="minorHAnsi" w:hAnsi="Arial" w:cs="Arial"/>
          <w:color w:val="000000" w:themeColor="text1"/>
          <w:sz w:val="24"/>
          <w:szCs w:val="24"/>
          <w:lang w:val="en-GB" w:bidi="hi-IN"/>
          <w14:ligatures w14:val="standardContextual"/>
        </w:rPr>
        <w:t xml:space="preserve">As a matter of fact, rail and ocean shipping services used by the respondent producers during the POI are provided by independent business entities operating on a commercial basis. They make decisions independently with respect to their day-to-day commercial operations, including, contract signing, price-setting, and commercial negotiations, without any interference or influence from any government agency. For ocean shipping services, pricing fluctuates in accordance with market dynamics and is closely linked to the international futures markets. The respondents’ purchases of international ocean shipping services during the POI did not result in a benefit in this case.  The international ocean shipping services market in China operates under market conditions, and the GOC does not interfere in or influence pricing in this market. </w:t>
      </w:r>
    </w:p>
    <w:p w14:paraId="2C62F3CA" w14:textId="77777777" w:rsidR="00906DDC" w:rsidRPr="0044150C" w:rsidRDefault="00906DDC" w:rsidP="00906DDC">
      <w:pPr>
        <w:pStyle w:val="a9"/>
        <w:autoSpaceDE w:val="0"/>
        <w:autoSpaceDN w:val="0"/>
        <w:adjustRightInd w:val="0"/>
        <w:ind w:left="644"/>
        <w:contextualSpacing w:val="0"/>
        <w:rPr>
          <w:rFonts w:ascii="Arial" w:hAnsi="Arial" w:cs="Arial"/>
          <w:color w:val="000000" w:themeColor="text1"/>
          <w:sz w:val="24"/>
          <w:szCs w:val="24"/>
          <w:lang w:val="en-GB" w:bidi="hi-IN"/>
          <w14:ligatures w14:val="standardContextual"/>
        </w:rPr>
      </w:pPr>
    </w:p>
    <w:p w14:paraId="3FB113F7" w14:textId="77777777" w:rsidR="00A77481" w:rsidRPr="0044150C" w:rsidRDefault="00A802DB" w:rsidP="00A77481">
      <w:pPr>
        <w:pStyle w:val="a9"/>
        <w:numPr>
          <w:ilvl w:val="0"/>
          <w:numId w:val="1"/>
        </w:numPr>
        <w:autoSpaceDE w:val="0"/>
        <w:autoSpaceDN w:val="0"/>
        <w:adjustRightInd w:val="0"/>
        <w:ind w:hanging="644"/>
        <w:contextualSpacing w:val="0"/>
        <w:rPr>
          <w:rFonts w:ascii="Arial" w:hAnsi="Arial" w:cs="Arial"/>
          <w:color w:val="000000" w:themeColor="text1"/>
          <w:sz w:val="24"/>
          <w:szCs w:val="24"/>
          <w:lang w:val="en-GB" w:bidi="hi-IN"/>
          <w14:ligatures w14:val="standardContextual"/>
        </w:rPr>
      </w:pPr>
      <w:r w:rsidRPr="0044150C">
        <w:rPr>
          <w:rFonts w:ascii="Arial" w:eastAsiaTheme="minorHAnsi" w:hAnsi="Arial" w:cs="Arial"/>
          <w:color w:val="000000" w:themeColor="text1"/>
          <w:sz w:val="24"/>
          <w:szCs w:val="24"/>
          <w:lang w:val="en-GB" w:bidi="hi-IN"/>
          <w14:ligatures w14:val="standardContextual"/>
        </w:rPr>
        <w:t xml:space="preserve">To conclude, the GOC considers that the </w:t>
      </w:r>
      <w:r w:rsidRPr="0044150C">
        <w:rPr>
          <w:rFonts w:ascii="Arial" w:hAnsi="Arial" w:cs="Arial"/>
          <w:color w:val="000000" w:themeColor="text1"/>
          <w:sz w:val="24"/>
          <w:szCs w:val="24"/>
          <w:lang w:val="en-GB" w:bidi="hi-IN"/>
          <w14:ligatures w14:val="standardContextual"/>
        </w:rPr>
        <w:t>Applicant provided</w:t>
      </w:r>
      <w:r w:rsidRPr="0044150C">
        <w:rPr>
          <w:rFonts w:ascii="Arial" w:eastAsiaTheme="minorHAnsi" w:hAnsi="Arial" w:cs="Arial"/>
          <w:color w:val="000000" w:themeColor="text1"/>
          <w:sz w:val="24"/>
          <w:szCs w:val="24"/>
          <w:lang w:val="en-GB" w:bidi="hi-IN"/>
          <w14:ligatures w14:val="standardContextual"/>
        </w:rPr>
        <w:t xml:space="preserve"> no evidence probative of the question whether the alleged provision of logistics</w:t>
      </w:r>
      <w:r w:rsidRPr="0044150C">
        <w:rPr>
          <w:rFonts w:ascii="Arial" w:hAnsi="Arial" w:cs="Arial"/>
          <w:color w:val="000000" w:themeColor="text1"/>
          <w:sz w:val="24"/>
          <w:szCs w:val="24"/>
          <w:lang w:val="en-GB" w:bidi="hi-IN"/>
          <w14:ligatures w14:val="standardContextual"/>
        </w:rPr>
        <w:t xml:space="preserve"> </w:t>
      </w:r>
      <w:r w:rsidRPr="0044150C">
        <w:rPr>
          <w:rFonts w:ascii="Arial" w:eastAsiaTheme="minorHAnsi" w:hAnsi="Arial" w:cs="Arial"/>
          <w:color w:val="000000" w:themeColor="text1"/>
          <w:sz w:val="24"/>
          <w:szCs w:val="24"/>
          <w:lang w:val="en-GB" w:bidi="hi-IN"/>
          <w14:ligatures w14:val="standardContextual"/>
        </w:rPr>
        <w:t xml:space="preserve">services at LTAR conferred a benefit on the </w:t>
      </w:r>
      <w:r w:rsidR="009C3948" w:rsidRPr="0044150C">
        <w:rPr>
          <w:rFonts w:ascii="Arial" w:hAnsi="Arial" w:cs="Arial"/>
          <w:color w:val="000000" w:themeColor="text1"/>
          <w:sz w:val="24"/>
          <w:szCs w:val="24"/>
          <w:lang w:val="en-GB" w:bidi="hi-IN"/>
          <w14:ligatures w14:val="standardContextual"/>
        </w:rPr>
        <w:t>boom lift</w:t>
      </w:r>
      <w:r w:rsidRPr="0044150C">
        <w:rPr>
          <w:rFonts w:ascii="Arial" w:eastAsiaTheme="minorHAnsi" w:hAnsi="Arial" w:cs="Arial"/>
          <w:color w:val="000000" w:themeColor="text1"/>
          <w:sz w:val="24"/>
          <w:szCs w:val="24"/>
          <w:lang w:val="en-GB" w:bidi="hi-IN"/>
          <w14:ligatures w14:val="standardContextual"/>
        </w:rPr>
        <w:t xml:space="preserve"> producers. </w:t>
      </w:r>
    </w:p>
    <w:p w14:paraId="0757AE78" w14:textId="77777777" w:rsidR="00A77481" w:rsidRPr="0044150C" w:rsidRDefault="00A77481" w:rsidP="00A77481">
      <w:pPr>
        <w:pStyle w:val="a9"/>
        <w:rPr>
          <w:rFonts w:ascii="Arial" w:hAnsi="Arial" w:cs="Arial"/>
          <w:color w:val="000000" w:themeColor="text1"/>
          <w:sz w:val="24"/>
          <w:szCs w:val="24"/>
          <w:lang w:val="en-GB" w:bidi="hi-IN"/>
          <w14:ligatures w14:val="standardContextual"/>
        </w:rPr>
      </w:pPr>
    </w:p>
    <w:p w14:paraId="217004EC" w14:textId="377E75FC" w:rsidR="00226C57" w:rsidRPr="0044150C" w:rsidRDefault="00A802DB" w:rsidP="00A77481">
      <w:pPr>
        <w:pStyle w:val="a9"/>
        <w:numPr>
          <w:ilvl w:val="0"/>
          <w:numId w:val="1"/>
        </w:numPr>
        <w:autoSpaceDE w:val="0"/>
        <w:autoSpaceDN w:val="0"/>
        <w:adjustRightInd w:val="0"/>
        <w:ind w:hanging="644"/>
        <w:contextualSpacing w:val="0"/>
        <w:rPr>
          <w:rFonts w:ascii="Arial" w:eastAsia="Times New Roman" w:hAnsi="Arial" w:cs="Arial"/>
          <w:color w:val="000000" w:themeColor="text1"/>
          <w:sz w:val="24"/>
          <w:szCs w:val="24"/>
          <w:lang w:val="en-GB" w:eastAsia="en-US"/>
        </w:rPr>
      </w:pPr>
      <w:r w:rsidRPr="0044150C">
        <w:rPr>
          <w:rFonts w:ascii="Arial" w:hAnsi="Arial" w:cs="Arial"/>
          <w:color w:val="000000" w:themeColor="text1"/>
          <w:sz w:val="24"/>
          <w:szCs w:val="24"/>
          <w:lang w:val="en-GB" w:bidi="hi-IN"/>
          <w14:ligatures w14:val="standardContextual"/>
        </w:rPr>
        <w:lastRenderedPageBreak/>
        <w:t>The GOC further submits that</w:t>
      </w:r>
      <w:r w:rsidR="00EE04E3" w:rsidRPr="0044150C">
        <w:rPr>
          <w:rFonts w:ascii="Arial" w:hAnsi="Arial" w:cs="Arial"/>
          <w:color w:val="000000" w:themeColor="text1"/>
          <w:sz w:val="24"/>
          <w:szCs w:val="24"/>
          <w:lang w:val="en-GB" w:bidi="hi-IN"/>
          <w14:ligatures w14:val="standardContextual"/>
        </w:rPr>
        <w:t xml:space="preserve"> </w:t>
      </w:r>
      <w:r w:rsidR="00226C57" w:rsidRPr="0044150C">
        <w:rPr>
          <w:rFonts w:ascii="Arial" w:hAnsi="Arial" w:cs="Arial"/>
          <w:color w:val="000000" w:themeColor="text1"/>
          <w:sz w:val="24"/>
          <w:szCs w:val="24"/>
          <w:lang w:val="en-GB" w:bidi="hi-IN"/>
          <w14:ligatures w14:val="standardContextual"/>
        </w:rPr>
        <w:t xml:space="preserve">the Applicant provided no evidence of specificity of alleged </w:t>
      </w:r>
      <w:r w:rsidR="00EE04E3" w:rsidRPr="0044150C">
        <w:rPr>
          <w:rFonts w:ascii="Arial" w:hAnsi="Arial" w:cs="Arial"/>
          <w:color w:val="000000" w:themeColor="text1"/>
          <w:sz w:val="24"/>
          <w:szCs w:val="24"/>
          <w:lang w:val="en-GB" w:bidi="hi-IN"/>
          <w14:ligatures w14:val="standardContextual"/>
        </w:rPr>
        <w:t>international shipping for LTAR</w:t>
      </w:r>
      <w:r w:rsidR="00226C57" w:rsidRPr="0044150C">
        <w:rPr>
          <w:rFonts w:ascii="Arial" w:hAnsi="Arial" w:cs="Arial"/>
          <w:color w:val="000000" w:themeColor="text1"/>
          <w:sz w:val="24"/>
          <w:szCs w:val="24"/>
          <w:lang w:val="en-GB" w:bidi="hi-IN"/>
          <w14:ligatures w14:val="standardContextual"/>
        </w:rPr>
        <w:t xml:space="preserve">. </w:t>
      </w:r>
      <w:r w:rsidR="00226C57" w:rsidRPr="0044150C">
        <w:rPr>
          <w:rFonts w:ascii="Arial" w:eastAsiaTheme="minorHAnsi" w:hAnsi="Arial" w:cs="Arial"/>
          <w:color w:val="000000" w:themeColor="text1"/>
          <w:sz w:val="24"/>
          <w:szCs w:val="24"/>
          <w:lang w:val="en-GB" w:eastAsia="en-US" w:bidi="hi-IN"/>
          <w14:ligatures w14:val="standardContextual"/>
        </w:rPr>
        <w:t>The</w:t>
      </w:r>
      <w:r w:rsidR="00226C57" w:rsidRPr="0044150C">
        <w:rPr>
          <w:rFonts w:ascii="Arial" w:hAnsi="Arial" w:cs="Arial"/>
          <w:color w:val="000000" w:themeColor="text1"/>
          <w:sz w:val="24"/>
          <w:szCs w:val="24"/>
          <w:lang w:val="en-GB" w:bidi="hi-IN"/>
          <w14:ligatures w14:val="standardContextual"/>
        </w:rPr>
        <w:t xml:space="preserve"> GOC notes that the Applicant</w:t>
      </w:r>
      <w:r w:rsidR="00226C57" w:rsidRPr="0044150C">
        <w:rPr>
          <w:rFonts w:ascii="Arial" w:eastAsiaTheme="minorHAnsi" w:hAnsi="Arial" w:cs="Arial"/>
          <w:color w:val="000000" w:themeColor="text1"/>
          <w:sz w:val="24"/>
          <w:szCs w:val="24"/>
          <w:lang w:val="en-GB" w:eastAsia="en-US" w:bidi="hi-IN"/>
          <w14:ligatures w14:val="standardContextual"/>
        </w:rPr>
        <w:t xml:space="preserve"> merely claimed that the alleged shipping and logistics services </w:t>
      </w:r>
      <w:r w:rsidR="00226C57" w:rsidRPr="0044150C">
        <w:rPr>
          <w:rFonts w:ascii="Arial" w:hAnsi="Arial" w:cs="Arial"/>
          <w:color w:val="000000" w:themeColor="text1"/>
          <w:sz w:val="24"/>
          <w:szCs w:val="24"/>
          <w:lang w:val="en-GB" w:bidi="hi-IN"/>
          <w14:ligatures w14:val="standardContextual"/>
        </w:rPr>
        <w:t>for LTAR</w:t>
      </w:r>
      <w:r w:rsidR="00226C57" w:rsidRPr="0044150C">
        <w:rPr>
          <w:rFonts w:ascii="Arial" w:eastAsiaTheme="minorHAnsi" w:hAnsi="Arial" w:cs="Arial"/>
          <w:color w:val="000000" w:themeColor="text1"/>
          <w:sz w:val="24"/>
          <w:szCs w:val="24"/>
          <w:lang w:val="en-GB" w:eastAsia="en-US" w:bidi="hi-IN"/>
          <w14:ligatures w14:val="standardContextual"/>
        </w:rPr>
        <w:t xml:space="preserve"> is specific</w:t>
      </w:r>
      <w:r w:rsidR="00226C57" w:rsidRPr="0044150C">
        <w:rPr>
          <w:rFonts w:ascii="Arial" w:hAnsi="Arial" w:cs="Arial"/>
          <w:color w:val="000000" w:themeColor="text1"/>
          <w:sz w:val="24"/>
          <w:szCs w:val="24"/>
          <w:lang w:val="en-GB" w:bidi="hi-IN"/>
          <w14:ligatures w14:val="standardContextual"/>
        </w:rPr>
        <w:t xml:space="preserve"> </w:t>
      </w:r>
      <w:r w:rsidR="00226C57" w:rsidRPr="0044150C">
        <w:rPr>
          <w:rFonts w:ascii="Arial" w:eastAsiaTheme="minorHAnsi" w:hAnsi="Arial" w:cs="Arial"/>
          <w:color w:val="000000" w:themeColor="text1"/>
          <w:sz w:val="24"/>
          <w:szCs w:val="24"/>
          <w:lang w:val="en-GB" w:eastAsia="en-US" w:bidi="hi-IN"/>
          <w14:ligatures w14:val="standardContextual"/>
        </w:rPr>
        <w:t xml:space="preserve">because the </w:t>
      </w:r>
      <w:r w:rsidR="009C3948" w:rsidRPr="0044150C">
        <w:rPr>
          <w:rFonts w:ascii="Arial" w:eastAsiaTheme="minorHAnsi" w:hAnsi="Arial" w:cs="Arial"/>
          <w:color w:val="000000" w:themeColor="text1"/>
          <w:sz w:val="24"/>
          <w:szCs w:val="24"/>
          <w:lang w:val="en-GB" w:eastAsia="en-US" w:bidi="hi-IN"/>
          <w14:ligatures w14:val="standardContextual"/>
        </w:rPr>
        <w:t>boom lift</w:t>
      </w:r>
      <w:r w:rsidR="00AA3642" w:rsidRPr="0044150C">
        <w:rPr>
          <w:rFonts w:ascii="Arial" w:eastAsiaTheme="minorHAnsi" w:hAnsi="Arial" w:cs="Arial"/>
          <w:color w:val="000000" w:themeColor="text1"/>
          <w:sz w:val="24"/>
          <w:szCs w:val="24"/>
          <w:lang w:val="en-GB" w:eastAsia="en-US" w:bidi="hi-IN"/>
          <w14:ligatures w14:val="standardContextual"/>
        </w:rPr>
        <w:t>s belongs to bulky machinery like MAE or</w:t>
      </w:r>
      <w:r w:rsidR="00226C57" w:rsidRPr="0044150C">
        <w:rPr>
          <w:rFonts w:ascii="Arial" w:eastAsiaTheme="minorHAnsi" w:hAnsi="Arial" w:cs="Arial"/>
          <w:color w:val="000000" w:themeColor="text1"/>
          <w:sz w:val="24"/>
          <w:szCs w:val="24"/>
          <w:lang w:val="en-GB" w:eastAsia="en-US" w:bidi="hi-IN"/>
          <w14:ligatures w14:val="standardContextual"/>
        </w:rPr>
        <w:t xml:space="preserve"> an encouraged</w:t>
      </w:r>
      <w:r w:rsidR="00226C57" w:rsidRPr="0044150C">
        <w:rPr>
          <w:rFonts w:ascii="Arial" w:hAnsi="Arial" w:cs="Arial"/>
          <w:color w:val="000000" w:themeColor="text1"/>
          <w:sz w:val="24"/>
          <w:szCs w:val="24"/>
          <w:lang w:val="en-GB" w:bidi="hi-IN"/>
          <w14:ligatures w14:val="standardContextual"/>
        </w:rPr>
        <w:t xml:space="preserve"> </w:t>
      </w:r>
      <w:r w:rsidR="00226C57" w:rsidRPr="0044150C">
        <w:rPr>
          <w:rFonts w:ascii="Arial" w:eastAsiaTheme="minorHAnsi" w:hAnsi="Arial" w:cs="Arial"/>
          <w:color w:val="000000" w:themeColor="text1"/>
          <w:sz w:val="24"/>
          <w:szCs w:val="24"/>
          <w:lang w:val="en-GB" w:eastAsia="en-US" w:bidi="hi-IN"/>
          <w14:ligatures w14:val="standardContextual"/>
        </w:rPr>
        <w:t>industry, and as the reduction of costs for shipping for the manufacturing</w:t>
      </w:r>
      <w:r w:rsidR="00226C57" w:rsidRPr="0044150C">
        <w:rPr>
          <w:rFonts w:ascii="Arial" w:hAnsi="Arial" w:cs="Arial"/>
          <w:color w:val="000000" w:themeColor="text1"/>
          <w:sz w:val="24"/>
          <w:szCs w:val="24"/>
          <w:lang w:val="en-GB" w:bidi="hi-IN"/>
          <w14:ligatures w14:val="standardContextual"/>
        </w:rPr>
        <w:t xml:space="preserve"> </w:t>
      </w:r>
      <w:r w:rsidR="00226C57" w:rsidRPr="0044150C">
        <w:rPr>
          <w:rFonts w:ascii="Arial" w:eastAsiaTheme="minorHAnsi" w:hAnsi="Arial" w:cs="Arial"/>
          <w:color w:val="000000" w:themeColor="text1"/>
          <w:sz w:val="24"/>
          <w:szCs w:val="24"/>
          <w:lang w:val="en-GB" w:eastAsia="en-US" w:bidi="hi-IN"/>
          <w14:ligatures w14:val="standardContextual"/>
        </w:rPr>
        <w:t xml:space="preserve">sector is provided for in FYP14. </w:t>
      </w:r>
      <w:r w:rsidR="00F23654" w:rsidRPr="0044150C">
        <w:rPr>
          <w:rFonts w:ascii="Arial" w:eastAsiaTheme="minorHAnsi" w:hAnsi="Arial" w:cs="Arial"/>
          <w:color w:val="000000" w:themeColor="text1"/>
          <w:sz w:val="24"/>
          <w:szCs w:val="24"/>
          <w:lang w:val="en-GB" w:eastAsia="en-US" w:bidi="hi-IN"/>
          <w14:ligatures w14:val="standardContextual"/>
        </w:rPr>
        <w:t>The Applicant’s reliance on the 14th Five-Year Plan</w:t>
      </w:r>
      <w:r w:rsidR="008260C7" w:rsidRPr="0044150C">
        <w:rPr>
          <w:rFonts w:ascii="Arial" w:hAnsi="Arial" w:cs="Arial"/>
          <w:color w:val="000000" w:themeColor="text1"/>
          <w:sz w:val="24"/>
          <w:szCs w:val="24"/>
          <w:lang w:val="en-GB" w:bidi="hi-IN"/>
          <w14:ligatures w14:val="standardContextual"/>
        </w:rPr>
        <w:t xml:space="preserve"> are</w:t>
      </w:r>
      <w:r w:rsidR="00F23654" w:rsidRPr="0044150C">
        <w:rPr>
          <w:rFonts w:ascii="Arial" w:eastAsiaTheme="minorHAnsi" w:hAnsi="Arial" w:cs="Arial"/>
          <w:color w:val="000000" w:themeColor="text1"/>
          <w:sz w:val="24"/>
          <w:szCs w:val="24"/>
          <w:lang w:val="en-GB" w:eastAsia="en-US" w:bidi="hi-IN"/>
          <w14:ligatures w14:val="standardContextual"/>
        </w:rPr>
        <w:t xml:space="preserve"> also misplaced. Moreover, and in any event, this plan does not mention </w:t>
      </w:r>
      <w:r w:rsidR="009C3948" w:rsidRPr="0044150C">
        <w:rPr>
          <w:rFonts w:ascii="Arial" w:hAnsi="Arial" w:cs="Arial"/>
          <w:color w:val="000000" w:themeColor="text1"/>
          <w:sz w:val="24"/>
          <w:szCs w:val="24"/>
          <w:lang w:val="en-GB" w:bidi="hi-IN"/>
          <w14:ligatures w14:val="standardContextual"/>
        </w:rPr>
        <w:t>boom lift</w:t>
      </w:r>
      <w:r w:rsidR="00F23654" w:rsidRPr="0044150C">
        <w:rPr>
          <w:rFonts w:ascii="Arial" w:hAnsi="Arial" w:cs="Arial"/>
          <w:color w:val="000000" w:themeColor="text1"/>
          <w:sz w:val="24"/>
          <w:szCs w:val="24"/>
          <w:lang w:val="en-GB" w:bidi="hi-IN"/>
          <w14:ligatures w14:val="standardContextual"/>
        </w:rPr>
        <w:t xml:space="preserve"> indus</w:t>
      </w:r>
      <w:r w:rsidR="008260C7" w:rsidRPr="0044150C">
        <w:rPr>
          <w:rFonts w:ascii="Arial" w:hAnsi="Arial" w:cs="Arial"/>
          <w:color w:val="000000" w:themeColor="text1"/>
          <w:sz w:val="24"/>
          <w:szCs w:val="24"/>
          <w:lang w:val="en-GB" w:bidi="hi-IN"/>
          <w14:ligatures w14:val="standardContextual"/>
        </w:rPr>
        <w:t>try</w:t>
      </w:r>
      <w:r w:rsidR="00F23654" w:rsidRPr="0044150C">
        <w:rPr>
          <w:rFonts w:ascii="Arial" w:eastAsiaTheme="minorHAnsi" w:hAnsi="Arial" w:cs="Arial"/>
          <w:color w:val="000000" w:themeColor="text1"/>
          <w:sz w:val="24"/>
          <w:szCs w:val="24"/>
          <w:lang w:val="en-GB" w:eastAsia="en-US" w:bidi="hi-IN"/>
          <w14:ligatures w14:val="standardContextual"/>
        </w:rPr>
        <w:t xml:space="preserve">. </w:t>
      </w:r>
      <w:r w:rsidR="00226C57" w:rsidRPr="0044150C">
        <w:rPr>
          <w:rFonts w:ascii="Arial" w:eastAsiaTheme="minorHAnsi" w:hAnsi="Arial" w:cs="Arial"/>
          <w:color w:val="000000" w:themeColor="text1"/>
          <w:sz w:val="24"/>
          <w:szCs w:val="24"/>
          <w:lang w:val="en-GB" w:eastAsia="en-US" w:bidi="hi-IN"/>
          <w14:ligatures w14:val="standardContextual"/>
        </w:rPr>
        <w:t xml:space="preserve">There is no indication of the legal basis and type of specificity suggested by the </w:t>
      </w:r>
      <w:r w:rsidR="00F23654" w:rsidRPr="0044150C">
        <w:rPr>
          <w:rFonts w:ascii="Arial" w:hAnsi="Arial" w:cs="Arial"/>
          <w:color w:val="000000" w:themeColor="text1"/>
          <w:sz w:val="24"/>
          <w:szCs w:val="24"/>
          <w:lang w:val="en-GB" w:bidi="hi-IN"/>
          <w14:ligatures w14:val="standardContextual"/>
        </w:rPr>
        <w:t>Applicant</w:t>
      </w:r>
      <w:r w:rsidR="00226C57" w:rsidRPr="0044150C">
        <w:rPr>
          <w:rFonts w:ascii="Arial" w:eastAsiaTheme="minorHAnsi" w:hAnsi="Arial" w:cs="Arial"/>
          <w:color w:val="000000" w:themeColor="text1"/>
          <w:sz w:val="24"/>
          <w:szCs w:val="24"/>
          <w:lang w:val="en-GB" w:eastAsia="en-US" w:bidi="hi-IN"/>
          <w14:ligatures w14:val="standardContextual"/>
        </w:rPr>
        <w:t xml:space="preserve"> pursuant to Article 2 of the SCM Agreement. </w:t>
      </w:r>
    </w:p>
    <w:p w14:paraId="3678102B" w14:textId="77777777" w:rsidR="00A77481" w:rsidRPr="0044150C" w:rsidRDefault="00A77481" w:rsidP="00A77481">
      <w:pPr>
        <w:pStyle w:val="a9"/>
        <w:rPr>
          <w:rFonts w:ascii="Arial" w:eastAsia="Times New Roman" w:hAnsi="Arial" w:cs="Arial"/>
          <w:color w:val="000000" w:themeColor="text1"/>
          <w:sz w:val="24"/>
          <w:szCs w:val="24"/>
          <w:lang w:val="en-GB" w:eastAsia="en-US"/>
        </w:rPr>
      </w:pPr>
    </w:p>
    <w:p w14:paraId="7AF36CFC" w14:textId="77777777" w:rsidR="00A77481" w:rsidRPr="0044150C" w:rsidRDefault="00226C57" w:rsidP="00A77481">
      <w:pPr>
        <w:pStyle w:val="a9"/>
        <w:numPr>
          <w:ilvl w:val="0"/>
          <w:numId w:val="1"/>
        </w:numPr>
        <w:autoSpaceDE w:val="0"/>
        <w:autoSpaceDN w:val="0"/>
        <w:adjustRightInd w:val="0"/>
        <w:ind w:hanging="644"/>
        <w:contextualSpacing w:val="0"/>
        <w:rPr>
          <w:rFonts w:ascii="Arial" w:eastAsia="Times New Roman" w:hAnsi="Arial" w:cs="Arial"/>
          <w:color w:val="000000" w:themeColor="text1"/>
          <w:sz w:val="24"/>
          <w:szCs w:val="24"/>
          <w:lang w:val="en-GB" w:eastAsia="en-US"/>
        </w:rPr>
      </w:pPr>
      <w:r w:rsidRPr="0044150C">
        <w:rPr>
          <w:rFonts w:ascii="Arial" w:eastAsiaTheme="minorHAnsi" w:hAnsi="Arial" w:cs="Arial"/>
          <w:color w:val="000000" w:themeColor="text1"/>
          <w:sz w:val="24"/>
          <w:szCs w:val="24"/>
          <w:lang w:val="en-GB" w:eastAsia="en-US" w:bidi="hi-IN"/>
          <w14:ligatures w14:val="standardContextual"/>
        </w:rPr>
        <w:t>To the extent the use of the term “</w:t>
      </w:r>
      <w:r w:rsidRPr="0044150C">
        <w:rPr>
          <w:rFonts w:ascii="Arial" w:eastAsiaTheme="minorHAnsi" w:hAnsi="Arial" w:cs="Arial"/>
          <w:i/>
          <w:iCs/>
          <w:color w:val="000000" w:themeColor="text1"/>
          <w:sz w:val="24"/>
          <w:szCs w:val="24"/>
          <w:lang w:val="en-GB" w:eastAsia="en-US" w:bidi="hi-IN"/>
          <w14:ligatures w14:val="standardContextual"/>
        </w:rPr>
        <w:t xml:space="preserve">encouraged </w:t>
      </w:r>
      <w:r w:rsidR="00983835" w:rsidRPr="0044150C">
        <w:rPr>
          <w:rFonts w:ascii="Arial" w:hAnsi="Arial" w:cs="Arial"/>
          <w:i/>
          <w:iCs/>
          <w:color w:val="000000" w:themeColor="text1"/>
          <w:sz w:val="24"/>
          <w:szCs w:val="24"/>
          <w:lang w:val="en-GB" w:bidi="hi-IN"/>
          <w14:ligatures w14:val="standardContextual"/>
        </w:rPr>
        <w:t>industry</w:t>
      </w:r>
      <w:r w:rsidRPr="0044150C">
        <w:rPr>
          <w:rFonts w:ascii="Arial" w:eastAsiaTheme="minorHAnsi" w:hAnsi="Arial" w:cs="Arial"/>
          <w:color w:val="000000" w:themeColor="text1"/>
          <w:sz w:val="24"/>
          <w:szCs w:val="24"/>
          <w:lang w:val="en-GB" w:eastAsia="en-US" w:bidi="hi-IN"/>
          <w14:ligatures w14:val="standardContextual"/>
        </w:rPr>
        <w:t>”</w:t>
      </w:r>
      <w:r w:rsidRPr="0044150C">
        <w:rPr>
          <w:rFonts w:ascii="Arial" w:eastAsia="Times New Roman" w:hAnsi="Arial" w:cs="Arial"/>
          <w:color w:val="000000" w:themeColor="text1"/>
          <w:sz w:val="24"/>
          <w:szCs w:val="24"/>
          <w:lang w:val="en-GB" w:eastAsia="en-US"/>
        </w:rPr>
        <w:t xml:space="preserve"> by the </w:t>
      </w:r>
      <w:r w:rsidR="00983835" w:rsidRPr="0044150C">
        <w:rPr>
          <w:rFonts w:ascii="Arial" w:hAnsi="Arial" w:cs="Arial"/>
          <w:color w:val="000000" w:themeColor="text1"/>
          <w:sz w:val="24"/>
          <w:szCs w:val="24"/>
          <w:lang w:val="en-GB"/>
        </w:rPr>
        <w:t>Applicant</w:t>
      </w:r>
      <w:r w:rsidRPr="0044150C">
        <w:rPr>
          <w:rFonts w:ascii="Arial" w:eastAsia="Times New Roman" w:hAnsi="Arial" w:cs="Arial"/>
          <w:color w:val="000000" w:themeColor="text1"/>
          <w:sz w:val="24"/>
          <w:szCs w:val="24"/>
          <w:lang w:val="en-GB" w:eastAsia="en-US"/>
        </w:rPr>
        <w:t xml:space="preserve"> is to be understood to mean that the </w:t>
      </w:r>
      <w:r w:rsidR="00983835" w:rsidRPr="0044150C">
        <w:rPr>
          <w:rFonts w:ascii="Arial" w:hAnsi="Arial" w:cs="Arial"/>
          <w:color w:val="000000" w:themeColor="text1"/>
          <w:sz w:val="24"/>
          <w:szCs w:val="24"/>
          <w:lang w:val="en-GB"/>
        </w:rPr>
        <w:t>Applicant</w:t>
      </w:r>
      <w:r w:rsidRPr="0044150C">
        <w:rPr>
          <w:rFonts w:ascii="Arial" w:eastAsia="Times New Roman" w:hAnsi="Arial" w:cs="Arial"/>
          <w:color w:val="000000" w:themeColor="text1"/>
          <w:sz w:val="24"/>
          <w:szCs w:val="24"/>
          <w:lang w:val="en-GB" w:eastAsia="en-US"/>
        </w:rPr>
        <w:t xml:space="preserve"> considers that there is </w:t>
      </w:r>
      <w:r w:rsidRPr="0044150C">
        <w:rPr>
          <w:rFonts w:ascii="Arial" w:hAnsi="Arial" w:cs="Arial"/>
          <w:i/>
          <w:color w:val="000000" w:themeColor="text1"/>
          <w:sz w:val="24"/>
          <w:szCs w:val="24"/>
          <w:lang w:val="en-GB"/>
        </w:rPr>
        <w:t>de jure</w:t>
      </w:r>
      <w:r w:rsidRPr="0044150C">
        <w:rPr>
          <w:rFonts w:ascii="Arial" w:hAnsi="Arial" w:cs="Arial"/>
          <w:color w:val="000000" w:themeColor="text1"/>
          <w:sz w:val="24"/>
          <w:szCs w:val="24"/>
          <w:lang w:val="en-GB"/>
        </w:rPr>
        <w:t xml:space="preserve"> specificity within the meaning of Article 2.1(a) of the SCM Agreement -- pursuant to which a subsidy is specific if the granting authority, or the legislation pursuant to which the granting authority operates, explicitly limits access to that subsidy to eligible enterprises or industries -- </w:t>
      </w:r>
      <w:r w:rsidRPr="0044150C">
        <w:rPr>
          <w:rFonts w:ascii="Arial" w:eastAsia="Times New Roman" w:hAnsi="Arial" w:cs="Arial"/>
          <w:color w:val="000000" w:themeColor="text1"/>
          <w:sz w:val="24"/>
          <w:szCs w:val="24"/>
          <w:lang w:val="en-GB" w:eastAsia="en-US"/>
        </w:rPr>
        <w:t xml:space="preserve">in line with the Appellate Body ruling in </w:t>
      </w:r>
      <w:r w:rsidRPr="0044150C">
        <w:rPr>
          <w:rFonts w:ascii="Arial" w:eastAsia="Times New Roman" w:hAnsi="Arial" w:cs="Arial"/>
          <w:i/>
          <w:color w:val="000000" w:themeColor="text1"/>
          <w:sz w:val="24"/>
          <w:szCs w:val="24"/>
          <w:lang w:val="en-GB" w:eastAsia="en-US"/>
        </w:rPr>
        <w:t xml:space="preserve">US </w:t>
      </w:r>
      <w:r w:rsidRPr="0044150C">
        <w:rPr>
          <w:rFonts w:ascii="Arial" w:hAnsi="Arial" w:cs="Arial"/>
          <w:i/>
          <w:iCs/>
          <w:color w:val="000000" w:themeColor="text1"/>
          <w:sz w:val="24"/>
          <w:szCs w:val="24"/>
          <w:lang w:val="en-GB" w:bidi="hi-IN"/>
        </w:rPr>
        <w:t>–</w:t>
      </w:r>
      <w:r w:rsidRPr="0044150C">
        <w:rPr>
          <w:rFonts w:ascii="Arial" w:eastAsia="Times New Roman" w:hAnsi="Arial" w:cs="Arial"/>
          <w:i/>
          <w:color w:val="000000" w:themeColor="text1"/>
          <w:sz w:val="24"/>
          <w:szCs w:val="24"/>
          <w:lang w:val="en-GB" w:eastAsia="en-US"/>
        </w:rPr>
        <w:t xml:space="preserve"> Countervailing Measures (China),</w:t>
      </w:r>
      <w:r w:rsidRPr="0044150C">
        <w:rPr>
          <w:rFonts w:ascii="Arial" w:eastAsia="Times New Roman" w:hAnsi="Arial" w:cs="Arial"/>
          <w:color w:val="000000" w:themeColor="text1"/>
          <w:sz w:val="24"/>
          <w:szCs w:val="24"/>
          <w:lang w:val="en-GB" w:eastAsia="en-US"/>
        </w:rPr>
        <w:t xml:space="preserve"> it was incumbent upon the Commission to (a) identify the granting authority, and (b) at a minimum establish that the legislation pursuant to which the granting authority operates expressly limits access to the alleged subsidy to certain industries. No information was however given on these two legal elements by the </w:t>
      </w:r>
      <w:r w:rsidR="00F23654" w:rsidRPr="0044150C">
        <w:rPr>
          <w:rFonts w:ascii="Arial" w:hAnsi="Arial" w:cs="Arial"/>
          <w:color w:val="000000" w:themeColor="text1"/>
          <w:sz w:val="24"/>
          <w:szCs w:val="24"/>
          <w:lang w:val="en-GB"/>
        </w:rPr>
        <w:t>Applicant</w:t>
      </w:r>
      <w:r w:rsidRPr="0044150C">
        <w:rPr>
          <w:rFonts w:ascii="Arial" w:eastAsia="Times New Roman" w:hAnsi="Arial" w:cs="Arial"/>
          <w:color w:val="000000" w:themeColor="text1"/>
          <w:sz w:val="24"/>
          <w:szCs w:val="24"/>
          <w:lang w:val="en-GB" w:eastAsia="en-US"/>
        </w:rPr>
        <w:t>.</w:t>
      </w:r>
      <w:r w:rsidRPr="0044150C">
        <w:rPr>
          <w:rStyle w:val="ab"/>
          <w:rFonts w:ascii="Arial" w:eastAsia="Times New Roman" w:hAnsi="Arial" w:cs="Arial"/>
          <w:color w:val="000000" w:themeColor="text1"/>
          <w:sz w:val="24"/>
          <w:szCs w:val="24"/>
          <w:lang w:val="en-GB" w:eastAsia="en-US"/>
        </w:rPr>
        <w:footnoteReference w:id="52"/>
      </w:r>
    </w:p>
    <w:p w14:paraId="67A9048B" w14:textId="77777777" w:rsidR="00A77481" w:rsidRPr="0044150C" w:rsidRDefault="00A77481" w:rsidP="00A77481">
      <w:pPr>
        <w:pStyle w:val="a9"/>
        <w:rPr>
          <w:rFonts w:ascii="Arial" w:hAnsi="Arial" w:cs="Arial"/>
          <w:color w:val="000000" w:themeColor="text1"/>
          <w:sz w:val="24"/>
          <w:szCs w:val="24"/>
          <w:lang w:val="en-GB" w:bidi="hi-IN"/>
          <w14:ligatures w14:val="standardContextual"/>
        </w:rPr>
      </w:pPr>
    </w:p>
    <w:p w14:paraId="37CF8F60" w14:textId="3E7072DD" w:rsidR="00906DDC" w:rsidRPr="0044150C" w:rsidRDefault="003A55D6" w:rsidP="00A77481">
      <w:pPr>
        <w:pStyle w:val="a9"/>
        <w:numPr>
          <w:ilvl w:val="0"/>
          <w:numId w:val="1"/>
        </w:numPr>
        <w:autoSpaceDE w:val="0"/>
        <w:autoSpaceDN w:val="0"/>
        <w:adjustRightInd w:val="0"/>
        <w:ind w:hanging="644"/>
        <w:contextualSpacing w:val="0"/>
        <w:rPr>
          <w:rFonts w:ascii="Arial" w:eastAsia="Times New Roman" w:hAnsi="Arial" w:cs="Arial"/>
          <w:color w:val="000000" w:themeColor="text1"/>
          <w:sz w:val="24"/>
          <w:szCs w:val="24"/>
          <w:lang w:val="en-GB" w:eastAsia="en-US"/>
        </w:rPr>
      </w:pPr>
      <w:r w:rsidRPr="0044150C">
        <w:rPr>
          <w:rFonts w:ascii="Arial" w:hAnsi="Arial" w:cs="Arial"/>
          <w:color w:val="000000" w:themeColor="text1"/>
          <w:sz w:val="24"/>
          <w:szCs w:val="24"/>
          <w:lang w:val="en-GB" w:bidi="hi-IN"/>
          <w14:ligatures w14:val="standardContextual"/>
        </w:rPr>
        <w:t xml:space="preserve">The GOC submits that </w:t>
      </w:r>
      <w:r w:rsidR="00EE04E3" w:rsidRPr="0044150C">
        <w:rPr>
          <w:rFonts w:ascii="Arial" w:hAnsi="Arial" w:cs="Arial"/>
          <w:color w:val="000000" w:themeColor="text1"/>
          <w:sz w:val="24"/>
          <w:szCs w:val="24"/>
          <w:lang w:val="en-GB" w:bidi="hi-IN"/>
          <w14:ligatures w14:val="standardContextual"/>
        </w:rPr>
        <w:t xml:space="preserve">information in relation to the specificity factors </w:t>
      </w:r>
      <w:r w:rsidRPr="0044150C">
        <w:rPr>
          <w:rFonts w:ascii="Arial" w:hAnsi="Arial" w:cs="Arial"/>
          <w:color w:val="000000" w:themeColor="text1"/>
          <w:sz w:val="24"/>
          <w:szCs w:val="24"/>
          <w:lang w:val="en-GB" w:bidi="hi-IN"/>
          <w14:ligatures w14:val="standardContextual"/>
        </w:rPr>
        <w:t xml:space="preserve">shall be </w:t>
      </w:r>
      <w:r w:rsidR="00EE04E3" w:rsidRPr="0044150C">
        <w:rPr>
          <w:rFonts w:ascii="Arial" w:hAnsi="Arial" w:cs="Arial"/>
          <w:color w:val="000000" w:themeColor="text1"/>
          <w:sz w:val="24"/>
          <w:szCs w:val="24"/>
          <w:lang w:val="en-GB" w:bidi="hi-IN"/>
          <w14:ligatures w14:val="standardContextual"/>
        </w:rPr>
        <w:t>distinguish</w:t>
      </w:r>
      <w:r w:rsidRPr="0044150C">
        <w:rPr>
          <w:rFonts w:ascii="Arial" w:hAnsi="Arial" w:cs="Arial"/>
          <w:color w:val="000000" w:themeColor="text1"/>
          <w:sz w:val="24"/>
          <w:szCs w:val="24"/>
          <w:lang w:val="en-GB" w:bidi="hi-IN"/>
          <w14:ligatures w14:val="standardContextual"/>
        </w:rPr>
        <w:t>ed</w:t>
      </w:r>
      <w:r w:rsidR="00EE04E3" w:rsidRPr="0044150C">
        <w:rPr>
          <w:rFonts w:ascii="Arial" w:hAnsi="Arial" w:cs="Arial"/>
          <w:color w:val="000000" w:themeColor="text1"/>
          <w:sz w:val="24"/>
          <w:szCs w:val="24"/>
          <w:lang w:val="en-GB" w:bidi="hi-IN"/>
          <w14:ligatures w14:val="standardContextual"/>
        </w:rPr>
        <w:t xml:space="preserve"> between broad development goals or economic policy, and specific program objectives and criteria. </w:t>
      </w:r>
      <w:r w:rsidRPr="0044150C">
        <w:rPr>
          <w:rFonts w:ascii="Arial" w:hAnsi="Arial" w:cs="Arial"/>
          <w:color w:val="000000" w:themeColor="text1"/>
          <w:sz w:val="24"/>
          <w:szCs w:val="24"/>
          <w:lang w:val="en-GB" w:bidi="hi-IN"/>
          <w14:ligatures w14:val="standardContextual"/>
        </w:rPr>
        <w:t>The information provided by the Applicant may refer to</w:t>
      </w:r>
      <w:r w:rsidR="00EE04E3" w:rsidRPr="0044150C">
        <w:rPr>
          <w:rFonts w:ascii="Arial" w:hAnsi="Arial" w:cs="Arial"/>
          <w:color w:val="000000" w:themeColor="text1"/>
          <w:sz w:val="24"/>
          <w:szCs w:val="24"/>
          <w:lang w:val="en-GB" w:bidi="hi-IN"/>
          <w14:ligatures w14:val="standardContextual"/>
        </w:rPr>
        <w:t xml:space="preserve"> a broad policy goal of promoting international trade, </w:t>
      </w:r>
      <w:r w:rsidRPr="0044150C">
        <w:rPr>
          <w:rFonts w:ascii="Arial" w:hAnsi="Arial" w:cs="Arial"/>
          <w:color w:val="000000" w:themeColor="text1"/>
          <w:sz w:val="24"/>
          <w:szCs w:val="24"/>
          <w:lang w:val="en-GB" w:bidi="hi-IN"/>
          <w14:ligatures w14:val="standardContextual"/>
        </w:rPr>
        <w:t>but it failed to provide evidences</w:t>
      </w:r>
      <w:r w:rsidR="00EE04E3" w:rsidRPr="0044150C">
        <w:rPr>
          <w:rFonts w:ascii="Arial" w:hAnsi="Arial" w:cs="Arial"/>
          <w:color w:val="000000" w:themeColor="text1"/>
          <w:sz w:val="24"/>
          <w:szCs w:val="24"/>
          <w:lang w:val="en-GB" w:bidi="hi-IN"/>
          <w14:ligatures w14:val="standardContextual"/>
        </w:rPr>
        <w:t xml:space="preserve"> demonstrating a program that provides ocean freight services at LTAR that tied to actual or anticipated exportation or export earnings of the beneficiaries of the shipping service, and, thus, there is no </w:t>
      </w:r>
      <w:r w:rsidR="00EE04E3" w:rsidRPr="0044150C">
        <w:rPr>
          <w:rFonts w:ascii="Arial" w:hAnsi="Arial" w:cs="Arial"/>
          <w:color w:val="000000" w:themeColor="text1"/>
          <w:sz w:val="24"/>
          <w:szCs w:val="24"/>
          <w:lang w:val="en-GB" w:bidi="hi-IN"/>
          <w14:ligatures w14:val="standardContextual"/>
        </w:rPr>
        <w:lastRenderedPageBreak/>
        <w:t xml:space="preserve">evidence of a de facto export subsidy. Further, </w:t>
      </w:r>
      <w:r w:rsidRPr="0044150C">
        <w:rPr>
          <w:rFonts w:ascii="Arial" w:hAnsi="Arial" w:cs="Arial"/>
          <w:color w:val="000000" w:themeColor="text1"/>
          <w:sz w:val="24"/>
          <w:szCs w:val="24"/>
          <w:lang w:val="en-GB" w:bidi="hi-IN"/>
          <w14:ligatures w14:val="standardContextual"/>
        </w:rPr>
        <w:t xml:space="preserve">the GOC submits </w:t>
      </w:r>
      <w:r w:rsidR="00EE04E3" w:rsidRPr="0044150C">
        <w:rPr>
          <w:rFonts w:ascii="Arial" w:hAnsi="Arial" w:cs="Arial"/>
          <w:color w:val="000000" w:themeColor="text1"/>
          <w:sz w:val="24"/>
          <w:szCs w:val="24"/>
          <w:lang w:val="en-GB" w:bidi="hi-IN"/>
          <w14:ligatures w14:val="standardContextual"/>
        </w:rPr>
        <w:t xml:space="preserve">that the </w:t>
      </w:r>
      <w:r w:rsidRPr="0044150C">
        <w:rPr>
          <w:rFonts w:ascii="Arial" w:hAnsi="Arial" w:cs="Arial"/>
          <w:color w:val="000000" w:themeColor="text1"/>
          <w:sz w:val="24"/>
          <w:szCs w:val="24"/>
          <w:lang w:val="en-GB" w:bidi="hi-IN"/>
          <w14:ligatures w14:val="standardContextual"/>
        </w:rPr>
        <w:t xml:space="preserve">alleged </w:t>
      </w:r>
      <w:r w:rsidR="00EE04E3" w:rsidRPr="0044150C">
        <w:rPr>
          <w:rFonts w:ascii="Arial" w:hAnsi="Arial" w:cs="Arial"/>
          <w:color w:val="000000" w:themeColor="text1"/>
          <w:sz w:val="24"/>
          <w:szCs w:val="24"/>
          <w:lang w:val="en-GB" w:bidi="hi-IN"/>
          <w14:ligatures w14:val="standardContextual"/>
        </w:rPr>
        <w:t xml:space="preserve">program is not limited to an industry, nor is the </w:t>
      </w:r>
      <w:r w:rsidR="009C3948" w:rsidRPr="0044150C">
        <w:rPr>
          <w:rFonts w:ascii="Arial" w:hAnsi="Arial" w:cs="Arial"/>
          <w:color w:val="000000" w:themeColor="text1"/>
          <w:sz w:val="24"/>
          <w:szCs w:val="24"/>
          <w:lang w:val="en-GB" w:bidi="hi-IN"/>
          <w14:ligatures w14:val="standardContextual"/>
        </w:rPr>
        <w:t>boom lift</w:t>
      </w:r>
      <w:r w:rsidR="00EE04E3" w:rsidRPr="0044150C">
        <w:rPr>
          <w:rFonts w:ascii="Arial" w:hAnsi="Arial" w:cs="Arial"/>
          <w:color w:val="000000" w:themeColor="text1"/>
          <w:sz w:val="24"/>
          <w:szCs w:val="24"/>
          <w:lang w:val="en-GB" w:bidi="hi-IN"/>
          <w14:ligatures w14:val="standardContextual"/>
        </w:rPr>
        <w:t xml:space="preserve"> industry a predominant user of this program or that it benefits disproportionately from it. </w:t>
      </w:r>
      <w:r w:rsidR="00906DDC" w:rsidRPr="0044150C">
        <w:rPr>
          <w:rFonts w:ascii="Arial" w:hAnsi="Arial" w:cs="Arial"/>
          <w:color w:val="000000" w:themeColor="text1"/>
          <w:sz w:val="24"/>
          <w:szCs w:val="24"/>
          <w:lang w:val="en-GB" w:bidi="hi-IN"/>
          <w14:ligatures w14:val="standardContextual"/>
        </w:rPr>
        <w:t xml:space="preserve">There are a vast number of users for international ocean shipping services.  The industries that purchase/use international ocean shipping services are not limited, and the boom lifts industry in China is not a disproportionate or predominant consumer of international ocean shipping services.  The GOC does not impose any limitation on the consumption of international ocean shipping services by law or by policy. Sales and purchases are necessarily dictated by the market and driven by the forces of supply and demand. </w:t>
      </w:r>
      <w:r w:rsidR="00EE04E3" w:rsidRPr="0044150C">
        <w:rPr>
          <w:rFonts w:ascii="Arial" w:hAnsi="Arial" w:cs="Arial"/>
          <w:color w:val="000000" w:themeColor="text1"/>
          <w:sz w:val="24"/>
          <w:szCs w:val="24"/>
          <w:lang w:val="en-GB" w:bidi="hi-IN"/>
          <w14:ligatures w14:val="standardContextual"/>
        </w:rPr>
        <w:t>Thus, international shipping for LTAR is not de facto specific.</w:t>
      </w:r>
    </w:p>
    <w:p w14:paraId="7B50ABFE" w14:textId="77777777" w:rsidR="00906DDC" w:rsidRPr="0044150C" w:rsidRDefault="00906DDC" w:rsidP="00906DDC">
      <w:pPr>
        <w:pStyle w:val="a9"/>
        <w:autoSpaceDE w:val="0"/>
        <w:autoSpaceDN w:val="0"/>
        <w:adjustRightInd w:val="0"/>
        <w:ind w:left="644"/>
        <w:rPr>
          <w:rFonts w:ascii="Arial" w:hAnsi="Arial" w:cs="Arial"/>
          <w:color w:val="000000" w:themeColor="text1"/>
          <w:sz w:val="24"/>
          <w:szCs w:val="24"/>
          <w:lang w:val="en-GB" w:bidi="hi-IN"/>
          <w14:ligatures w14:val="standardContextual"/>
        </w:rPr>
      </w:pPr>
    </w:p>
    <w:p w14:paraId="2C17ACEA" w14:textId="20AF2FC6" w:rsidR="00EE04E3" w:rsidRPr="0044150C" w:rsidRDefault="00906DDC" w:rsidP="00A77481">
      <w:pPr>
        <w:pStyle w:val="a9"/>
        <w:numPr>
          <w:ilvl w:val="0"/>
          <w:numId w:val="1"/>
        </w:numPr>
        <w:autoSpaceDE w:val="0"/>
        <w:autoSpaceDN w:val="0"/>
        <w:adjustRightInd w:val="0"/>
        <w:ind w:hanging="644"/>
        <w:contextualSpacing w:val="0"/>
        <w:rPr>
          <w:rFonts w:ascii="Arial" w:hAnsi="Arial" w:cs="Arial"/>
          <w:color w:val="000000" w:themeColor="text1"/>
          <w:sz w:val="24"/>
          <w:szCs w:val="24"/>
          <w:lang w:val="en-GB" w:bidi="hi-IN"/>
          <w14:ligatures w14:val="standardContextual"/>
        </w:rPr>
      </w:pPr>
      <w:r w:rsidRPr="0044150C">
        <w:rPr>
          <w:rFonts w:ascii="Arial" w:hAnsi="Arial" w:cs="Arial"/>
          <w:color w:val="000000" w:themeColor="text1"/>
          <w:sz w:val="24"/>
          <w:szCs w:val="24"/>
          <w:lang w:val="en-GB" w:bidi="hi-IN"/>
          <w14:ligatures w14:val="standardContextual"/>
        </w:rPr>
        <w:t xml:space="preserve">Finally, the GOC notes that the TRA has made negative determination of this program in the previous Excavator case (AS0046), we believe it is only reasonable for the TRA to make same findings in the present case.  </w:t>
      </w:r>
    </w:p>
    <w:p w14:paraId="2351674C" w14:textId="77777777" w:rsidR="00EE04E3" w:rsidRPr="0044150C" w:rsidRDefault="00EE04E3" w:rsidP="00EE04E3">
      <w:pPr>
        <w:pStyle w:val="a9"/>
        <w:rPr>
          <w:rFonts w:ascii="Arial" w:hAnsi="Arial" w:cs="Arial"/>
          <w:color w:val="000000" w:themeColor="text1"/>
          <w:sz w:val="24"/>
          <w:szCs w:val="24"/>
          <w:lang w:val="en-GB" w:bidi="hi-IN"/>
          <w14:ligatures w14:val="standardContextual"/>
        </w:rPr>
      </w:pPr>
    </w:p>
    <w:p w14:paraId="621D2EF0" w14:textId="258A733E" w:rsidR="00AD2E34" w:rsidRPr="0044150C" w:rsidRDefault="003A55D6" w:rsidP="00A77481">
      <w:pPr>
        <w:pStyle w:val="a9"/>
        <w:numPr>
          <w:ilvl w:val="0"/>
          <w:numId w:val="1"/>
        </w:numPr>
        <w:autoSpaceDE w:val="0"/>
        <w:autoSpaceDN w:val="0"/>
        <w:adjustRightInd w:val="0"/>
        <w:ind w:hanging="644"/>
        <w:contextualSpacing w:val="0"/>
        <w:rPr>
          <w:rFonts w:ascii="Arial" w:eastAsiaTheme="minorHAnsi" w:hAnsi="Arial" w:cs="Arial"/>
          <w:color w:val="000000" w:themeColor="text1"/>
          <w:sz w:val="24"/>
          <w:szCs w:val="24"/>
          <w:lang w:val="en-GB" w:eastAsia="en-US" w:bidi="hi-IN"/>
          <w14:ligatures w14:val="standardContextual"/>
        </w:rPr>
      </w:pPr>
      <w:r w:rsidRPr="0044150C">
        <w:rPr>
          <w:rFonts w:ascii="Arial" w:hAnsi="Arial" w:cs="Arial"/>
          <w:color w:val="000000" w:themeColor="text1"/>
          <w:sz w:val="24"/>
          <w:szCs w:val="24"/>
          <w:lang w:val="en-GB" w:bidi="hi-IN"/>
          <w14:ligatures w14:val="standardContextual"/>
        </w:rPr>
        <w:t>To conclude</w:t>
      </w:r>
      <w:r w:rsidR="001C12DE" w:rsidRPr="0044150C">
        <w:rPr>
          <w:rFonts w:ascii="Arial" w:hAnsi="Arial" w:cs="Arial"/>
          <w:color w:val="000000" w:themeColor="text1"/>
          <w:sz w:val="24"/>
          <w:szCs w:val="24"/>
          <w:lang w:val="en-GB" w:bidi="hi-IN"/>
          <w14:ligatures w14:val="standardContextual"/>
        </w:rPr>
        <w:t>, the investigation in respect of this alleged scheme is in breach of the UK’s obligations under Articles 11.2, 11.3 and 11.6 of the SCM Agreement.</w:t>
      </w:r>
      <w:r w:rsidR="00A802DB" w:rsidRPr="0044150C">
        <w:rPr>
          <w:rFonts w:ascii="Arial" w:hAnsi="Arial" w:cs="Arial"/>
          <w:color w:val="000000" w:themeColor="text1"/>
          <w:sz w:val="24"/>
          <w:szCs w:val="24"/>
          <w:lang w:val="en-GB" w:bidi="hi-IN"/>
          <w14:ligatures w14:val="standardContextual"/>
        </w:rPr>
        <w:t xml:space="preserve"> T</w:t>
      </w:r>
      <w:r w:rsidR="00A802DB" w:rsidRPr="0044150C">
        <w:rPr>
          <w:rFonts w:ascii="Arial" w:eastAsiaTheme="minorHAnsi" w:hAnsi="Arial" w:cs="Arial"/>
          <w:color w:val="000000" w:themeColor="text1"/>
          <w:sz w:val="24"/>
          <w:szCs w:val="24"/>
          <w:lang w:val="en-GB" w:eastAsia="en-US" w:bidi="hi-IN"/>
          <w14:ligatures w14:val="standardContextual"/>
        </w:rPr>
        <w:t>he investigation into this alleged but non-existent scheme is WTO-inconsistent.</w:t>
      </w:r>
    </w:p>
    <w:p w14:paraId="4D66328E" w14:textId="77777777" w:rsidR="00114E8B" w:rsidRPr="0044150C" w:rsidRDefault="00114E8B" w:rsidP="00FC68C9">
      <w:pPr>
        <w:pStyle w:val="a9"/>
        <w:autoSpaceDE w:val="0"/>
        <w:autoSpaceDN w:val="0"/>
        <w:adjustRightInd w:val="0"/>
        <w:ind w:left="644"/>
        <w:rPr>
          <w:rFonts w:ascii="Arial" w:hAnsi="Arial" w:cs="Arial"/>
          <w:color w:val="000000" w:themeColor="text1"/>
          <w:sz w:val="24"/>
          <w:szCs w:val="24"/>
          <w:lang w:val="en-GB" w:bidi="hi-IN"/>
          <w14:ligatures w14:val="standardContextual"/>
        </w:rPr>
      </w:pPr>
    </w:p>
    <w:p w14:paraId="39D8256A" w14:textId="1235304C" w:rsidR="00813A40" w:rsidRPr="0044150C" w:rsidRDefault="00813A40" w:rsidP="00EF5084">
      <w:pPr>
        <w:pStyle w:val="1"/>
        <w:spacing w:before="0"/>
        <w:ind w:left="709" w:hanging="709"/>
        <w:rPr>
          <w:u w:val="thick"/>
        </w:rPr>
      </w:pPr>
      <w:bookmarkStart w:id="49" w:name="_Toc226652302"/>
      <w:r w:rsidRPr="0044150C">
        <w:rPr>
          <w:caps/>
        </w:rPr>
        <w:t>CONCLUSION</w:t>
      </w:r>
      <w:bookmarkEnd w:id="49"/>
    </w:p>
    <w:p w14:paraId="524D5EEA" w14:textId="77777777" w:rsidR="00813A40" w:rsidRPr="0044150C" w:rsidRDefault="00813A40" w:rsidP="00813A40">
      <w:pPr>
        <w:rPr>
          <w:rFonts w:ascii="Arial" w:hAnsi="Arial" w:cs="Arial"/>
          <w:sz w:val="24"/>
          <w:szCs w:val="24"/>
          <w:lang w:val="en-GB"/>
        </w:rPr>
      </w:pPr>
    </w:p>
    <w:p w14:paraId="53AE9717" w14:textId="1ECBFA66" w:rsidR="00813A40" w:rsidRPr="0044150C" w:rsidRDefault="00813A40" w:rsidP="00A77481">
      <w:pPr>
        <w:pStyle w:val="a9"/>
        <w:numPr>
          <w:ilvl w:val="0"/>
          <w:numId w:val="1"/>
        </w:numPr>
        <w:autoSpaceDE w:val="0"/>
        <w:autoSpaceDN w:val="0"/>
        <w:adjustRightInd w:val="0"/>
        <w:contextualSpacing w:val="0"/>
        <w:rPr>
          <w:rFonts w:ascii="Arial" w:hAnsi="Arial" w:cs="Arial"/>
          <w:sz w:val="24"/>
          <w:szCs w:val="24"/>
          <w:lang w:val="en-GB"/>
        </w:rPr>
      </w:pPr>
      <w:r w:rsidRPr="0044150C">
        <w:rPr>
          <w:rFonts w:ascii="Arial" w:eastAsiaTheme="minorHAnsi" w:hAnsi="Arial" w:cs="Arial"/>
          <w:color w:val="000000" w:themeColor="text1"/>
          <w:sz w:val="24"/>
          <w:szCs w:val="24"/>
          <w:lang w:val="en-GB" w:bidi="hi-IN"/>
          <w14:ligatures w14:val="standardContextual"/>
        </w:rPr>
        <w:t xml:space="preserve">For the reasons given above, the GOC considers that the AS complaint against </w:t>
      </w:r>
      <w:r w:rsidR="009C3948" w:rsidRPr="0044150C">
        <w:rPr>
          <w:rFonts w:ascii="Arial" w:eastAsiaTheme="minorHAnsi" w:hAnsi="Arial" w:cs="Arial"/>
          <w:color w:val="000000" w:themeColor="text1"/>
          <w:sz w:val="24"/>
          <w:szCs w:val="24"/>
          <w:lang w:val="en-GB" w:bidi="hi-IN"/>
          <w14:ligatures w14:val="standardContextual"/>
        </w:rPr>
        <w:t>boom lift</w:t>
      </w:r>
      <w:r w:rsidRPr="0044150C">
        <w:rPr>
          <w:rFonts w:ascii="Arial" w:eastAsiaTheme="minorHAnsi" w:hAnsi="Arial" w:cs="Arial"/>
          <w:color w:val="000000" w:themeColor="text1"/>
          <w:sz w:val="24"/>
          <w:szCs w:val="24"/>
          <w:lang w:val="en-GB" w:bidi="hi-IN"/>
          <w14:ligatures w14:val="standardContextual"/>
        </w:rPr>
        <w:t xml:space="preserve"> products from China does not meet the requirements of the SCM Agreement and the relevant UK provisions. Accordingly, the GOC respectfully requests the TRA to terminate the present AS investigation without imposing AS measures on </w:t>
      </w:r>
      <w:r w:rsidR="009C3948" w:rsidRPr="0044150C">
        <w:rPr>
          <w:rFonts w:ascii="Arial" w:hAnsi="Arial" w:cs="Arial"/>
          <w:color w:val="000000" w:themeColor="text1"/>
          <w:sz w:val="24"/>
          <w:szCs w:val="24"/>
          <w:lang w:val="en-GB" w:bidi="hi-IN"/>
          <w14:ligatures w14:val="standardContextual"/>
        </w:rPr>
        <w:t>boom lift</w:t>
      </w:r>
      <w:r w:rsidRPr="0044150C">
        <w:rPr>
          <w:rFonts w:ascii="Arial" w:eastAsiaTheme="minorHAnsi" w:hAnsi="Arial" w:cs="Arial"/>
          <w:color w:val="000000" w:themeColor="text1"/>
          <w:sz w:val="24"/>
          <w:szCs w:val="24"/>
          <w:lang w:val="en-GB" w:bidi="hi-IN"/>
          <w14:ligatures w14:val="standardContextual"/>
        </w:rPr>
        <w:t xml:space="preserve"> imports from China.</w:t>
      </w:r>
    </w:p>
    <w:sectPr w:rsidR="00813A40" w:rsidRPr="0044150C" w:rsidSect="00874790">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DA4D8" w14:textId="77777777" w:rsidR="00A8371D" w:rsidRDefault="00A8371D" w:rsidP="00D40EF5">
      <w:pPr>
        <w:spacing w:line="240" w:lineRule="auto"/>
      </w:pPr>
      <w:r>
        <w:separator/>
      </w:r>
    </w:p>
  </w:endnote>
  <w:endnote w:type="continuationSeparator" w:id="0">
    <w:p w14:paraId="40803C80" w14:textId="77777777" w:rsidR="00A8371D" w:rsidRDefault="00A8371D" w:rsidP="00D40E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宋体"/>
    <w:panose1 w:val="00000000000000000000"/>
    <w:charset w:val="00"/>
    <w:family w:val="roman"/>
    <w:notTrueType/>
    <w:pitch w:val="default"/>
    <w:sig w:usb0="00000003" w:usb1="00000000" w:usb2="00000000" w:usb3="00000000" w:csb0="00000001" w:csb1="00000000"/>
  </w:font>
  <w:font w:name="Myriad Pro">
    <w:altName w:val="Segoe UI"/>
    <w:panose1 w:val="00000000000000000000"/>
    <w:charset w:val="00"/>
    <w:family w:val="roman"/>
    <w:notTrueType/>
    <w:pitch w:val="default"/>
    <w:sig w:usb0="00000003" w:usb1="00000000" w:usb2="00000000" w:usb3="00000000" w:csb0="00000001" w:csb1="00000000"/>
  </w:font>
  <w:font w:name="华文楷体">
    <w:panose1 w:val="02010600040101010101"/>
    <w:charset w:val="86"/>
    <w:family w:val="auto"/>
    <w:pitch w:val="variable"/>
    <w:sig w:usb0="00000287" w:usb1="080F0000" w:usb2="00000010" w:usb3="00000000" w:csb0="0004009F" w:csb1="00000000"/>
  </w:font>
  <w:font w:name="MS Mincho">
    <w:altName w:val="MS Mincho"/>
    <w:panose1 w:val="02020609040205080304"/>
    <w:charset w:val="80"/>
    <w:family w:val="modern"/>
    <w:pitch w:val="fixed"/>
    <w:sig w:usb0="E00002FF" w:usb1="6AC7FDFB" w:usb2="08000012" w:usb3="00000000" w:csb0="0002009F" w:csb1="00000000"/>
  </w:font>
  <w:font w:name="Arial-ItalicMT">
    <w:altName w:val="Arial"/>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HGGothicE"/>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0841309"/>
      <w:docPartObj>
        <w:docPartGallery w:val="Page Numbers (Bottom of Page)"/>
        <w:docPartUnique/>
      </w:docPartObj>
    </w:sdtPr>
    <w:sdtEndPr>
      <w:rPr>
        <w:rFonts w:ascii="Arial" w:hAnsi="Arial" w:cs="Arial"/>
        <w:noProof/>
        <w:sz w:val="20"/>
        <w:szCs w:val="20"/>
      </w:rPr>
    </w:sdtEndPr>
    <w:sdtContent>
      <w:p w14:paraId="15559998" w14:textId="77777777" w:rsidR="00066E7E" w:rsidRDefault="00066E7E">
        <w:pPr>
          <w:pStyle w:val="af"/>
          <w:jc w:val="center"/>
        </w:pPr>
      </w:p>
      <w:p w14:paraId="512027B2" w14:textId="77777777" w:rsidR="00066E7E" w:rsidRDefault="00066E7E">
        <w:pPr>
          <w:pStyle w:val="af"/>
          <w:jc w:val="center"/>
        </w:pPr>
      </w:p>
      <w:p w14:paraId="68DBF121" w14:textId="69FAAF33" w:rsidR="00E320CF" w:rsidRPr="00E320CF" w:rsidRDefault="00E320CF">
        <w:pPr>
          <w:pStyle w:val="af"/>
          <w:jc w:val="center"/>
          <w:rPr>
            <w:rFonts w:ascii="Arial" w:hAnsi="Arial" w:cs="Arial"/>
            <w:sz w:val="20"/>
            <w:szCs w:val="20"/>
          </w:rPr>
        </w:pPr>
        <w:r w:rsidRPr="00E320CF">
          <w:rPr>
            <w:rFonts w:ascii="Arial" w:hAnsi="Arial" w:cs="Arial"/>
            <w:sz w:val="20"/>
            <w:szCs w:val="20"/>
          </w:rPr>
          <w:fldChar w:fldCharType="begin"/>
        </w:r>
        <w:r w:rsidRPr="00E320CF">
          <w:rPr>
            <w:rFonts w:ascii="Arial" w:hAnsi="Arial" w:cs="Arial"/>
            <w:sz w:val="20"/>
            <w:szCs w:val="20"/>
          </w:rPr>
          <w:instrText xml:space="preserve"> PAGE   \* MERGEFORMAT </w:instrText>
        </w:r>
        <w:r w:rsidRPr="00E320CF">
          <w:rPr>
            <w:rFonts w:ascii="Arial" w:hAnsi="Arial" w:cs="Arial"/>
            <w:sz w:val="20"/>
            <w:szCs w:val="20"/>
          </w:rPr>
          <w:fldChar w:fldCharType="separate"/>
        </w:r>
        <w:r w:rsidRPr="00E320CF">
          <w:rPr>
            <w:rFonts w:ascii="Arial" w:hAnsi="Arial" w:cs="Arial"/>
            <w:noProof/>
            <w:sz w:val="20"/>
            <w:szCs w:val="20"/>
          </w:rPr>
          <w:t>2</w:t>
        </w:r>
        <w:r w:rsidRPr="00E320CF">
          <w:rPr>
            <w:rFonts w:ascii="Arial" w:hAnsi="Arial" w:cs="Arial"/>
            <w:noProof/>
            <w:sz w:val="20"/>
            <w:szCs w:val="20"/>
          </w:rPr>
          <w:fldChar w:fldCharType="end"/>
        </w:r>
      </w:p>
    </w:sdtContent>
  </w:sdt>
  <w:p w14:paraId="400EA832" w14:textId="77777777" w:rsidR="00E320CF" w:rsidRDefault="00E320CF">
    <w:pPr>
      <w:pStyle w:val="af"/>
    </w:pPr>
  </w:p>
  <w:p w14:paraId="187977B4" w14:textId="77777777" w:rsidR="00EE24AD" w:rsidRDefault="00EE24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C1519" w14:textId="77777777" w:rsidR="00A8371D" w:rsidRDefault="00A8371D" w:rsidP="00D40EF5">
      <w:pPr>
        <w:spacing w:line="240" w:lineRule="auto"/>
      </w:pPr>
      <w:r>
        <w:separator/>
      </w:r>
    </w:p>
  </w:footnote>
  <w:footnote w:type="continuationSeparator" w:id="0">
    <w:p w14:paraId="4985C85C" w14:textId="77777777" w:rsidR="00A8371D" w:rsidRDefault="00A8371D" w:rsidP="00D40EF5">
      <w:pPr>
        <w:spacing w:line="240" w:lineRule="auto"/>
      </w:pPr>
      <w:r>
        <w:continuationSeparator/>
      </w:r>
    </w:p>
  </w:footnote>
  <w:footnote w:id="1">
    <w:p w14:paraId="2783FD52" w14:textId="572C6855" w:rsidR="0044496C" w:rsidRPr="003A3C2A" w:rsidRDefault="0044496C">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rPr>
        <w:t>Incorporated under UK law by paragraph 9(1) of the TCBA.</w:t>
      </w:r>
    </w:p>
  </w:footnote>
  <w:footnote w:id="2">
    <w:p w14:paraId="58DB26AD" w14:textId="4F4AE1DF" w:rsidR="0044496C" w:rsidRPr="003A3C2A" w:rsidRDefault="0044496C">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rPr>
        <w:t xml:space="preserve">Panel Report, </w:t>
      </w:r>
      <w:r w:rsidRPr="003A3C2A">
        <w:rPr>
          <w:rFonts w:ascii="Arial" w:hAnsi="Arial" w:cs="Arial"/>
          <w:i/>
        </w:rPr>
        <w:t>US – Supercalendered Paper</w:t>
      </w:r>
      <w:r w:rsidRPr="003A3C2A">
        <w:rPr>
          <w:rFonts w:ascii="Arial" w:hAnsi="Arial" w:cs="Arial"/>
        </w:rPr>
        <w:t>, para. 7.145.</w:t>
      </w:r>
    </w:p>
  </w:footnote>
  <w:footnote w:id="3">
    <w:p w14:paraId="1AE41B97" w14:textId="7BF4A1CB" w:rsidR="0044496C" w:rsidRPr="003A3C2A" w:rsidRDefault="0044496C">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rPr>
        <w:t xml:space="preserve">Panel Report, </w:t>
      </w:r>
      <w:r w:rsidRPr="003A3C2A">
        <w:rPr>
          <w:rFonts w:ascii="Arial" w:hAnsi="Arial" w:cs="Arial"/>
          <w:i/>
        </w:rPr>
        <w:t xml:space="preserve">China – GOES, </w:t>
      </w:r>
      <w:r w:rsidRPr="003A3C2A">
        <w:rPr>
          <w:rFonts w:ascii="Arial" w:hAnsi="Arial" w:cs="Arial"/>
        </w:rPr>
        <w:t>para. 7.52. (Underlining added).</w:t>
      </w:r>
    </w:p>
  </w:footnote>
  <w:footnote w:id="4">
    <w:p w14:paraId="75B86210" w14:textId="7E0FE1F5" w:rsidR="0044496C" w:rsidRPr="003A3C2A" w:rsidRDefault="0044496C">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rPr>
        <w:t xml:space="preserve">Panel Report, </w:t>
      </w:r>
      <w:r w:rsidRPr="003A3C2A">
        <w:rPr>
          <w:rFonts w:ascii="Arial" w:hAnsi="Arial" w:cs="Arial"/>
          <w:i/>
        </w:rPr>
        <w:t xml:space="preserve">China – GOES, </w:t>
      </w:r>
      <w:r w:rsidRPr="003A3C2A">
        <w:rPr>
          <w:rFonts w:ascii="Arial" w:hAnsi="Arial" w:cs="Arial"/>
        </w:rPr>
        <w:t>paras. 7.51-7.54.</w:t>
      </w:r>
    </w:p>
  </w:footnote>
  <w:footnote w:id="5">
    <w:p w14:paraId="7C266DDA" w14:textId="621A5653" w:rsidR="0044496C" w:rsidRPr="003A3C2A" w:rsidRDefault="0044496C">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rPr>
        <w:t xml:space="preserve">Panel Report, </w:t>
      </w:r>
      <w:r w:rsidRPr="003A3C2A">
        <w:rPr>
          <w:rFonts w:ascii="Arial" w:hAnsi="Arial" w:cs="Arial"/>
          <w:i/>
        </w:rPr>
        <w:t xml:space="preserve">China – GOES, </w:t>
      </w:r>
      <w:r w:rsidRPr="003A3C2A">
        <w:rPr>
          <w:rFonts w:ascii="Arial" w:hAnsi="Arial" w:cs="Arial"/>
        </w:rPr>
        <w:t>para. 7.58.</w:t>
      </w:r>
    </w:p>
  </w:footnote>
  <w:footnote w:id="6">
    <w:p w14:paraId="6DD6DFBB" w14:textId="6CA63E40" w:rsidR="0044496C" w:rsidRPr="003A3C2A" w:rsidRDefault="0044496C">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t>Panel Report, China – GOES, paras. 7.71 – 7.72. The Panel in China – GOES underlined that the existence of subsidy refers to a present subsidy and not to some historical subsidy given to some company. See para. 7.96.</w:t>
      </w:r>
    </w:p>
  </w:footnote>
  <w:footnote w:id="7">
    <w:p w14:paraId="1832A4A9" w14:textId="3AFA8804" w:rsidR="0044496C" w:rsidRPr="003A3C2A" w:rsidRDefault="0044496C">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rPr>
        <w:t xml:space="preserve">Panel Report, </w:t>
      </w:r>
      <w:r w:rsidRPr="003A3C2A">
        <w:rPr>
          <w:rFonts w:ascii="Arial" w:hAnsi="Arial" w:cs="Arial"/>
          <w:i/>
        </w:rPr>
        <w:t xml:space="preserve">China – GOES, </w:t>
      </w:r>
      <w:r w:rsidRPr="003A3C2A">
        <w:rPr>
          <w:rFonts w:ascii="Arial" w:hAnsi="Arial" w:cs="Arial"/>
        </w:rPr>
        <w:t>paras. 7.60-7.61.</w:t>
      </w:r>
    </w:p>
  </w:footnote>
  <w:footnote w:id="8">
    <w:p w14:paraId="22F1B8FE" w14:textId="7111ECC5" w:rsidR="00411A4F" w:rsidRPr="003A3C2A" w:rsidRDefault="00411A4F">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rPr>
        <w:t xml:space="preserve">Panel Report, </w:t>
      </w:r>
      <w:r w:rsidRPr="003A3C2A">
        <w:rPr>
          <w:rFonts w:ascii="Arial" w:hAnsi="Arial" w:cs="Arial"/>
          <w:i/>
        </w:rPr>
        <w:t xml:space="preserve">China – GOES, </w:t>
      </w:r>
      <w:r w:rsidRPr="003A3C2A">
        <w:rPr>
          <w:rFonts w:ascii="Arial" w:hAnsi="Arial" w:cs="Arial"/>
        </w:rPr>
        <w:t>para. 7.55.</w:t>
      </w:r>
    </w:p>
  </w:footnote>
  <w:footnote w:id="9">
    <w:p w14:paraId="79BA44E8" w14:textId="046FCF92" w:rsidR="00F86337" w:rsidRPr="003A3C2A" w:rsidRDefault="00F86337">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rPr>
        <w:t xml:space="preserve">Panel Report, </w:t>
      </w:r>
      <w:r w:rsidRPr="003A3C2A">
        <w:rPr>
          <w:rFonts w:ascii="Arial" w:hAnsi="Arial" w:cs="Arial"/>
          <w:i/>
        </w:rPr>
        <w:t xml:space="preserve">US – Countervailing Duties (China), </w:t>
      </w:r>
      <w:r w:rsidRPr="003A3C2A">
        <w:rPr>
          <w:rFonts w:ascii="Arial" w:hAnsi="Arial" w:cs="Arial"/>
        </w:rPr>
        <w:t>para. 7.146.</w:t>
      </w:r>
    </w:p>
  </w:footnote>
  <w:footnote w:id="10">
    <w:p w14:paraId="16C4C1CD" w14:textId="5F69B346" w:rsidR="00F86337" w:rsidRPr="003A3C2A" w:rsidRDefault="00F86337">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008A1ACE" w:rsidRPr="003A3C2A">
        <w:rPr>
          <w:rFonts w:ascii="Arial" w:eastAsiaTheme="minorEastAsia" w:hAnsi="Arial" w:cs="Arial"/>
          <w:lang w:eastAsia="zh-CN"/>
        </w:rPr>
        <w:tab/>
      </w:r>
      <w:r w:rsidR="008A1ACE" w:rsidRPr="003A3C2A">
        <w:rPr>
          <w:rFonts w:ascii="Arial" w:hAnsi="Arial" w:cs="Arial"/>
        </w:rPr>
        <w:t>SCM Agreement, Article 11.2.</w:t>
      </w:r>
    </w:p>
  </w:footnote>
  <w:footnote w:id="11">
    <w:p w14:paraId="1CF81162" w14:textId="014E9054" w:rsidR="00F86337" w:rsidRPr="003A3C2A" w:rsidRDefault="00F86337">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008A1ACE" w:rsidRPr="003A3C2A">
        <w:rPr>
          <w:rFonts w:ascii="Arial" w:eastAsiaTheme="minorEastAsia" w:hAnsi="Arial" w:cs="Arial"/>
          <w:lang w:eastAsia="zh-CN"/>
        </w:rPr>
        <w:tab/>
      </w:r>
      <w:r w:rsidR="008A1ACE" w:rsidRPr="003A3C2A">
        <w:rPr>
          <w:rFonts w:ascii="Arial" w:hAnsi="Arial" w:cs="Arial"/>
        </w:rPr>
        <w:t xml:space="preserve">Panel Report, </w:t>
      </w:r>
      <w:r w:rsidR="008A1ACE" w:rsidRPr="003A3C2A">
        <w:rPr>
          <w:rFonts w:ascii="Arial" w:hAnsi="Arial" w:cs="Arial"/>
          <w:i/>
        </w:rPr>
        <w:t xml:space="preserve">China – GOES, </w:t>
      </w:r>
      <w:r w:rsidR="008A1ACE" w:rsidRPr="003A3C2A">
        <w:rPr>
          <w:rFonts w:ascii="Arial" w:hAnsi="Arial" w:cs="Arial"/>
        </w:rPr>
        <w:t>para. 7.66.</w:t>
      </w:r>
    </w:p>
  </w:footnote>
  <w:footnote w:id="12">
    <w:p w14:paraId="6E0FE39E" w14:textId="0F0CCCE5" w:rsidR="00F86337" w:rsidRPr="003A3C2A" w:rsidRDefault="00F86337">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008A1ACE" w:rsidRPr="003A3C2A">
        <w:rPr>
          <w:rFonts w:ascii="Arial" w:eastAsiaTheme="minorEastAsia" w:hAnsi="Arial" w:cs="Arial"/>
          <w:lang w:eastAsia="zh-CN"/>
        </w:rPr>
        <w:tab/>
      </w:r>
      <w:r w:rsidR="008A1ACE" w:rsidRPr="003A3C2A">
        <w:rPr>
          <w:rFonts w:ascii="Arial" w:hAnsi="Arial" w:cs="Arial"/>
          <w:i/>
        </w:rPr>
        <w:t xml:space="preserve">ibid, </w:t>
      </w:r>
      <w:r w:rsidR="008A1ACE" w:rsidRPr="003A3C2A">
        <w:rPr>
          <w:rFonts w:ascii="Arial" w:hAnsi="Arial" w:cs="Arial"/>
        </w:rPr>
        <w:t>para. 7.107.</w:t>
      </w:r>
    </w:p>
  </w:footnote>
  <w:footnote w:id="13">
    <w:p w14:paraId="78BFF5C5" w14:textId="782E73AF" w:rsidR="00F86337" w:rsidRPr="003A3C2A" w:rsidRDefault="00F86337">
      <w:pPr>
        <w:pStyle w:val="a6"/>
        <w:rPr>
          <w:rFonts w:ascii="Arial" w:eastAsiaTheme="minorEastAsia" w:hAnsi="Arial" w:cs="Arial"/>
          <w:lang w:val="fr-FR" w:eastAsia="zh-CN"/>
        </w:rPr>
      </w:pPr>
      <w:r w:rsidRPr="003A3C2A">
        <w:rPr>
          <w:rStyle w:val="ab"/>
          <w:rFonts w:ascii="Arial" w:hAnsi="Arial" w:cs="Arial"/>
        </w:rPr>
        <w:footnoteRef/>
      </w:r>
      <w:r w:rsidRPr="003A3C2A">
        <w:rPr>
          <w:rFonts w:ascii="Arial" w:hAnsi="Arial" w:cs="Arial"/>
        </w:rPr>
        <w:t xml:space="preserve"> </w:t>
      </w:r>
      <w:r w:rsidR="008A1ACE" w:rsidRPr="003A3C2A">
        <w:rPr>
          <w:rFonts w:ascii="Arial" w:eastAsiaTheme="minorEastAsia" w:hAnsi="Arial" w:cs="Arial"/>
          <w:lang w:eastAsia="zh-CN"/>
        </w:rPr>
        <w:tab/>
      </w:r>
      <w:r w:rsidR="008A1ACE" w:rsidRPr="003A3C2A">
        <w:rPr>
          <w:rFonts w:ascii="Arial" w:hAnsi="Arial" w:cs="Arial"/>
        </w:rPr>
        <w:t xml:space="preserve">Panel Report, </w:t>
      </w:r>
      <w:r w:rsidR="008A1ACE" w:rsidRPr="003A3C2A">
        <w:rPr>
          <w:rFonts w:ascii="Arial" w:hAnsi="Arial" w:cs="Arial"/>
          <w:i/>
        </w:rPr>
        <w:t xml:space="preserve">China – GOES, </w:t>
      </w:r>
      <w:r w:rsidR="008A1ACE" w:rsidRPr="003A3C2A">
        <w:rPr>
          <w:rFonts w:ascii="Arial" w:hAnsi="Arial" w:cs="Arial"/>
        </w:rPr>
        <w:t xml:space="preserve">para. </w:t>
      </w:r>
      <w:r w:rsidR="008A1ACE" w:rsidRPr="003A3C2A">
        <w:rPr>
          <w:rFonts w:ascii="Arial" w:hAnsi="Arial" w:cs="Arial"/>
          <w:lang w:val="fr-FR"/>
        </w:rPr>
        <w:t>7.</w:t>
      </w:r>
      <w:r w:rsidR="008A1ACE" w:rsidRPr="003A3C2A">
        <w:rPr>
          <w:rFonts w:ascii="Arial" w:eastAsiaTheme="minorEastAsia" w:hAnsi="Arial" w:cs="Arial"/>
          <w:lang w:val="fr-FR" w:eastAsia="zh-CN"/>
        </w:rPr>
        <w:t>74</w:t>
      </w:r>
      <w:r w:rsidR="008A1ACE" w:rsidRPr="003A3C2A">
        <w:rPr>
          <w:rFonts w:ascii="Arial" w:hAnsi="Arial" w:cs="Arial"/>
          <w:lang w:val="fr-FR"/>
        </w:rPr>
        <w:t>.</w:t>
      </w:r>
    </w:p>
  </w:footnote>
  <w:footnote w:id="14">
    <w:p w14:paraId="591C5AC2" w14:textId="69A18077" w:rsidR="001F79D9" w:rsidRPr="003A3C2A" w:rsidRDefault="001F79D9">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t xml:space="preserve">Statement of Essential Facts, AS0022, </w:t>
      </w:r>
    </w:p>
  </w:footnote>
  <w:footnote w:id="15">
    <w:p w14:paraId="0159B75B" w14:textId="77777777" w:rsidR="009A3AED" w:rsidRPr="003A3C2A" w:rsidRDefault="009A3AED" w:rsidP="009A3AED">
      <w:pPr>
        <w:pStyle w:val="a6"/>
        <w:rPr>
          <w:rFonts w:ascii="Arial" w:hAnsi="Arial" w:cs="Arial"/>
        </w:rPr>
      </w:pPr>
      <w:r w:rsidRPr="003A3C2A">
        <w:rPr>
          <w:rStyle w:val="ab"/>
          <w:rFonts w:ascii="Arial" w:hAnsi="Arial" w:cs="Arial"/>
        </w:rPr>
        <w:footnoteRef/>
      </w:r>
      <w:r w:rsidRPr="003A3C2A">
        <w:rPr>
          <w:rFonts w:ascii="Arial" w:hAnsi="Arial" w:cs="Arial"/>
        </w:rPr>
        <w:t>.</w:t>
      </w:r>
      <w:r w:rsidRPr="003A3C2A">
        <w:rPr>
          <w:rFonts w:ascii="Arial" w:hAnsi="Arial" w:cs="Arial"/>
        </w:rPr>
        <w:tab/>
        <w:t xml:space="preserve">Appellate Body Report, </w:t>
      </w:r>
      <w:r w:rsidRPr="003A3C2A">
        <w:rPr>
          <w:rFonts w:ascii="Arial" w:hAnsi="Arial" w:cs="Arial"/>
          <w:i/>
        </w:rPr>
        <w:t>US – Anti-Dumping and Countervailing Duties (China)</w:t>
      </w:r>
      <w:r w:rsidRPr="003A3C2A">
        <w:rPr>
          <w:rFonts w:ascii="Arial" w:hAnsi="Arial" w:cs="Arial"/>
        </w:rPr>
        <w:t>, para. 317.</w:t>
      </w:r>
    </w:p>
  </w:footnote>
  <w:footnote w:id="16">
    <w:p w14:paraId="67A17855" w14:textId="77777777" w:rsidR="00576E14" w:rsidRPr="003A3C2A" w:rsidRDefault="00576E14" w:rsidP="00576E14">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bookmarkStart w:id="13" w:name="_Hlk161118092"/>
      <w:r w:rsidRPr="003A3C2A">
        <w:rPr>
          <w:rFonts w:ascii="Arial" w:hAnsi="Arial" w:cs="Arial"/>
        </w:rPr>
        <w:t xml:space="preserve">Appellate Body Report, </w:t>
      </w:r>
      <w:r w:rsidRPr="003A3C2A">
        <w:rPr>
          <w:rFonts w:ascii="Arial" w:hAnsi="Arial" w:cs="Arial"/>
          <w:i/>
        </w:rPr>
        <w:t>US – Carbon Steel (India)</w:t>
      </w:r>
      <w:r w:rsidRPr="003A3C2A">
        <w:rPr>
          <w:rFonts w:ascii="Arial" w:hAnsi="Arial" w:cs="Arial"/>
        </w:rPr>
        <w:t>, paras. 4.36-4.37.</w:t>
      </w:r>
      <w:bookmarkEnd w:id="13"/>
    </w:p>
  </w:footnote>
  <w:footnote w:id="17">
    <w:p w14:paraId="2EF15E3D" w14:textId="77777777" w:rsidR="009A3AED" w:rsidRPr="003A3C2A" w:rsidRDefault="009A3AED" w:rsidP="009A3AED">
      <w:pPr>
        <w:pStyle w:val="a6"/>
        <w:rPr>
          <w:rFonts w:ascii="Arial" w:hAnsi="Arial" w:cs="Arial"/>
        </w:rPr>
      </w:pPr>
      <w:r w:rsidRPr="003A3C2A">
        <w:rPr>
          <w:rStyle w:val="ab"/>
          <w:rFonts w:ascii="Arial" w:hAnsi="Arial" w:cs="Arial"/>
        </w:rPr>
        <w:footnoteRef/>
      </w:r>
      <w:r w:rsidRPr="003A3C2A">
        <w:rPr>
          <w:rFonts w:ascii="Arial" w:hAnsi="Arial" w:cs="Arial"/>
        </w:rPr>
        <w:t>.</w:t>
      </w:r>
      <w:r w:rsidRPr="003A3C2A">
        <w:rPr>
          <w:rFonts w:ascii="Arial" w:hAnsi="Arial" w:cs="Arial"/>
        </w:rPr>
        <w:tab/>
      </w:r>
      <w:r w:rsidRPr="003A3C2A">
        <w:rPr>
          <w:rFonts w:ascii="Arial" w:eastAsia="Times New Roman" w:hAnsi="Arial" w:cs="Arial"/>
        </w:rPr>
        <w:t xml:space="preserve">Appellate Body in </w:t>
      </w:r>
      <w:r w:rsidRPr="003A3C2A">
        <w:rPr>
          <w:rFonts w:ascii="Arial" w:eastAsia="Times New Roman" w:hAnsi="Arial" w:cs="Arial"/>
          <w:i/>
        </w:rPr>
        <w:t xml:space="preserve">US </w:t>
      </w:r>
      <w:r w:rsidRPr="003A3C2A">
        <w:rPr>
          <w:rFonts w:ascii="Arial" w:hAnsi="Arial" w:cs="Arial"/>
          <w:i/>
        </w:rPr>
        <w:t>– Countervailing Measures</w:t>
      </w:r>
      <w:r w:rsidRPr="003A3C2A">
        <w:rPr>
          <w:rFonts w:ascii="Arial" w:eastAsia="Times New Roman" w:hAnsi="Arial" w:cs="Arial"/>
          <w:i/>
        </w:rPr>
        <w:t xml:space="preserve"> (China) (Article 21.5)</w:t>
      </w:r>
      <w:r w:rsidRPr="003A3C2A">
        <w:rPr>
          <w:rFonts w:ascii="Arial" w:hAnsi="Arial" w:cs="Arial"/>
        </w:rPr>
        <w:t>, paras. 5.96-5.97.</w:t>
      </w:r>
    </w:p>
  </w:footnote>
  <w:footnote w:id="18">
    <w:p w14:paraId="7CB92605" w14:textId="77777777" w:rsidR="009A3AED" w:rsidRPr="003A3C2A" w:rsidRDefault="009A3AED" w:rsidP="009A3AED">
      <w:pPr>
        <w:pStyle w:val="a6"/>
        <w:rPr>
          <w:rFonts w:ascii="Arial" w:hAnsi="Arial" w:cs="Arial"/>
        </w:rPr>
      </w:pPr>
      <w:r w:rsidRPr="003A3C2A">
        <w:rPr>
          <w:rStyle w:val="ab"/>
          <w:rFonts w:ascii="Arial" w:hAnsi="Arial" w:cs="Arial"/>
        </w:rPr>
        <w:footnoteRef/>
      </w:r>
      <w:r w:rsidRPr="003A3C2A">
        <w:rPr>
          <w:rFonts w:ascii="Arial" w:hAnsi="Arial" w:cs="Arial"/>
        </w:rPr>
        <w:t>.</w:t>
      </w:r>
      <w:r w:rsidRPr="003A3C2A">
        <w:rPr>
          <w:rFonts w:ascii="Arial" w:hAnsi="Arial" w:cs="Arial"/>
        </w:rPr>
        <w:tab/>
        <w:t xml:space="preserve">Appellate Body Report, </w:t>
      </w:r>
      <w:r w:rsidRPr="003A3C2A">
        <w:rPr>
          <w:rFonts w:ascii="Arial" w:hAnsi="Arial" w:cs="Arial"/>
          <w:i/>
        </w:rPr>
        <w:t>US – Carbon Steel (India)</w:t>
      </w:r>
      <w:r w:rsidRPr="003A3C2A">
        <w:rPr>
          <w:rFonts w:ascii="Arial" w:hAnsi="Arial" w:cs="Arial"/>
        </w:rPr>
        <w:t>, para. 4.36.</w:t>
      </w:r>
    </w:p>
  </w:footnote>
  <w:footnote w:id="19">
    <w:p w14:paraId="65F4822E" w14:textId="77777777" w:rsidR="009A3AED" w:rsidRPr="003A3C2A" w:rsidRDefault="009A3AED" w:rsidP="009A3AED">
      <w:pPr>
        <w:pStyle w:val="a6"/>
        <w:rPr>
          <w:rFonts w:ascii="Arial" w:hAnsi="Arial" w:cs="Arial"/>
        </w:rPr>
      </w:pPr>
      <w:r w:rsidRPr="003A3C2A">
        <w:rPr>
          <w:rStyle w:val="ab"/>
          <w:rFonts w:ascii="Arial" w:hAnsi="Arial" w:cs="Arial"/>
        </w:rPr>
        <w:footnoteRef/>
      </w:r>
      <w:r w:rsidRPr="003A3C2A">
        <w:rPr>
          <w:rFonts w:ascii="Arial" w:hAnsi="Arial" w:cs="Arial"/>
        </w:rPr>
        <w:t>.</w:t>
      </w:r>
      <w:r w:rsidRPr="003A3C2A">
        <w:rPr>
          <w:rFonts w:ascii="Arial" w:hAnsi="Arial" w:cs="Arial"/>
        </w:rPr>
        <w:tab/>
      </w:r>
      <w:r w:rsidRPr="003A3C2A">
        <w:rPr>
          <w:rFonts w:ascii="Arial" w:hAnsi="Arial" w:cs="Arial"/>
          <w:i/>
          <w:iCs/>
        </w:rPr>
        <w:t>Ibid</w:t>
      </w:r>
      <w:r w:rsidRPr="003A3C2A">
        <w:rPr>
          <w:rFonts w:ascii="Arial" w:hAnsi="Arial" w:cs="Arial"/>
        </w:rPr>
        <w:t>., para. 4.43.</w:t>
      </w:r>
    </w:p>
  </w:footnote>
  <w:footnote w:id="20">
    <w:p w14:paraId="0AC7EE1C" w14:textId="77777777" w:rsidR="0078329D" w:rsidRPr="003A3C2A" w:rsidRDefault="0078329D" w:rsidP="0078329D">
      <w:pPr>
        <w:pStyle w:val="a6"/>
        <w:rPr>
          <w:rFonts w:ascii="Arial" w:hAnsi="Arial" w:cs="Arial"/>
        </w:rPr>
      </w:pPr>
      <w:r w:rsidRPr="003A3C2A">
        <w:rPr>
          <w:rStyle w:val="ab"/>
          <w:rFonts w:ascii="Arial" w:hAnsi="Arial" w:cs="Arial"/>
        </w:rPr>
        <w:footnoteRef/>
      </w:r>
      <w:r w:rsidRPr="003A3C2A">
        <w:rPr>
          <w:rFonts w:ascii="Arial" w:hAnsi="Arial" w:cs="Arial"/>
        </w:rPr>
        <w:t xml:space="preserve"> Appellate Body Report, </w:t>
      </w:r>
      <w:r w:rsidRPr="003A3C2A">
        <w:rPr>
          <w:rFonts w:ascii="Arial" w:hAnsi="Arial" w:cs="Arial"/>
          <w:i/>
          <w:iCs/>
        </w:rPr>
        <w:t>US – Countervailing Duty Investigation on DRAMs</w:t>
      </w:r>
      <w:r w:rsidRPr="003A3C2A">
        <w:rPr>
          <w:rFonts w:ascii="Arial" w:hAnsi="Arial" w:cs="Arial"/>
        </w:rPr>
        <w:t>, paras. 110-111, and 116.</w:t>
      </w:r>
    </w:p>
  </w:footnote>
  <w:footnote w:id="21">
    <w:p w14:paraId="33066936" w14:textId="77777777" w:rsidR="0078329D" w:rsidRPr="003A3C2A" w:rsidRDefault="0078329D" w:rsidP="0078329D">
      <w:pPr>
        <w:pStyle w:val="a6"/>
        <w:rPr>
          <w:rFonts w:ascii="Arial" w:hAnsi="Arial" w:cs="Arial"/>
        </w:rPr>
      </w:pPr>
      <w:r w:rsidRPr="003A3C2A">
        <w:rPr>
          <w:rStyle w:val="ab"/>
          <w:rFonts w:ascii="Arial" w:hAnsi="Arial" w:cs="Arial"/>
        </w:rPr>
        <w:footnoteRef/>
      </w:r>
      <w:r w:rsidRPr="003A3C2A">
        <w:rPr>
          <w:rFonts w:ascii="Arial" w:hAnsi="Arial" w:cs="Arial"/>
        </w:rPr>
        <w:t xml:space="preserve"> Appellate Body Report, </w:t>
      </w:r>
      <w:r w:rsidRPr="003A3C2A">
        <w:rPr>
          <w:rFonts w:ascii="Arial" w:hAnsi="Arial" w:cs="Arial"/>
          <w:i/>
          <w:iCs/>
        </w:rPr>
        <w:t>US – Countervailing Duty Investigation on DRAMs</w:t>
      </w:r>
      <w:r w:rsidRPr="003A3C2A">
        <w:rPr>
          <w:rFonts w:ascii="Arial" w:hAnsi="Arial" w:cs="Arial"/>
        </w:rPr>
        <w:t>, paras. 112.</w:t>
      </w:r>
    </w:p>
  </w:footnote>
  <w:footnote w:id="22">
    <w:p w14:paraId="17FF0992" w14:textId="77777777" w:rsidR="0078329D" w:rsidRPr="003A3C2A" w:rsidRDefault="0078329D" w:rsidP="0078329D">
      <w:pPr>
        <w:pStyle w:val="a6"/>
        <w:rPr>
          <w:rFonts w:ascii="Arial" w:hAnsi="Arial" w:cs="Arial"/>
        </w:rPr>
      </w:pPr>
      <w:r w:rsidRPr="003A3C2A">
        <w:rPr>
          <w:rStyle w:val="ab"/>
          <w:rFonts w:ascii="Arial" w:hAnsi="Arial" w:cs="Arial"/>
        </w:rPr>
        <w:footnoteRef/>
      </w:r>
      <w:r w:rsidRPr="003A3C2A">
        <w:rPr>
          <w:rFonts w:ascii="Arial" w:hAnsi="Arial" w:cs="Arial"/>
        </w:rPr>
        <w:t xml:space="preserve"> Appellate Body Report, </w:t>
      </w:r>
      <w:r w:rsidRPr="003A3C2A">
        <w:rPr>
          <w:rFonts w:ascii="Arial" w:hAnsi="Arial" w:cs="Arial"/>
          <w:i/>
          <w:iCs/>
        </w:rPr>
        <w:t>US – Countervailing Duty Investigation on DRAMs</w:t>
      </w:r>
      <w:r w:rsidRPr="003A3C2A">
        <w:rPr>
          <w:rFonts w:ascii="Arial" w:hAnsi="Arial" w:cs="Arial"/>
        </w:rPr>
        <w:t>, paras .124-125.</w:t>
      </w:r>
    </w:p>
  </w:footnote>
  <w:footnote w:id="23">
    <w:p w14:paraId="2E1EEE6C" w14:textId="77777777" w:rsidR="0078329D" w:rsidRPr="003A3C2A" w:rsidRDefault="0078329D" w:rsidP="0078329D">
      <w:pPr>
        <w:pStyle w:val="a6"/>
        <w:rPr>
          <w:rFonts w:ascii="Arial" w:hAnsi="Arial" w:cs="Arial"/>
        </w:rPr>
      </w:pPr>
      <w:r w:rsidRPr="003A3C2A">
        <w:rPr>
          <w:rStyle w:val="ab"/>
          <w:rFonts w:ascii="Arial" w:hAnsi="Arial" w:cs="Arial"/>
        </w:rPr>
        <w:footnoteRef/>
      </w:r>
      <w:r w:rsidRPr="003A3C2A">
        <w:rPr>
          <w:rFonts w:ascii="Arial" w:hAnsi="Arial" w:cs="Arial"/>
        </w:rPr>
        <w:t xml:space="preserve"> See, e.g., Appellate Body Report, US – Countervailing Duty Investigation on DRAMs, para. 114 (quoting Panel Report, US – Export Restraints, para. 8.31). emphasis added.</w:t>
      </w:r>
    </w:p>
  </w:footnote>
  <w:footnote w:id="24">
    <w:p w14:paraId="73AD6A8A" w14:textId="77777777" w:rsidR="0078329D" w:rsidRPr="003A3C2A" w:rsidRDefault="0078329D" w:rsidP="0078329D">
      <w:pPr>
        <w:pStyle w:val="a6"/>
        <w:rPr>
          <w:rFonts w:ascii="Arial" w:hAnsi="Arial" w:cs="Arial"/>
        </w:rPr>
      </w:pPr>
      <w:r w:rsidRPr="003A3C2A">
        <w:rPr>
          <w:rStyle w:val="ab"/>
          <w:rFonts w:ascii="Arial" w:hAnsi="Arial" w:cs="Arial"/>
        </w:rPr>
        <w:footnoteRef/>
      </w:r>
      <w:r w:rsidRPr="003A3C2A">
        <w:rPr>
          <w:rFonts w:ascii="Arial" w:hAnsi="Arial" w:cs="Arial"/>
        </w:rPr>
        <w:t xml:space="preserve"> </w:t>
      </w:r>
      <w:bookmarkStart w:id="21" w:name="_Hlk219097109"/>
      <w:r w:rsidRPr="003A3C2A">
        <w:rPr>
          <w:rFonts w:ascii="Arial" w:hAnsi="Arial" w:cs="Arial"/>
        </w:rPr>
        <w:t>Panel Report, US — Supercalendered Paper, paras. 7.61 – 7.68.</w:t>
      </w:r>
      <w:bookmarkEnd w:id="21"/>
    </w:p>
  </w:footnote>
  <w:footnote w:id="25">
    <w:p w14:paraId="5EDD3102" w14:textId="77777777" w:rsidR="0078329D" w:rsidRPr="003A3C2A" w:rsidRDefault="0078329D" w:rsidP="0078329D">
      <w:pPr>
        <w:pStyle w:val="a6"/>
        <w:rPr>
          <w:rFonts w:ascii="Arial" w:hAnsi="Arial" w:cs="Arial"/>
        </w:rPr>
      </w:pPr>
      <w:r w:rsidRPr="003A3C2A">
        <w:rPr>
          <w:rStyle w:val="ab"/>
          <w:rFonts w:ascii="Arial" w:hAnsi="Arial" w:cs="Arial"/>
        </w:rPr>
        <w:footnoteRef/>
      </w:r>
      <w:r w:rsidRPr="003A3C2A">
        <w:rPr>
          <w:rFonts w:ascii="Arial" w:hAnsi="Arial" w:cs="Arial"/>
        </w:rPr>
        <w:t xml:space="preserve"> Appellate Body Report, </w:t>
      </w:r>
      <w:r w:rsidRPr="003A3C2A">
        <w:rPr>
          <w:rFonts w:ascii="Arial" w:hAnsi="Arial" w:cs="Arial"/>
          <w:i/>
          <w:iCs/>
        </w:rPr>
        <w:t>US – Countervailing Duty Investigation on DRAMs</w:t>
      </w:r>
      <w:r w:rsidRPr="003A3C2A">
        <w:rPr>
          <w:rFonts w:ascii="Arial" w:hAnsi="Arial" w:cs="Arial"/>
        </w:rPr>
        <w:t>, paras. 114.</w:t>
      </w:r>
    </w:p>
  </w:footnote>
  <w:footnote w:id="26">
    <w:p w14:paraId="66AE03C0" w14:textId="77777777" w:rsidR="0078329D" w:rsidRPr="003A3C2A" w:rsidRDefault="0078329D" w:rsidP="0078329D">
      <w:pPr>
        <w:pStyle w:val="a6"/>
        <w:rPr>
          <w:rFonts w:ascii="Arial" w:hAnsi="Arial" w:cs="Arial"/>
        </w:rPr>
      </w:pPr>
      <w:r w:rsidRPr="003A3C2A">
        <w:rPr>
          <w:rStyle w:val="ab"/>
          <w:rFonts w:ascii="Arial" w:hAnsi="Arial" w:cs="Arial"/>
        </w:rPr>
        <w:footnoteRef/>
      </w:r>
      <w:r w:rsidRPr="003A3C2A">
        <w:rPr>
          <w:rFonts w:ascii="Arial" w:hAnsi="Arial" w:cs="Arial"/>
        </w:rPr>
        <w:t xml:space="preserve"> Panel Report, US — Supercalendered Paper, paras. 7.10 – 7.13.</w:t>
      </w:r>
    </w:p>
  </w:footnote>
  <w:footnote w:id="27">
    <w:p w14:paraId="3CD2B76A" w14:textId="59335F7B" w:rsidR="0078329D" w:rsidRPr="003A3C2A" w:rsidRDefault="0078329D" w:rsidP="0078329D">
      <w:pPr>
        <w:pStyle w:val="a6"/>
        <w:rPr>
          <w:rFonts w:ascii="Arial" w:hAnsi="Arial" w:cs="Arial"/>
        </w:rPr>
      </w:pPr>
      <w:r w:rsidRPr="003A3C2A">
        <w:rPr>
          <w:rStyle w:val="ab"/>
          <w:rFonts w:ascii="Arial" w:hAnsi="Arial" w:cs="Arial"/>
        </w:rPr>
        <w:footnoteRef/>
      </w:r>
      <w:r w:rsidRPr="003A3C2A">
        <w:rPr>
          <w:rFonts w:ascii="Arial" w:hAnsi="Arial" w:cs="Arial"/>
        </w:rPr>
        <w:t xml:space="preserve"> </w:t>
      </w:r>
      <w:r w:rsidR="00F27F69">
        <w:rPr>
          <w:rFonts w:ascii="Arial" w:hAnsi="Arial" w:cs="Arial"/>
        </w:rPr>
        <w:tab/>
      </w:r>
      <w:r w:rsidRPr="003A3C2A">
        <w:rPr>
          <w:rFonts w:ascii="Arial" w:hAnsi="Arial" w:cs="Arial"/>
        </w:rPr>
        <w:t>S</w:t>
      </w:r>
      <w:r w:rsidRPr="001A4DBD">
        <w:rPr>
          <w:rFonts w:ascii="Arial" w:hAnsi="Arial" w:cs="Arial"/>
        </w:rPr>
        <w:t xml:space="preserve">ee </w:t>
      </w:r>
      <w:r w:rsidR="007477DC" w:rsidRPr="001A4DBD">
        <w:rPr>
          <w:rFonts w:ascii="Arial" w:hAnsi="Arial" w:cs="Arial"/>
        </w:rPr>
        <w:t>Exhibit</w:t>
      </w:r>
      <w:r w:rsidRPr="001A4DBD">
        <w:rPr>
          <w:rFonts w:ascii="Arial" w:hAnsi="Arial" w:cs="Arial"/>
        </w:rPr>
        <w:t>-</w:t>
      </w:r>
      <w:r w:rsidR="007477DC" w:rsidRPr="001A4DBD">
        <w:rPr>
          <w:rFonts w:ascii="Arial" w:hAnsi="Arial" w:cs="Arial"/>
        </w:rPr>
        <w:t>01</w:t>
      </w:r>
      <w:r w:rsidR="00F27F69">
        <w:rPr>
          <w:rFonts w:ascii="Arial" w:hAnsi="Arial" w:cs="Arial"/>
        </w:rPr>
        <w:t xml:space="preserve"> attached to this Comments</w:t>
      </w:r>
      <w:r w:rsidRPr="001A4DBD">
        <w:rPr>
          <w:rFonts w:ascii="Arial" w:hAnsi="Arial" w:cs="Arial"/>
        </w:rPr>
        <w:t>, Introduction to the Legislative Affairs Commission of the Standing Committee of the National People's Congress, official website of the National People's Congress of the PRC</w:t>
      </w:r>
      <w:r w:rsidR="001A4DBD">
        <w:rPr>
          <w:rFonts w:ascii="Arial" w:hAnsi="Arial" w:cs="Arial"/>
        </w:rPr>
        <w:t xml:space="preserve">; and </w:t>
      </w:r>
      <w:r w:rsidR="007477DC" w:rsidRPr="001A4DBD">
        <w:rPr>
          <w:rFonts w:ascii="Arial" w:hAnsi="Arial" w:cs="Arial"/>
        </w:rPr>
        <w:t>Exhibit-02</w:t>
      </w:r>
      <w:r w:rsidR="00F27F69">
        <w:rPr>
          <w:rFonts w:ascii="Arial" w:hAnsi="Arial" w:cs="Arial"/>
        </w:rPr>
        <w:t xml:space="preserve"> attached to this Comments</w:t>
      </w:r>
      <w:r w:rsidRPr="001A4DBD">
        <w:rPr>
          <w:rFonts w:ascii="Arial" w:hAnsi="Arial" w:cs="Arial"/>
        </w:rPr>
        <w:t>, Interpretation of the Law on Commercial Banks, official website of the National People's Congress of the PRC, published on 26 October, 2004.</w:t>
      </w:r>
    </w:p>
  </w:footnote>
  <w:footnote w:id="28">
    <w:p w14:paraId="70CDA188" w14:textId="687C252C" w:rsidR="000A289A" w:rsidRPr="003A3C2A" w:rsidRDefault="000A289A">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rPr>
        <w:t>The British Business Bank, “UK Export Finance”, available at</w:t>
      </w:r>
      <w:r w:rsidRPr="003A3C2A">
        <w:rPr>
          <w:rFonts w:ascii="Arial" w:eastAsiaTheme="minorEastAsia" w:hAnsi="Arial" w:cs="Arial"/>
          <w:lang w:eastAsia="zh-CN"/>
        </w:rPr>
        <w:t xml:space="preserve"> </w:t>
      </w:r>
      <w:hyperlink r:id="rId1" w:history="1">
        <w:r w:rsidRPr="003A3C2A">
          <w:rPr>
            <w:rStyle w:val="a4"/>
            <w:rFonts w:ascii="Arial" w:hAnsi="Arial" w:cs="Arial"/>
          </w:rPr>
          <w:t>www.british-business-bank.co.uk/export-fi</w:t>
        </w:r>
        <w:r w:rsidRPr="003A3C2A">
          <w:rPr>
            <w:rStyle w:val="a4"/>
            <w:rFonts w:ascii="Arial" w:eastAsiaTheme="minorEastAsia" w:hAnsi="Arial" w:cs="Arial"/>
            <w:lang w:eastAsia="zh-CN"/>
          </w:rPr>
          <w:t>nance</w:t>
        </w:r>
      </w:hyperlink>
    </w:p>
  </w:footnote>
  <w:footnote w:id="29">
    <w:p w14:paraId="72B1BDA9" w14:textId="77777777" w:rsidR="000A7226" w:rsidRPr="003A3C2A" w:rsidRDefault="000A7226" w:rsidP="000A7226">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rPr>
        <w:t xml:space="preserve">Panel Report, </w:t>
      </w:r>
      <w:r w:rsidRPr="003A3C2A">
        <w:rPr>
          <w:rFonts w:ascii="Arial" w:hAnsi="Arial" w:cs="Arial"/>
          <w:i/>
        </w:rPr>
        <w:t>EC and certain member States – Large Civil Aircraft</w:t>
      </w:r>
      <w:r w:rsidRPr="003A3C2A">
        <w:rPr>
          <w:rFonts w:ascii="Arial" w:hAnsi="Arial" w:cs="Arial"/>
        </w:rPr>
        <w:t>, para. 7.2083.</w:t>
      </w:r>
    </w:p>
  </w:footnote>
  <w:footnote w:id="30">
    <w:p w14:paraId="27C5E36C" w14:textId="1640E957" w:rsidR="000A7226" w:rsidRPr="003A3C2A" w:rsidRDefault="000A7226" w:rsidP="000A7226">
      <w:pPr>
        <w:pStyle w:val="a6"/>
        <w:rPr>
          <w:rFonts w:ascii="Arial" w:hAnsi="Arial" w:cs="Arial"/>
        </w:rPr>
      </w:pPr>
      <w:r w:rsidRPr="003A3C2A">
        <w:rPr>
          <w:rStyle w:val="ab"/>
          <w:rFonts w:ascii="Arial" w:hAnsi="Arial" w:cs="Arial"/>
        </w:rPr>
        <w:footnoteRef/>
      </w:r>
      <w:r w:rsidRPr="003A3C2A">
        <w:rPr>
          <w:rFonts w:ascii="Arial" w:hAnsi="Arial" w:cs="Arial"/>
        </w:rPr>
        <w:tab/>
        <w:t xml:space="preserve">The Panel in </w:t>
      </w:r>
      <w:r w:rsidRPr="003A3C2A">
        <w:rPr>
          <w:rFonts w:ascii="Arial" w:hAnsi="Arial" w:cs="Arial"/>
          <w:i/>
        </w:rPr>
        <w:t xml:space="preserve">China </w:t>
      </w:r>
      <w:r w:rsidRPr="003A3C2A">
        <w:rPr>
          <w:rFonts w:ascii="Arial" w:hAnsi="Arial" w:cs="Arial"/>
          <w:i/>
          <w:iCs/>
          <w:color w:val="000000"/>
        </w:rPr>
        <w:t>–</w:t>
      </w:r>
      <w:r w:rsidRPr="003A3C2A">
        <w:rPr>
          <w:rFonts w:ascii="Arial" w:hAnsi="Arial" w:cs="Arial"/>
          <w:i/>
        </w:rPr>
        <w:t xml:space="preserve"> GOES</w:t>
      </w:r>
      <w:r w:rsidRPr="003A3C2A">
        <w:rPr>
          <w:rFonts w:ascii="Arial" w:hAnsi="Arial" w:cs="Arial"/>
        </w:rPr>
        <w:t xml:space="preserve"> underlined that the existence of subsidy refers to a present subsidy and not to some historical subsidy given to some company. See para. 7.78.</w:t>
      </w:r>
    </w:p>
  </w:footnote>
  <w:footnote w:id="31">
    <w:p w14:paraId="6DB276C8" w14:textId="53447929" w:rsidR="000A7226" w:rsidRPr="003A3C2A" w:rsidRDefault="000A7226" w:rsidP="000A7226">
      <w:pPr>
        <w:pStyle w:val="a6"/>
        <w:rPr>
          <w:rFonts w:ascii="Arial" w:hAnsi="Arial" w:cs="Arial"/>
          <w:color w:val="000000" w:themeColor="text1"/>
        </w:rPr>
      </w:pPr>
      <w:r w:rsidRPr="003A3C2A">
        <w:rPr>
          <w:rStyle w:val="ab"/>
          <w:rFonts w:ascii="Arial" w:hAnsi="Arial" w:cs="Arial"/>
        </w:rPr>
        <w:footnoteRef/>
      </w:r>
      <w:r w:rsidRPr="003A3C2A">
        <w:rPr>
          <w:rFonts w:ascii="Arial" w:hAnsi="Arial" w:cs="Arial"/>
        </w:rPr>
        <w:tab/>
      </w:r>
      <w:r w:rsidRPr="003A3C2A">
        <w:rPr>
          <w:rFonts w:ascii="Arial" w:hAnsi="Arial" w:cs="Arial"/>
          <w:color w:val="000000" w:themeColor="text1"/>
        </w:rPr>
        <w:t xml:space="preserve">Panel Report, </w:t>
      </w:r>
      <w:r w:rsidRPr="003A3C2A">
        <w:rPr>
          <w:rFonts w:ascii="Arial" w:hAnsi="Arial" w:cs="Arial"/>
          <w:i/>
          <w:iCs/>
          <w:color w:val="000000" w:themeColor="text1"/>
        </w:rPr>
        <w:t xml:space="preserve">EC </w:t>
      </w:r>
      <w:r w:rsidRPr="003A3C2A">
        <w:rPr>
          <w:rFonts w:ascii="Arial" w:hAnsi="Arial" w:cs="Arial"/>
          <w:i/>
        </w:rPr>
        <w:t xml:space="preserve">and Certain Member States </w:t>
      </w:r>
      <w:r w:rsidRPr="003A3C2A">
        <w:rPr>
          <w:rFonts w:ascii="Arial" w:hAnsi="Arial" w:cs="Arial"/>
          <w:i/>
          <w:iCs/>
          <w:color w:val="000000"/>
        </w:rPr>
        <w:t>–</w:t>
      </w:r>
      <w:r w:rsidRPr="003A3C2A">
        <w:rPr>
          <w:rFonts w:ascii="Arial" w:hAnsi="Arial" w:cs="Arial"/>
          <w:i/>
        </w:rPr>
        <w:t xml:space="preserve"> Large Civil </w:t>
      </w:r>
      <w:r w:rsidRPr="003A3C2A">
        <w:rPr>
          <w:rFonts w:ascii="Arial" w:hAnsi="Arial" w:cs="Arial"/>
          <w:i/>
          <w:iCs/>
          <w:color w:val="000000" w:themeColor="text1"/>
        </w:rPr>
        <w:t>Aircraft</w:t>
      </w:r>
      <w:r w:rsidRPr="003A3C2A">
        <w:rPr>
          <w:rFonts w:ascii="Arial" w:hAnsi="Arial" w:cs="Arial"/>
          <w:color w:val="000000" w:themeColor="text1"/>
        </w:rPr>
        <w:t>, para. 7.1377.</w:t>
      </w:r>
    </w:p>
  </w:footnote>
  <w:footnote w:id="32">
    <w:p w14:paraId="7283BA9C" w14:textId="04E8E979" w:rsidR="000A7226" w:rsidRPr="003A3C2A" w:rsidRDefault="000A7226" w:rsidP="000A7226">
      <w:pPr>
        <w:pStyle w:val="a6"/>
        <w:rPr>
          <w:rFonts w:ascii="Arial" w:hAnsi="Arial" w:cs="Arial"/>
        </w:rPr>
      </w:pPr>
      <w:r w:rsidRPr="003A3C2A">
        <w:rPr>
          <w:rStyle w:val="ab"/>
          <w:rFonts w:ascii="Arial" w:hAnsi="Arial" w:cs="Arial"/>
        </w:rPr>
        <w:footnoteRef/>
      </w:r>
      <w:r w:rsidRPr="003A3C2A">
        <w:rPr>
          <w:rFonts w:ascii="Arial" w:hAnsi="Arial" w:cs="Arial"/>
        </w:rPr>
        <w:tab/>
        <w:t xml:space="preserve">Appellate Body Report, </w:t>
      </w:r>
      <w:r w:rsidRPr="003A3C2A">
        <w:rPr>
          <w:rFonts w:ascii="Arial" w:hAnsi="Arial" w:cs="Arial"/>
          <w:i/>
          <w:iCs/>
        </w:rPr>
        <w:t>US – Countervailing Measures (China)</w:t>
      </w:r>
      <w:r w:rsidRPr="003A3C2A">
        <w:rPr>
          <w:rFonts w:ascii="Arial" w:hAnsi="Arial" w:cs="Arial"/>
        </w:rPr>
        <w:t>, footnote 635.</w:t>
      </w:r>
    </w:p>
  </w:footnote>
  <w:footnote w:id="33">
    <w:p w14:paraId="429AD880" w14:textId="59667219" w:rsidR="000A7226" w:rsidRPr="003A3C2A" w:rsidRDefault="000A7226" w:rsidP="000A7226">
      <w:pPr>
        <w:pStyle w:val="a6"/>
        <w:rPr>
          <w:rFonts w:ascii="Arial" w:hAnsi="Arial" w:cs="Arial"/>
        </w:rPr>
      </w:pPr>
      <w:r w:rsidRPr="003A3C2A">
        <w:rPr>
          <w:rStyle w:val="ab"/>
          <w:rFonts w:ascii="Arial" w:hAnsi="Arial" w:cs="Arial"/>
        </w:rPr>
        <w:footnoteRef/>
      </w:r>
      <w:r w:rsidRPr="003A3C2A">
        <w:rPr>
          <w:rFonts w:ascii="Arial" w:hAnsi="Arial" w:cs="Arial"/>
        </w:rPr>
        <w:tab/>
        <w:t xml:space="preserve">Panel Report, </w:t>
      </w:r>
      <w:r w:rsidRPr="003A3C2A">
        <w:rPr>
          <w:rFonts w:ascii="Arial" w:hAnsi="Arial" w:cs="Arial"/>
          <w:i/>
          <w:iCs/>
        </w:rPr>
        <w:t>China – GOES</w:t>
      </w:r>
      <w:r w:rsidRPr="003A3C2A">
        <w:rPr>
          <w:rFonts w:ascii="Arial" w:hAnsi="Arial" w:cs="Arial"/>
        </w:rPr>
        <w:t>, para. 7.136.</w:t>
      </w:r>
    </w:p>
  </w:footnote>
  <w:footnote w:id="34">
    <w:p w14:paraId="520DED2C" w14:textId="00490334" w:rsidR="00DF2611" w:rsidRPr="003A3C2A" w:rsidRDefault="00DF2611">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bookmarkStart w:id="31" w:name="_Hlk161120467"/>
      <w:r w:rsidRPr="003A3C2A">
        <w:rPr>
          <w:rFonts w:ascii="Arial" w:hAnsi="Arial" w:cs="Arial"/>
        </w:rPr>
        <w:t xml:space="preserve">Panel Report, </w:t>
      </w:r>
      <w:r w:rsidRPr="003A3C2A">
        <w:rPr>
          <w:rFonts w:ascii="Arial" w:hAnsi="Arial" w:cs="Arial"/>
          <w:i/>
        </w:rPr>
        <w:t xml:space="preserve">EC and certain member States – Large Civil Aircraft </w:t>
      </w:r>
      <w:r w:rsidRPr="003A3C2A">
        <w:rPr>
          <w:rFonts w:ascii="Arial" w:hAnsi="Arial" w:cs="Arial"/>
        </w:rPr>
        <w:t>paras. 7.304 and 7.735.</w:t>
      </w:r>
      <w:bookmarkEnd w:id="31"/>
    </w:p>
  </w:footnote>
  <w:footnote w:id="35">
    <w:p w14:paraId="5329ECDC" w14:textId="03A43EFF" w:rsidR="00B30A18" w:rsidRPr="003A3C2A" w:rsidRDefault="00B30A18" w:rsidP="00B30A18">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t xml:space="preserve">ibid. See also: Appellate Body Report, </w:t>
      </w:r>
      <w:r w:rsidRPr="003A3C2A">
        <w:rPr>
          <w:rFonts w:ascii="Arial" w:eastAsiaTheme="minorEastAsia" w:hAnsi="Arial" w:cs="Arial"/>
          <w:i/>
          <w:iCs/>
          <w:lang w:eastAsia="zh-CN"/>
        </w:rPr>
        <w:t>US – Large Civil Aircraft</w:t>
      </w:r>
      <w:r w:rsidRPr="003A3C2A">
        <w:rPr>
          <w:rFonts w:ascii="Arial" w:eastAsiaTheme="minorEastAsia" w:hAnsi="Arial" w:cs="Arial"/>
          <w:lang w:eastAsia="zh-CN"/>
        </w:rPr>
        <w:t xml:space="preserve">, para. 635; and Appellate Body Report, </w:t>
      </w:r>
      <w:r w:rsidRPr="003A3C2A">
        <w:rPr>
          <w:rFonts w:ascii="Arial" w:eastAsiaTheme="minorEastAsia" w:hAnsi="Arial" w:cs="Arial"/>
          <w:i/>
          <w:iCs/>
          <w:lang w:eastAsia="zh-CN"/>
        </w:rPr>
        <w:t>Canada – Aircraft</w:t>
      </w:r>
      <w:r w:rsidRPr="003A3C2A">
        <w:rPr>
          <w:rFonts w:ascii="Arial" w:eastAsiaTheme="minorEastAsia" w:hAnsi="Arial" w:cs="Arial"/>
          <w:lang w:eastAsia="zh-CN"/>
        </w:rPr>
        <w:t>, para. 157.</w:t>
      </w:r>
    </w:p>
  </w:footnote>
  <w:footnote w:id="36">
    <w:p w14:paraId="6D8F42E5" w14:textId="2DDA832F" w:rsidR="00B30A18" w:rsidRPr="003A3C2A" w:rsidRDefault="00B30A18">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bookmarkStart w:id="34" w:name="_Hlk161121196"/>
      <w:r w:rsidRPr="003A3C2A">
        <w:rPr>
          <w:rFonts w:ascii="Arial" w:hAnsi="Arial" w:cs="Arial"/>
        </w:rPr>
        <w:t xml:space="preserve">Appellate Body Report, </w:t>
      </w:r>
      <w:r w:rsidRPr="003A3C2A">
        <w:rPr>
          <w:rFonts w:ascii="Arial" w:hAnsi="Arial" w:cs="Arial"/>
          <w:i/>
        </w:rPr>
        <w:t xml:space="preserve">EC and certain member States – Large Civil Aircraft, </w:t>
      </w:r>
      <w:r w:rsidRPr="003A3C2A">
        <w:rPr>
          <w:rFonts w:ascii="Arial" w:hAnsi="Arial" w:cs="Arial"/>
        </w:rPr>
        <w:t>para. 973; Appellate Body Report,</w:t>
      </w:r>
      <w:r w:rsidRPr="003A3C2A">
        <w:rPr>
          <w:rFonts w:ascii="Arial" w:eastAsiaTheme="minorEastAsia" w:hAnsi="Arial" w:cs="Arial"/>
          <w:lang w:eastAsia="zh-CN"/>
        </w:rPr>
        <w:t xml:space="preserve"> </w:t>
      </w:r>
      <w:r w:rsidRPr="003A3C2A">
        <w:rPr>
          <w:rFonts w:ascii="Arial" w:hAnsi="Arial" w:cs="Arial"/>
          <w:i/>
        </w:rPr>
        <w:t>US – Large Civil Aircraft</w:t>
      </w:r>
      <w:r w:rsidRPr="003A3C2A">
        <w:rPr>
          <w:rFonts w:ascii="Arial" w:hAnsi="Arial" w:cs="Arial"/>
        </w:rPr>
        <w:t xml:space="preserve">, para. 635; and Appellate Body Report, </w:t>
      </w:r>
      <w:r w:rsidRPr="003A3C2A">
        <w:rPr>
          <w:rFonts w:ascii="Arial" w:hAnsi="Arial" w:cs="Arial"/>
          <w:i/>
        </w:rPr>
        <w:t>Canada – Aircraft</w:t>
      </w:r>
      <w:r w:rsidRPr="003A3C2A">
        <w:rPr>
          <w:rFonts w:ascii="Arial" w:hAnsi="Arial" w:cs="Arial"/>
        </w:rPr>
        <w:t>, para. 158.</w:t>
      </w:r>
      <w:bookmarkEnd w:id="34"/>
    </w:p>
  </w:footnote>
  <w:footnote w:id="37">
    <w:p w14:paraId="64B51D3D" w14:textId="6EB04257" w:rsidR="00B30A18" w:rsidRPr="003A3C2A" w:rsidRDefault="00B30A18">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bookmarkStart w:id="35" w:name="_Hlk161121258"/>
      <w:r w:rsidRPr="003A3C2A">
        <w:rPr>
          <w:rFonts w:ascii="Arial" w:hAnsi="Arial" w:cs="Arial"/>
        </w:rPr>
        <w:t xml:space="preserve">Panel Report, </w:t>
      </w:r>
      <w:r w:rsidRPr="003A3C2A">
        <w:rPr>
          <w:rFonts w:ascii="Arial" w:hAnsi="Arial" w:cs="Arial"/>
          <w:i/>
        </w:rPr>
        <w:t>EC and certain member States – Large Civil Aircraft</w:t>
      </w:r>
      <w:r w:rsidRPr="003A3C2A">
        <w:rPr>
          <w:rFonts w:ascii="Arial" w:hAnsi="Arial" w:cs="Arial"/>
        </w:rPr>
        <w:t>, para.</w:t>
      </w:r>
      <w:r w:rsidRPr="003A3C2A">
        <w:rPr>
          <w:rFonts w:ascii="Arial" w:hAnsi="Arial" w:cs="Arial"/>
          <w:spacing w:val="-13"/>
        </w:rPr>
        <w:t xml:space="preserve"> </w:t>
      </w:r>
      <w:r w:rsidRPr="003A3C2A">
        <w:rPr>
          <w:rFonts w:ascii="Arial" w:hAnsi="Arial" w:cs="Arial"/>
        </w:rPr>
        <w:t>7.884.</w:t>
      </w:r>
      <w:bookmarkEnd w:id="35"/>
    </w:p>
  </w:footnote>
  <w:footnote w:id="38">
    <w:p w14:paraId="6F5F03D1" w14:textId="3561651D" w:rsidR="003627B4" w:rsidRPr="003A3C2A" w:rsidRDefault="003627B4">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bookmarkStart w:id="37" w:name="_Hlk161121632"/>
      <w:r w:rsidRPr="003A3C2A">
        <w:rPr>
          <w:rFonts w:ascii="Arial" w:hAnsi="Arial" w:cs="Arial"/>
        </w:rPr>
        <w:t xml:space="preserve">Panel Report, </w:t>
      </w:r>
      <w:r w:rsidRPr="003A3C2A">
        <w:rPr>
          <w:rFonts w:ascii="Arial" w:hAnsi="Arial" w:cs="Arial"/>
          <w:i/>
        </w:rPr>
        <w:t xml:space="preserve">China – GOES, </w:t>
      </w:r>
      <w:r w:rsidRPr="003A3C2A">
        <w:rPr>
          <w:rFonts w:ascii="Arial" w:hAnsi="Arial" w:cs="Arial"/>
        </w:rPr>
        <w:t>para. 7.66.</w:t>
      </w:r>
      <w:bookmarkEnd w:id="37"/>
    </w:p>
  </w:footnote>
  <w:footnote w:id="39">
    <w:p w14:paraId="3A72DA9E" w14:textId="40C72435" w:rsidR="00B45993" w:rsidRPr="003A3C2A" w:rsidRDefault="00B45993">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rPr>
        <w:t xml:space="preserve">Appellate Body Report, </w:t>
      </w:r>
      <w:r w:rsidRPr="003A3C2A">
        <w:rPr>
          <w:rFonts w:ascii="Arial" w:hAnsi="Arial" w:cs="Arial"/>
          <w:i/>
        </w:rPr>
        <w:t>US – Carbon Steel (India)</w:t>
      </w:r>
      <w:r w:rsidRPr="003A3C2A">
        <w:rPr>
          <w:rFonts w:ascii="Arial" w:hAnsi="Arial" w:cs="Arial"/>
        </w:rPr>
        <w:t>, para. 4.154.</w:t>
      </w:r>
    </w:p>
  </w:footnote>
  <w:footnote w:id="40">
    <w:p w14:paraId="6ECF0A77" w14:textId="35E090C2" w:rsidR="00B45993" w:rsidRPr="003A3C2A" w:rsidRDefault="00B45993">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i/>
        </w:rPr>
        <w:t>ibid</w:t>
      </w:r>
      <w:r w:rsidRPr="003A3C2A">
        <w:rPr>
          <w:rFonts w:ascii="Arial" w:hAnsi="Arial" w:cs="Arial"/>
        </w:rPr>
        <w:t>, para.</w:t>
      </w:r>
      <w:r w:rsidRPr="003A3C2A">
        <w:rPr>
          <w:rFonts w:ascii="Arial" w:hAnsi="Arial" w:cs="Arial"/>
          <w:spacing w:val="-2"/>
        </w:rPr>
        <w:t xml:space="preserve"> </w:t>
      </w:r>
      <w:r w:rsidRPr="003A3C2A">
        <w:rPr>
          <w:rFonts w:ascii="Arial" w:hAnsi="Arial" w:cs="Arial"/>
        </w:rPr>
        <w:t>4.168.</w:t>
      </w:r>
    </w:p>
  </w:footnote>
  <w:footnote w:id="41">
    <w:p w14:paraId="5C71BED4" w14:textId="714CD964" w:rsidR="00B45993" w:rsidRPr="003A3C2A" w:rsidRDefault="00B45993">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i/>
        </w:rPr>
        <w:t>ibid</w:t>
      </w:r>
      <w:r w:rsidRPr="003A3C2A">
        <w:rPr>
          <w:rFonts w:ascii="Arial" w:hAnsi="Arial" w:cs="Arial"/>
        </w:rPr>
        <w:t>, para.</w:t>
      </w:r>
      <w:r w:rsidRPr="003A3C2A">
        <w:rPr>
          <w:rFonts w:ascii="Arial" w:hAnsi="Arial" w:cs="Arial"/>
          <w:spacing w:val="-4"/>
        </w:rPr>
        <w:t xml:space="preserve"> </w:t>
      </w:r>
      <w:r w:rsidRPr="003A3C2A">
        <w:rPr>
          <w:rFonts w:ascii="Arial" w:hAnsi="Arial" w:cs="Arial"/>
        </w:rPr>
        <w:t>4.170.</w:t>
      </w:r>
    </w:p>
  </w:footnote>
  <w:footnote w:id="42">
    <w:p w14:paraId="7638A0D9" w14:textId="3AA3E25D" w:rsidR="00B45993" w:rsidRPr="003A3C2A" w:rsidRDefault="00B45993">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i/>
        </w:rPr>
        <w:t>ibid</w:t>
      </w:r>
      <w:r w:rsidRPr="003A3C2A">
        <w:rPr>
          <w:rFonts w:ascii="Arial" w:hAnsi="Arial" w:cs="Arial"/>
        </w:rPr>
        <w:t>, para.</w:t>
      </w:r>
      <w:r w:rsidRPr="003A3C2A">
        <w:rPr>
          <w:rFonts w:ascii="Arial" w:hAnsi="Arial" w:cs="Arial"/>
          <w:spacing w:val="-3"/>
        </w:rPr>
        <w:t xml:space="preserve"> </w:t>
      </w:r>
      <w:r w:rsidRPr="003A3C2A">
        <w:rPr>
          <w:rFonts w:ascii="Arial" w:hAnsi="Arial" w:cs="Arial"/>
        </w:rPr>
        <w:t>4.151.</w:t>
      </w:r>
    </w:p>
  </w:footnote>
  <w:footnote w:id="43">
    <w:p w14:paraId="1B881FC7" w14:textId="7A1390C5" w:rsidR="00B45993" w:rsidRPr="003A3C2A" w:rsidRDefault="00B45993">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bookmarkStart w:id="44" w:name="_Hlk161295292"/>
      <w:r w:rsidRPr="003A3C2A">
        <w:rPr>
          <w:rFonts w:ascii="Arial" w:hAnsi="Arial" w:cs="Arial"/>
        </w:rPr>
        <w:t xml:space="preserve">Appellate Body Report, </w:t>
      </w:r>
      <w:r w:rsidRPr="003A3C2A">
        <w:rPr>
          <w:rFonts w:ascii="Arial" w:hAnsi="Arial" w:cs="Arial"/>
          <w:i/>
        </w:rPr>
        <w:t>US – Carbon Steel (India)</w:t>
      </w:r>
      <w:r w:rsidRPr="003A3C2A">
        <w:rPr>
          <w:rFonts w:ascii="Arial" w:hAnsi="Arial" w:cs="Arial"/>
        </w:rPr>
        <w:t>, para. 4. 154.</w:t>
      </w:r>
      <w:bookmarkEnd w:id="44"/>
    </w:p>
  </w:footnote>
  <w:footnote w:id="44">
    <w:p w14:paraId="0000B28F" w14:textId="1DDFF137" w:rsidR="00B45993" w:rsidRPr="003A3C2A" w:rsidRDefault="00B45993">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rPr>
        <w:t xml:space="preserve">Appellate Body Report </w:t>
      </w:r>
      <w:r w:rsidRPr="003A3C2A">
        <w:rPr>
          <w:rFonts w:ascii="Arial" w:hAnsi="Arial" w:cs="Arial"/>
          <w:i/>
        </w:rPr>
        <w:t>US – Softwood Lumber IV</w:t>
      </w:r>
      <w:r w:rsidRPr="003A3C2A">
        <w:rPr>
          <w:rFonts w:ascii="Arial" w:hAnsi="Arial" w:cs="Arial"/>
        </w:rPr>
        <w:t xml:space="preserve">, para. 106; Panel Report, </w:t>
      </w:r>
      <w:r w:rsidRPr="003A3C2A">
        <w:rPr>
          <w:rFonts w:ascii="Arial" w:hAnsi="Arial" w:cs="Arial"/>
          <w:i/>
        </w:rPr>
        <w:t>US – AD and CVD (China)</w:t>
      </w:r>
      <w:r w:rsidRPr="003A3C2A">
        <w:rPr>
          <w:rFonts w:ascii="Arial" w:hAnsi="Arial" w:cs="Arial"/>
        </w:rPr>
        <w:t xml:space="preserve">, para. 10.187; Appellate Body Report </w:t>
      </w:r>
      <w:r w:rsidRPr="003A3C2A">
        <w:rPr>
          <w:rFonts w:ascii="Arial" w:hAnsi="Arial" w:cs="Arial"/>
          <w:i/>
        </w:rPr>
        <w:t>US — Carbon Steel (India)</w:t>
      </w:r>
      <w:r w:rsidRPr="003A3C2A">
        <w:rPr>
          <w:rFonts w:ascii="Arial" w:hAnsi="Arial" w:cs="Arial"/>
        </w:rPr>
        <w:t>, para.4.158.</w:t>
      </w:r>
    </w:p>
  </w:footnote>
  <w:footnote w:id="45">
    <w:p w14:paraId="1B86942B" w14:textId="0926422E" w:rsidR="00B45993" w:rsidRPr="003A3C2A" w:rsidRDefault="00B45993">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rPr>
        <w:t xml:space="preserve">Appellate Body Reports, </w:t>
      </w:r>
      <w:r w:rsidRPr="003A3C2A">
        <w:rPr>
          <w:rFonts w:ascii="Arial" w:hAnsi="Arial" w:cs="Arial"/>
          <w:i/>
        </w:rPr>
        <w:t>Canada – Renewable Energy / Canada – Feed-in Tariff Program</w:t>
      </w:r>
      <w:r w:rsidRPr="003A3C2A">
        <w:rPr>
          <w:rFonts w:ascii="Arial" w:hAnsi="Arial" w:cs="Arial"/>
        </w:rPr>
        <w:t>, para. 5.228.</w:t>
      </w:r>
    </w:p>
  </w:footnote>
  <w:footnote w:id="46">
    <w:p w14:paraId="684E2AA7" w14:textId="77777777" w:rsidR="00133D6C" w:rsidRPr="003A3C2A" w:rsidRDefault="00133D6C" w:rsidP="00133D6C">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rPr>
        <w:t xml:space="preserve">Panel Report, </w:t>
      </w:r>
      <w:r w:rsidRPr="003A3C2A">
        <w:rPr>
          <w:rFonts w:ascii="Arial" w:hAnsi="Arial" w:cs="Arial"/>
          <w:i/>
        </w:rPr>
        <w:t>China – GOES</w:t>
      </w:r>
      <w:r w:rsidRPr="003A3C2A">
        <w:rPr>
          <w:rFonts w:ascii="Arial" w:hAnsi="Arial" w:cs="Arial"/>
        </w:rPr>
        <w:t>, paras. 7.71-7.74.</w:t>
      </w:r>
    </w:p>
  </w:footnote>
  <w:footnote w:id="47">
    <w:p w14:paraId="29C75846" w14:textId="3C6F7E70" w:rsidR="00CF2F8C" w:rsidRPr="003A3C2A" w:rsidRDefault="00CF2F8C">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rPr>
        <w:t xml:space="preserve">Panel Report, </w:t>
      </w:r>
      <w:r w:rsidRPr="003A3C2A">
        <w:rPr>
          <w:rFonts w:ascii="Arial" w:hAnsi="Arial" w:cs="Arial"/>
          <w:i/>
        </w:rPr>
        <w:t>US – DRAMs (CVD)</w:t>
      </w:r>
      <w:r w:rsidRPr="003A3C2A">
        <w:rPr>
          <w:rFonts w:ascii="Arial" w:hAnsi="Arial" w:cs="Arial"/>
        </w:rPr>
        <w:t>, para. 7.35.</w:t>
      </w:r>
    </w:p>
  </w:footnote>
  <w:footnote w:id="48">
    <w:p w14:paraId="3685CAB6" w14:textId="33670B90" w:rsidR="00CF2F8C" w:rsidRPr="003A3C2A" w:rsidRDefault="00CF2F8C">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Pr="003A3C2A">
        <w:rPr>
          <w:rFonts w:ascii="Arial" w:eastAsiaTheme="minorEastAsia" w:hAnsi="Arial" w:cs="Arial"/>
          <w:lang w:eastAsia="zh-CN"/>
        </w:rPr>
        <w:tab/>
      </w:r>
      <w:r w:rsidRPr="003A3C2A">
        <w:rPr>
          <w:rFonts w:ascii="Arial" w:hAnsi="Arial" w:cs="Arial"/>
        </w:rPr>
        <w:t xml:space="preserve">Appellate Body Report, </w:t>
      </w:r>
      <w:r w:rsidRPr="003A3C2A">
        <w:rPr>
          <w:rFonts w:ascii="Arial" w:hAnsi="Arial" w:cs="Arial"/>
          <w:i/>
        </w:rPr>
        <w:t xml:space="preserve">US –Softwood Lumber IV, </w:t>
      </w:r>
      <w:r w:rsidRPr="003A3C2A">
        <w:rPr>
          <w:rFonts w:ascii="Arial" w:hAnsi="Arial" w:cs="Arial"/>
        </w:rPr>
        <w:t>para. 51</w:t>
      </w:r>
    </w:p>
  </w:footnote>
  <w:footnote w:id="49">
    <w:p w14:paraId="51D14915" w14:textId="792A38EA" w:rsidR="00443038" w:rsidRPr="003A3C2A" w:rsidRDefault="00443038">
      <w:pPr>
        <w:pStyle w:val="a6"/>
        <w:rPr>
          <w:rFonts w:ascii="Arial" w:eastAsiaTheme="minorEastAsia" w:hAnsi="Arial" w:cs="Arial"/>
          <w:lang w:eastAsia="zh-CN"/>
        </w:rPr>
      </w:pPr>
      <w:r w:rsidRPr="003A3C2A">
        <w:rPr>
          <w:rStyle w:val="ab"/>
          <w:rFonts w:ascii="Arial" w:hAnsi="Arial" w:cs="Arial"/>
        </w:rPr>
        <w:footnoteRef/>
      </w:r>
      <w:r w:rsidRPr="003A3C2A">
        <w:rPr>
          <w:rFonts w:ascii="Arial" w:hAnsi="Arial" w:cs="Arial"/>
        </w:rPr>
        <w:t xml:space="preserve"> </w:t>
      </w:r>
      <w:r w:rsidR="00BE5AC1" w:rsidRPr="003A3C2A">
        <w:rPr>
          <w:rFonts w:ascii="Arial" w:hAnsi="Arial" w:cs="Arial"/>
        </w:rPr>
        <w:tab/>
        <w:t>Appellate Body Report</w:t>
      </w:r>
      <w:r w:rsidRPr="003A3C2A">
        <w:rPr>
          <w:rFonts w:ascii="Arial" w:hAnsi="Arial" w:cs="Arial"/>
        </w:rPr>
        <w:t xml:space="preserve">, </w:t>
      </w:r>
      <w:r w:rsidRPr="003A3C2A">
        <w:rPr>
          <w:rFonts w:ascii="Arial" w:hAnsi="Arial" w:cs="Arial"/>
          <w:i/>
          <w:iCs/>
          <w:lang w:val="en-GB"/>
        </w:rPr>
        <w:t>US — Countervailing Measures (China)</w:t>
      </w:r>
      <w:r w:rsidR="00BE5AC1" w:rsidRPr="003A3C2A">
        <w:rPr>
          <w:rFonts w:ascii="Arial" w:hAnsi="Arial" w:cs="Arial"/>
          <w:i/>
          <w:iCs/>
          <w:lang w:val="en-GB"/>
        </w:rPr>
        <w:t>, para</w:t>
      </w:r>
      <w:r w:rsidR="00EB2FA5" w:rsidRPr="003A3C2A">
        <w:rPr>
          <w:rFonts w:ascii="Arial" w:hAnsi="Arial" w:cs="Arial"/>
          <w:i/>
          <w:iCs/>
          <w:lang w:val="en-GB"/>
        </w:rPr>
        <w:t>s 4.140-4.144.</w:t>
      </w:r>
    </w:p>
  </w:footnote>
  <w:footnote w:id="50">
    <w:p w14:paraId="1F70D6C7" w14:textId="5149C979" w:rsidR="00EE04E3" w:rsidRPr="003A3C2A" w:rsidRDefault="00EE04E3" w:rsidP="00EE04E3">
      <w:pPr>
        <w:pStyle w:val="a6"/>
        <w:rPr>
          <w:rFonts w:ascii="Arial" w:hAnsi="Arial" w:cs="Arial"/>
        </w:rPr>
      </w:pPr>
      <w:r w:rsidRPr="003A3C2A">
        <w:rPr>
          <w:rStyle w:val="ab"/>
          <w:rFonts w:ascii="Arial" w:hAnsi="Arial" w:cs="Arial"/>
        </w:rPr>
        <w:footnoteRef/>
      </w:r>
      <w:r w:rsidRPr="003A3C2A">
        <w:rPr>
          <w:rFonts w:ascii="Arial" w:hAnsi="Arial" w:cs="Arial"/>
        </w:rPr>
        <w:t xml:space="preserve"> </w:t>
      </w:r>
      <w:r w:rsidRPr="003A3C2A">
        <w:rPr>
          <w:rFonts w:ascii="Arial" w:hAnsi="Arial" w:cs="Arial"/>
        </w:rPr>
        <w:tab/>
        <w:t xml:space="preserve">Appellate Body Report, </w:t>
      </w:r>
      <w:r w:rsidRPr="003A3C2A">
        <w:rPr>
          <w:rFonts w:ascii="Arial" w:hAnsi="Arial" w:cs="Arial"/>
          <w:i/>
          <w:iCs/>
        </w:rPr>
        <w:t>US – Anti-Dumping and Countervailing Duties (China)</w:t>
      </w:r>
      <w:r w:rsidRPr="003A3C2A">
        <w:rPr>
          <w:rFonts w:ascii="Arial" w:hAnsi="Arial" w:cs="Arial"/>
        </w:rPr>
        <w:t>, para. 319.</w:t>
      </w:r>
    </w:p>
  </w:footnote>
  <w:footnote w:id="51">
    <w:p w14:paraId="349E328A" w14:textId="16C3031F" w:rsidR="008260C7" w:rsidRPr="003A3C2A" w:rsidRDefault="008260C7" w:rsidP="008260C7">
      <w:pPr>
        <w:pStyle w:val="a6"/>
        <w:rPr>
          <w:rFonts w:ascii="Arial" w:hAnsi="Arial" w:cs="Arial"/>
        </w:rPr>
      </w:pPr>
      <w:r w:rsidRPr="003A3C2A">
        <w:rPr>
          <w:rStyle w:val="ab"/>
          <w:rFonts w:ascii="Arial" w:hAnsi="Arial" w:cs="Arial"/>
        </w:rPr>
        <w:footnoteRef/>
      </w:r>
      <w:r w:rsidRPr="003A3C2A">
        <w:rPr>
          <w:rFonts w:ascii="Arial" w:hAnsi="Arial" w:cs="Arial"/>
        </w:rPr>
        <w:tab/>
      </w:r>
      <w:r w:rsidRPr="003A3C2A">
        <w:rPr>
          <w:rFonts w:ascii="Arial" w:hAnsi="Arial" w:cs="Arial"/>
          <w:i/>
          <w:iCs/>
        </w:rPr>
        <w:t>Ibid</w:t>
      </w:r>
      <w:r w:rsidRPr="003A3C2A">
        <w:rPr>
          <w:rFonts w:ascii="Arial" w:hAnsi="Arial" w:cs="Arial"/>
        </w:rPr>
        <w:t>., para. 7.56.</w:t>
      </w:r>
    </w:p>
  </w:footnote>
  <w:footnote w:id="52">
    <w:p w14:paraId="16F5AD39" w14:textId="77777777" w:rsidR="00226C57" w:rsidRPr="003A3C2A" w:rsidRDefault="00226C57" w:rsidP="00226C57">
      <w:pPr>
        <w:pStyle w:val="a6"/>
        <w:rPr>
          <w:rFonts w:ascii="Arial" w:hAnsi="Arial" w:cs="Arial"/>
          <w:iCs/>
        </w:rPr>
      </w:pPr>
      <w:r w:rsidRPr="003A3C2A">
        <w:rPr>
          <w:rStyle w:val="ab"/>
          <w:rFonts w:ascii="Arial" w:hAnsi="Arial" w:cs="Arial"/>
        </w:rPr>
        <w:footnoteRef/>
      </w:r>
      <w:r w:rsidRPr="003A3C2A">
        <w:rPr>
          <w:rFonts w:ascii="Arial" w:hAnsi="Arial" w:cs="Arial"/>
        </w:rPr>
        <w:t>.</w:t>
      </w:r>
      <w:r w:rsidRPr="003A3C2A">
        <w:rPr>
          <w:rFonts w:ascii="Arial" w:hAnsi="Arial" w:cs="Arial"/>
        </w:rPr>
        <w:tab/>
        <w:t xml:space="preserve">Appellate Body Report, </w:t>
      </w:r>
      <w:r w:rsidRPr="003A3C2A">
        <w:rPr>
          <w:rFonts w:ascii="Arial" w:eastAsia="Times New Roman" w:hAnsi="Arial" w:cs="Arial"/>
          <w:i/>
        </w:rPr>
        <w:t xml:space="preserve">US </w:t>
      </w:r>
      <w:r w:rsidRPr="003A3C2A">
        <w:rPr>
          <w:rFonts w:ascii="Arial" w:hAnsi="Arial" w:cs="Arial"/>
          <w:i/>
          <w:iCs/>
          <w:color w:val="000000"/>
        </w:rPr>
        <w:t>–</w:t>
      </w:r>
      <w:r w:rsidRPr="003A3C2A">
        <w:rPr>
          <w:rFonts w:ascii="Arial" w:eastAsia="Times New Roman" w:hAnsi="Arial" w:cs="Arial"/>
          <w:i/>
        </w:rPr>
        <w:t xml:space="preserve"> Countervailing Measures (China)</w:t>
      </w:r>
      <w:r w:rsidRPr="003A3C2A">
        <w:rPr>
          <w:rFonts w:ascii="Arial" w:eastAsia="Times New Roman" w:hAnsi="Arial" w:cs="Arial"/>
          <w:iCs/>
        </w:rPr>
        <w:t>, para. 4.129.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4D8FB" w14:textId="61BA2C63" w:rsidR="00654BDE" w:rsidRPr="00654BDE" w:rsidRDefault="00654BDE" w:rsidP="00654BDE">
    <w:pPr>
      <w:pStyle w:val="ad"/>
      <w:jc w:val="right"/>
      <w:rPr>
        <w:rFonts w:ascii="Arial" w:hAnsi="Arial" w:cs="Arial"/>
        <w:i/>
        <w:iCs/>
        <w:sz w:val="20"/>
        <w:szCs w:val="20"/>
      </w:rPr>
    </w:pPr>
    <w:r w:rsidRPr="00654BDE">
      <w:rPr>
        <w:rFonts w:ascii="Arial" w:hAnsi="Arial" w:cs="Arial"/>
        <w:i/>
        <w:iCs/>
        <w:sz w:val="20"/>
        <w:szCs w:val="20"/>
      </w:rPr>
      <w:t>OPEN</w:t>
    </w:r>
  </w:p>
  <w:p w14:paraId="3E6D807F" w14:textId="77777777" w:rsidR="00EE24AD" w:rsidRDefault="00EE24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1A74CC"/>
    <w:lvl w:ilvl="0">
      <w:start w:val="1"/>
      <w:numFmt w:val="bullet"/>
      <w:pStyle w:val="a"/>
      <w:lvlText w:val=""/>
      <w:lvlJc w:val="left"/>
      <w:pPr>
        <w:ind w:left="720" w:hanging="720"/>
      </w:pPr>
      <w:rPr>
        <w:rFonts w:ascii="Symbol" w:hAnsi="Symbol" w:hint="default"/>
        <w:color w:val="auto"/>
      </w:rPr>
    </w:lvl>
  </w:abstractNum>
  <w:abstractNum w:abstractNumId="1" w15:restartNumberingAfterBreak="0">
    <w:nsid w:val="00000402"/>
    <w:multiLevelType w:val="multilevel"/>
    <w:tmpl w:val="00000402"/>
    <w:lvl w:ilvl="0">
      <w:numFmt w:val="bullet"/>
      <w:lvlText w:val=""/>
      <w:lvlJc w:val="left"/>
      <w:pPr>
        <w:ind w:left="4562" w:hanging="284"/>
      </w:pPr>
      <w:rPr>
        <w:rFonts w:ascii="Symbol" w:hAnsi="Symbol"/>
        <w:b w:val="0"/>
        <w:w w:val="100"/>
        <w:sz w:val="22"/>
      </w:rPr>
    </w:lvl>
    <w:lvl w:ilvl="1">
      <w:numFmt w:val="bullet"/>
      <w:lvlText w:val="•"/>
      <w:lvlJc w:val="left"/>
      <w:pPr>
        <w:ind w:left="4829" w:hanging="284"/>
      </w:pPr>
    </w:lvl>
    <w:lvl w:ilvl="2">
      <w:numFmt w:val="bullet"/>
      <w:lvlText w:val="•"/>
      <w:lvlJc w:val="left"/>
      <w:pPr>
        <w:ind w:left="5103" w:hanging="284"/>
      </w:pPr>
    </w:lvl>
    <w:lvl w:ilvl="3">
      <w:numFmt w:val="bullet"/>
      <w:lvlText w:val="•"/>
      <w:lvlJc w:val="left"/>
      <w:pPr>
        <w:ind w:left="5376" w:hanging="284"/>
      </w:pPr>
    </w:lvl>
    <w:lvl w:ilvl="4">
      <w:numFmt w:val="bullet"/>
      <w:lvlText w:val="•"/>
      <w:lvlJc w:val="left"/>
      <w:pPr>
        <w:ind w:left="5650" w:hanging="284"/>
      </w:pPr>
    </w:lvl>
    <w:lvl w:ilvl="5">
      <w:numFmt w:val="bullet"/>
      <w:lvlText w:val="•"/>
      <w:lvlJc w:val="left"/>
      <w:pPr>
        <w:ind w:left="5923" w:hanging="284"/>
      </w:pPr>
    </w:lvl>
    <w:lvl w:ilvl="6">
      <w:numFmt w:val="bullet"/>
      <w:lvlText w:val="•"/>
      <w:lvlJc w:val="left"/>
      <w:pPr>
        <w:ind w:left="6197" w:hanging="284"/>
      </w:pPr>
    </w:lvl>
    <w:lvl w:ilvl="7">
      <w:numFmt w:val="bullet"/>
      <w:lvlText w:val="•"/>
      <w:lvlJc w:val="left"/>
      <w:pPr>
        <w:ind w:left="6470" w:hanging="284"/>
      </w:pPr>
    </w:lvl>
    <w:lvl w:ilvl="8">
      <w:numFmt w:val="bullet"/>
      <w:lvlText w:val="•"/>
      <w:lvlJc w:val="left"/>
      <w:pPr>
        <w:ind w:left="6744" w:hanging="284"/>
      </w:pPr>
    </w:lvl>
  </w:abstractNum>
  <w:abstractNum w:abstractNumId="2" w15:restartNumberingAfterBreak="0">
    <w:nsid w:val="0000040F"/>
    <w:multiLevelType w:val="multilevel"/>
    <w:tmpl w:val="0000040F"/>
    <w:lvl w:ilvl="0">
      <w:start w:val="1"/>
      <w:numFmt w:val="decimal"/>
      <w:lvlText w:val="(%1)"/>
      <w:lvlJc w:val="left"/>
      <w:pPr>
        <w:ind w:left="1600" w:hanging="360"/>
      </w:pPr>
      <w:rPr>
        <w:rFonts w:ascii="Times New Roman" w:hAnsi="Times New Roman" w:cs="Times New Roman"/>
        <w:b w:val="0"/>
        <w:bCs w:val="0"/>
        <w:w w:val="99"/>
        <w:sz w:val="24"/>
        <w:szCs w:val="24"/>
      </w:rPr>
    </w:lvl>
    <w:lvl w:ilvl="1">
      <w:start w:val="1"/>
      <w:numFmt w:val="lowerRoman"/>
      <w:lvlText w:val="%2."/>
      <w:lvlJc w:val="left"/>
      <w:pPr>
        <w:ind w:left="2526" w:hanging="488"/>
      </w:pPr>
      <w:rPr>
        <w:rFonts w:ascii="Times New Roman" w:hAnsi="Times New Roman" w:cs="Times New Roman"/>
        <w:b w:val="0"/>
        <w:bCs w:val="0"/>
        <w:spacing w:val="-2"/>
        <w:w w:val="99"/>
        <w:sz w:val="24"/>
        <w:szCs w:val="24"/>
      </w:rPr>
    </w:lvl>
    <w:lvl w:ilvl="2">
      <w:numFmt w:val="bullet"/>
      <w:lvlText w:val="•"/>
      <w:lvlJc w:val="left"/>
      <w:pPr>
        <w:ind w:left="3460" w:hanging="488"/>
      </w:pPr>
    </w:lvl>
    <w:lvl w:ilvl="3">
      <w:numFmt w:val="bullet"/>
      <w:lvlText w:val="•"/>
      <w:lvlJc w:val="left"/>
      <w:pPr>
        <w:ind w:left="4401" w:hanging="488"/>
      </w:pPr>
    </w:lvl>
    <w:lvl w:ilvl="4">
      <w:numFmt w:val="bullet"/>
      <w:lvlText w:val="•"/>
      <w:lvlJc w:val="left"/>
      <w:pPr>
        <w:ind w:left="5342" w:hanging="488"/>
      </w:pPr>
    </w:lvl>
    <w:lvl w:ilvl="5">
      <w:numFmt w:val="bullet"/>
      <w:lvlText w:val="•"/>
      <w:lvlJc w:val="left"/>
      <w:pPr>
        <w:ind w:left="6282" w:hanging="488"/>
      </w:pPr>
    </w:lvl>
    <w:lvl w:ilvl="6">
      <w:numFmt w:val="bullet"/>
      <w:lvlText w:val="•"/>
      <w:lvlJc w:val="left"/>
      <w:pPr>
        <w:ind w:left="7223" w:hanging="488"/>
      </w:pPr>
    </w:lvl>
    <w:lvl w:ilvl="7">
      <w:numFmt w:val="bullet"/>
      <w:lvlText w:val="•"/>
      <w:lvlJc w:val="left"/>
      <w:pPr>
        <w:ind w:left="8164" w:hanging="488"/>
      </w:pPr>
    </w:lvl>
    <w:lvl w:ilvl="8">
      <w:numFmt w:val="bullet"/>
      <w:lvlText w:val="•"/>
      <w:lvlJc w:val="left"/>
      <w:pPr>
        <w:ind w:left="9104" w:hanging="488"/>
      </w:pPr>
    </w:lvl>
  </w:abstractNum>
  <w:abstractNum w:abstractNumId="3" w15:restartNumberingAfterBreak="0">
    <w:nsid w:val="01CD3E94"/>
    <w:multiLevelType w:val="multilevel"/>
    <w:tmpl w:val="D17293E4"/>
    <w:lvl w:ilvl="0">
      <w:start w:val="1"/>
      <w:numFmt w:val="decimal"/>
      <w:lvlText w:val="%1"/>
      <w:lvlJc w:val="left"/>
      <w:pPr>
        <w:ind w:left="1348" w:hanging="432"/>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1492" w:hanging="576"/>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1636" w:hanging="720"/>
      </w:pPr>
      <w:rPr>
        <w:rFonts w:ascii="Times New Roman" w:eastAsia="Times New Roman" w:hAnsi="Times New Roman" w:cs="Times New Roman" w:hint="default"/>
        <w:w w:val="100"/>
        <w:sz w:val="24"/>
        <w:szCs w:val="24"/>
        <w:lang w:val="en-US" w:eastAsia="en-US" w:bidi="ar-SA"/>
      </w:rPr>
    </w:lvl>
    <w:lvl w:ilvl="3">
      <w:start w:val="1"/>
      <w:numFmt w:val="decimal"/>
      <w:lvlText w:val="%1.%2.%3.%4"/>
      <w:lvlJc w:val="left"/>
      <w:pPr>
        <w:ind w:left="2193" w:hanging="864"/>
      </w:pPr>
      <w:rPr>
        <w:rFonts w:ascii="Times New Roman" w:eastAsia="Times New Roman" w:hAnsi="Times New Roman" w:cs="Times New Roman" w:hint="default"/>
        <w:i/>
        <w:w w:val="100"/>
        <w:sz w:val="24"/>
        <w:szCs w:val="24"/>
        <w:lang w:val="en-US" w:eastAsia="en-US" w:bidi="ar-SA"/>
      </w:rPr>
    </w:lvl>
    <w:lvl w:ilvl="4">
      <w:numFmt w:val="bullet"/>
      <w:lvlText w:val="•"/>
      <w:lvlJc w:val="left"/>
      <w:pPr>
        <w:ind w:left="3515" w:hanging="864"/>
      </w:pPr>
      <w:rPr>
        <w:rFonts w:hint="default"/>
        <w:lang w:val="en-US" w:eastAsia="en-US" w:bidi="ar-SA"/>
      </w:rPr>
    </w:lvl>
    <w:lvl w:ilvl="5">
      <w:numFmt w:val="bullet"/>
      <w:lvlText w:val="•"/>
      <w:lvlJc w:val="left"/>
      <w:pPr>
        <w:ind w:left="4830" w:hanging="864"/>
      </w:pPr>
      <w:rPr>
        <w:rFonts w:hint="default"/>
        <w:lang w:val="en-US" w:eastAsia="en-US" w:bidi="ar-SA"/>
      </w:rPr>
    </w:lvl>
    <w:lvl w:ilvl="6">
      <w:numFmt w:val="bullet"/>
      <w:lvlText w:val="•"/>
      <w:lvlJc w:val="left"/>
      <w:pPr>
        <w:ind w:left="6145" w:hanging="864"/>
      </w:pPr>
      <w:rPr>
        <w:rFonts w:hint="default"/>
        <w:lang w:val="en-US" w:eastAsia="en-US" w:bidi="ar-SA"/>
      </w:rPr>
    </w:lvl>
    <w:lvl w:ilvl="7">
      <w:numFmt w:val="bullet"/>
      <w:lvlText w:val="•"/>
      <w:lvlJc w:val="left"/>
      <w:pPr>
        <w:ind w:left="7460" w:hanging="864"/>
      </w:pPr>
      <w:rPr>
        <w:rFonts w:hint="default"/>
        <w:lang w:val="en-US" w:eastAsia="en-US" w:bidi="ar-SA"/>
      </w:rPr>
    </w:lvl>
    <w:lvl w:ilvl="8">
      <w:numFmt w:val="bullet"/>
      <w:lvlText w:val="•"/>
      <w:lvlJc w:val="left"/>
      <w:pPr>
        <w:ind w:left="8776" w:hanging="864"/>
      </w:pPr>
      <w:rPr>
        <w:rFonts w:hint="default"/>
        <w:lang w:val="en-US" w:eastAsia="en-US" w:bidi="ar-SA"/>
      </w:rPr>
    </w:lvl>
  </w:abstractNum>
  <w:abstractNum w:abstractNumId="4" w15:restartNumberingAfterBreak="0">
    <w:nsid w:val="04FD1EFC"/>
    <w:multiLevelType w:val="hybridMultilevel"/>
    <w:tmpl w:val="4AE82E22"/>
    <w:lvl w:ilvl="0" w:tplc="31DE967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C5FD1"/>
    <w:multiLevelType w:val="hybridMultilevel"/>
    <w:tmpl w:val="4C442380"/>
    <w:lvl w:ilvl="0" w:tplc="10000015">
      <w:start w:val="1"/>
      <w:numFmt w:val="upperLetter"/>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6" w15:restartNumberingAfterBreak="0">
    <w:nsid w:val="183A18B3"/>
    <w:multiLevelType w:val="hybridMultilevel"/>
    <w:tmpl w:val="4C969156"/>
    <w:lvl w:ilvl="0" w:tplc="B19428EC">
      <w:start w:val="4"/>
      <w:numFmt w:val="decimal"/>
      <w:lvlText w:val="%1."/>
      <w:lvlJc w:val="left"/>
      <w:pPr>
        <w:ind w:left="153" w:hanging="360"/>
      </w:pPr>
      <w:rPr>
        <w:rFonts w:hint="default"/>
      </w:rPr>
    </w:lvl>
    <w:lvl w:ilvl="1" w:tplc="04090019" w:tentative="1">
      <w:start w:val="1"/>
      <w:numFmt w:val="lowerLetter"/>
      <w:lvlText w:val="%2)"/>
      <w:lvlJc w:val="left"/>
      <w:pPr>
        <w:ind w:left="673" w:hanging="440"/>
      </w:pPr>
    </w:lvl>
    <w:lvl w:ilvl="2" w:tplc="0409001B" w:tentative="1">
      <w:start w:val="1"/>
      <w:numFmt w:val="lowerRoman"/>
      <w:lvlText w:val="%3."/>
      <w:lvlJc w:val="right"/>
      <w:pPr>
        <w:ind w:left="1113" w:hanging="440"/>
      </w:pPr>
    </w:lvl>
    <w:lvl w:ilvl="3" w:tplc="0409000F" w:tentative="1">
      <w:start w:val="1"/>
      <w:numFmt w:val="decimal"/>
      <w:lvlText w:val="%4."/>
      <w:lvlJc w:val="left"/>
      <w:pPr>
        <w:ind w:left="1553" w:hanging="440"/>
      </w:pPr>
    </w:lvl>
    <w:lvl w:ilvl="4" w:tplc="04090019" w:tentative="1">
      <w:start w:val="1"/>
      <w:numFmt w:val="lowerLetter"/>
      <w:lvlText w:val="%5)"/>
      <w:lvlJc w:val="left"/>
      <w:pPr>
        <w:ind w:left="1993" w:hanging="440"/>
      </w:pPr>
    </w:lvl>
    <w:lvl w:ilvl="5" w:tplc="0409001B" w:tentative="1">
      <w:start w:val="1"/>
      <w:numFmt w:val="lowerRoman"/>
      <w:lvlText w:val="%6."/>
      <w:lvlJc w:val="right"/>
      <w:pPr>
        <w:ind w:left="2433" w:hanging="440"/>
      </w:pPr>
    </w:lvl>
    <w:lvl w:ilvl="6" w:tplc="0409000F" w:tentative="1">
      <w:start w:val="1"/>
      <w:numFmt w:val="decimal"/>
      <w:lvlText w:val="%7."/>
      <w:lvlJc w:val="left"/>
      <w:pPr>
        <w:ind w:left="2873" w:hanging="440"/>
      </w:pPr>
    </w:lvl>
    <w:lvl w:ilvl="7" w:tplc="04090019" w:tentative="1">
      <w:start w:val="1"/>
      <w:numFmt w:val="lowerLetter"/>
      <w:lvlText w:val="%8)"/>
      <w:lvlJc w:val="left"/>
      <w:pPr>
        <w:ind w:left="3313" w:hanging="440"/>
      </w:pPr>
    </w:lvl>
    <w:lvl w:ilvl="8" w:tplc="0409001B" w:tentative="1">
      <w:start w:val="1"/>
      <w:numFmt w:val="lowerRoman"/>
      <w:lvlText w:val="%9."/>
      <w:lvlJc w:val="right"/>
      <w:pPr>
        <w:ind w:left="3753" w:hanging="440"/>
      </w:pPr>
    </w:lvl>
  </w:abstractNum>
  <w:abstractNum w:abstractNumId="7" w15:restartNumberingAfterBreak="0">
    <w:nsid w:val="19017B0A"/>
    <w:multiLevelType w:val="hybridMultilevel"/>
    <w:tmpl w:val="0096FB4A"/>
    <w:lvl w:ilvl="0" w:tplc="FEBAF128">
      <w:start w:val="85"/>
      <w:numFmt w:val="decimal"/>
      <w:lvlText w:val="%1."/>
      <w:lvlJc w:val="left"/>
      <w:pPr>
        <w:ind w:left="644" w:hanging="360"/>
      </w:pPr>
      <w:rPr>
        <w:rFonts w:ascii="Arial" w:hAnsi="Arial" w:cs="Arial" w:hint="default"/>
        <w:b w:val="0"/>
        <w:i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1A317EBC"/>
    <w:multiLevelType w:val="hybridMultilevel"/>
    <w:tmpl w:val="E7AAFB80"/>
    <w:lvl w:ilvl="0" w:tplc="FFFFFFFF">
      <w:start w:val="1"/>
      <w:numFmt w:val="decimal"/>
      <w:lvlText w:val="%1."/>
      <w:lvlJc w:val="left"/>
      <w:pPr>
        <w:ind w:left="916" w:hanging="692"/>
        <w:jc w:val="right"/>
      </w:pPr>
      <w:rPr>
        <w:rFonts w:ascii="Times New Roman" w:eastAsia="Times New Roman" w:hAnsi="Times New Roman" w:cs="Times New Roman" w:hint="default"/>
        <w:w w:val="100"/>
        <w:sz w:val="24"/>
        <w:szCs w:val="24"/>
        <w:lang w:val="en-US" w:eastAsia="en-US" w:bidi="ar-SA"/>
      </w:rPr>
    </w:lvl>
    <w:lvl w:ilvl="1" w:tplc="FFFFFFFF">
      <w:start w:val="1"/>
      <w:numFmt w:val="lowerRoman"/>
      <w:lvlText w:val="(%2)"/>
      <w:lvlJc w:val="left"/>
      <w:pPr>
        <w:ind w:left="1482" w:hanging="307"/>
      </w:pPr>
      <w:rPr>
        <w:rFonts w:hint="default"/>
        <w:i/>
        <w:w w:val="100"/>
        <w:lang w:val="en-US" w:eastAsia="en-US" w:bidi="ar-SA"/>
      </w:rPr>
    </w:lvl>
    <w:lvl w:ilvl="2" w:tplc="FFFFFFFF">
      <w:numFmt w:val="bullet"/>
      <w:lvlText w:val="•"/>
      <w:lvlJc w:val="left"/>
      <w:pPr>
        <w:ind w:left="1480" w:hanging="307"/>
      </w:pPr>
      <w:rPr>
        <w:rFonts w:hint="default"/>
        <w:lang w:val="en-US" w:eastAsia="en-US" w:bidi="ar-SA"/>
      </w:rPr>
    </w:lvl>
    <w:lvl w:ilvl="3" w:tplc="FFFFFFFF">
      <w:numFmt w:val="bullet"/>
      <w:lvlText w:val="•"/>
      <w:lvlJc w:val="left"/>
      <w:pPr>
        <w:ind w:left="1820" w:hanging="307"/>
      </w:pPr>
      <w:rPr>
        <w:rFonts w:hint="default"/>
        <w:lang w:val="en-US" w:eastAsia="en-US" w:bidi="ar-SA"/>
      </w:rPr>
    </w:lvl>
    <w:lvl w:ilvl="4" w:tplc="FFFFFFFF">
      <w:numFmt w:val="bullet"/>
      <w:lvlText w:val="•"/>
      <w:lvlJc w:val="left"/>
      <w:pPr>
        <w:ind w:left="2000" w:hanging="307"/>
      </w:pPr>
      <w:rPr>
        <w:rFonts w:hint="default"/>
        <w:lang w:val="en-US" w:eastAsia="en-US" w:bidi="ar-SA"/>
      </w:rPr>
    </w:lvl>
    <w:lvl w:ilvl="5" w:tplc="FFFFFFFF">
      <w:numFmt w:val="bullet"/>
      <w:lvlText w:val="•"/>
      <w:lvlJc w:val="left"/>
      <w:pPr>
        <w:ind w:left="3567" w:hanging="307"/>
      </w:pPr>
      <w:rPr>
        <w:rFonts w:hint="default"/>
        <w:lang w:val="en-US" w:eastAsia="en-US" w:bidi="ar-SA"/>
      </w:rPr>
    </w:lvl>
    <w:lvl w:ilvl="6" w:tplc="FFFFFFFF">
      <w:numFmt w:val="bullet"/>
      <w:lvlText w:val="•"/>
      <w:lvlJc w:val="left"/>
      <w:pPr>
        <w:ind w:left="5135" w:hanging="307"/>
      </w:pPr>
      <w:rPr>
        <w:rFonts w:hint="default"/>
        <w:lang w:val="en-US" w:eastAsia="en-US" w:bidi="ar-SA"/>
      </w:rPr>
    </w:lvl>
    <w:lvl w:ilvl="7" w:tplc="FFFFFFFF">
      <w:numFmt w:val="bullet"/>
      <w:lvlText w:val="•"/>
      <w:lvlJc w:val="left"/>
      <w:pPr>
        <w:ind w:left="6703" w:hanging="307"/>
      </w:pPr>
      <w:rPr>
        <w:rFonts w:hint="default"/>
        <w:lang w:val="en-US" w:eastAsia="en-US" w:bidi="ar-SA"/>
      </w:rPr>
    </w:lvl>
    <w:lvl w:ilvl="8" w:tplc="FFFFFFFF">
      <w:numFmt w:val="bullet"/>
      <w:lvlText w:val="•"/>
      <w:lvlJc w:val="left"/>
      <w:pPr>
        <w:ind w:left="8270" w:hanging="307"/>
      </w:pPr>
      <w:rPr>
        <w:rFonts w:hint="default"/>
        <w:lang w:val="en-US" w:eastAsia="en-US" w:bidi="ar-SA"/>
      </w:rPr>
    </w:lvl>
  </w:abstractNum>
  <w:abstractNum w:abstractNumId="9" w15:restartNumberingAfterBreak="0">
    <w:nsid w:val="1D475585"/>
    <w:multiLevelType w:val="hybridMultilevel"/>
    <w:tmpl w:val="6152E948"/>
    <w:lvl w:ilvl="0" w:tplc="C04CAA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BB42B5"/>
    <w:multiLevelType w:val="hybridMultilevel"/>
    <w:tmpl w:val="C0D8CD7A"/>
    <w:lvl w:ilvl="0" w:tplc="0409001B">
      <w:start w:val="1"/>
      <w:numFmt w:val="lowerRoman"/>
      <w:lvlText w:val="%1."/>
      <w:lvlJc w:val="right"/>
      <w:pPr>
        <w:ind w:left="440" w:hanging="440"/>
      </w:p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1FE67D52"/>
    <w:multiLevelType w:val="hybridMultilevel"/>
    <w:tmpl w:val="26C6CFD2"/>
    <w:lvl w:ilvl="0" w:tplc="56903A70">
      <w:start w:val="1"/>
      <w:numFmt w:val="decimal"/>
      <w:lvlText w:val="%1)"/>
      <w:lvlJc w:val="left"/>
      <w:pPr>
        <w:ind w:left="1842" w:hanging="360"/>
      </w:pPr>
      <w:rPr>
        <w:rFonts w:ascii="Times New Roman" w:eastAsia="Times New Roman" w:hAnsi="Times New Roman" w:cs="Times New Roman" w:hint="default"/>
        <w:i/>
        <w:w w:val="99"/>
        <w:sz w:val="24"/>
        <w:szCs w:val="24"/>
        <w:lang w:val="en-US" w:eastAsia="en-US" w:bidi="ar-SA"/>
      </w:rPr>
    </w:lvl>
    <w:lvl w:ilvl="1" w:tplc="2E4EE18A">
      <w:numFmt w:val="bullet"/>
      <w:lvlText w:val="•"/>
      <w:lvlJc w:val="left"/>
      <w:pPr>
        <w:ind w:left="2796" w:hanging="360"/>
      </w:pPr>
      <w:rPr>
        <w:rFonts w:hint="default"/>
        <w:lang w:val="en-US" w:eastAsia="en-US" w:bidi="ar-SA"/>
      </w:rPr>
    </w:lvl>
    <w:lvl w:ilvl="2" w:tplc="0A92BE1A">
      <w:numFmt w:val="bullet"/>
      <w:lvlText w:val="•"/>
      <w:lvlJc w:val="left"/>
      <w:pPr>
        <w:ind w:left="3753" w:hanging="360"/>
      </w:pPr>
      <w:rPr>
        <w:rFonts w:hint="default"/>
        <w:lang w:val="en-US" w:eastAsia="en-US" w:bidi="ar-SA"/>
      </w:rPr>
    </w:lvl>
    <w:lvl w:ilvl="3" w:tplc="5D7CF49C">
      <w:numFmt w:val="bullet"/>
      <w:lvlText w:val="•"/>
      <w:lvlJc w:val="left"/>
      <w:pPr>
        <w:ind w:left="4709" w:hanging="360"/>
      </w:pPr>
      <w:rPr>
        <w:rFonts w:hint="default"/>
        <w:lang w:val="en-US" w:eastAsia="en-US" w:bidi="ar-SA"/>
      </w:rPr>
    </w:lvl>
    <w:lvl w:ilvl="4" w:tplc="99446522">
      <w:numFmt w:val="bullet"/>
      <w:lvlText w:val="•"/>
      <w:lvlJc w:val="left"/>
      <w:pPr>
        <w:ind w:left="5666" w:hanging="360"/>
      </w:pPr>
      <w:rPr>
        <w:rFonts w:hint="default"/>
        <w:lang w:val="en-US" w:eastAsia="en-US" w:bidi="ar-SA"/>
      </w:rPr>
    </w:lvl>
    <w:lvl w:ilvl="5" w:tplc="358A740A">
      <w:numFmt w:val="bullet"/>
      <w:lvlText w:val="•"/>
      <w:lvlJc w:val="left"/>
      <w:pPr>
        <w:ind w:left="6623" w:hanging="360"/>
      </w:pPr>
      <w:rPr>
        <w:rFonts w:hint="default"/>
        <w:lang w:val="en-US" w:eastAsia="en-US" w:bidi="ar-SA"/>
      </w:rPr>
    </w:lvl>
    <w:lvl w:ilvl="6" w:tplc="1EBEA422">
      <w:numFmt w:val="bullet"/>
      <w:lvlText w:val="•"/>
      <w:lvlJc w:val="left"/>
      <w:pPr>
        <w:ind w:left="7579" w:hanging="360"/>
      </w:pPr>
      <w:rPr>
        <w:rFonts w:hint="default"/>
        <w:lang w:val="en-US" w:eastAsia="en-US" w:bidi="ar-SA"/>
      </w:rPr>
    </w:lvl>
    <w:lvl w:ilvl="7" w:tplc="506EE88E">
      <w:numFmt w:val="bullet"/>
      <w:lvlText w:val="•"/>
      <w:lvlJc w:val="left"/>
      <w:pPr>
        <w:ind w:left="8536" w:hanging="360"/>
      </w:pPr>
      <w:rPr>
        <w:rFonts w:hint="default"/>
        <w:lang w:val="en-US" w:eastAsia="en-US" w:bidi="ar-SA"/>
      </w:rPr>
    </w:lvl>
    <w:lvl w:ilvl="8" w:tplc="3B825898">
      <w:numFmt w:val="bullet"/>
      <w:lvlText w:val="•"/>
      <w:lvlJc w:val="left"/>
      <w:pPr>
        <w:ind w:left="9493" w:hanging="360"/>
      </w:pPr>
      <w:rPr>
        <w:rFonts w:hint="default"/>
        <w:lang w:val="en-US" w:eastAsia="en-US" w:bidi="ar-SA"/>
      </w:rPr>
    </w:lvl>
  </w:abstractNum>
  <w:abstractNum w:abstractNumId="12" w15:restartNumberingAfterBreak="0">
    <w:nsid w:val="1FF06C37"/>
    <w:multiLevelType w:val="hybridMultilevel"/>
    <w:tmpl w:val="028E786A"/>
    <w:lvl w:ilvl="0" w:tplc="FFFFFFFF">
      <w:start w:val="1"/>
      <w:numFmt w:val="decimal"/>
      <w:lvlText w:val="%1."/>
      <w:lvlJc w:val="left"/>
      <w:pPr>
        <w:ind w:left="644" w:hanging="360"/>
      </w:pPr>
      <w:rPr>
        <w:rFonts w:ascii="Arial" w:hAnsi="Arial" w:cs="Arial" w:hint="default"/>
        <w:b w:val="0"/>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CD17D28"/>
    <w:multiLevelType w:val="hybridMultilevel"/>
    <w:tmpl w:val="67D49B84"/>
    <w:lvl w:ilvl="0" w:tplc="FFFFFFFF">
      <w:start w:val="1"/>
      <w:numFmt w:val="decimal"/>
      <w:lvlText w:val="%1."/>
      <w:lvlJc w:val="left"/>
      <w:pPr>
        <w:ind w:left="644" w:hanging="360"/>
      </w:pPr>
      <w:rPr>
        <w:rFonts w:ascii="Arial" w:hAnsi="Arial" w:cs="Arial" w:hint="default"/>
        <w:b w:val="0"/>
        <w:i w:val="0"/>
        <w:lang w:val="en-U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E220C2A"/>
    <w:multiLevelType w:val="hybridMultilevel"/>
    <w:tmpl w:val="229639DC"/>
    <w:lvl w:ilvl="0" w:tplc="B3B821AC">
      <w:start w:val="1"/>
      <w:numFmt w:val="lowerLetter"/>
      <w:lvlText w:val="(%1)"/>
      <w:lvlJc w:val="left"/>
      <w:pPr>
        <w:ind w:left="1224" w:hanging="360"/>
      </w:pPr>
      <w:rPr>
        <w:rFonts w:hint="default"/>
      </w:rPr>
    </w:lvl>
    <w:lvl w:ilvl="1" w:tplc="04090019" w:tentative="1">
      <w:start w:val="1"/>
      <w:numFmt w:val="lowerLetter"/>
      <w:lvlText w:val="%2)"/>
      <w:lvlJc w:val="left"/>
      <w:pPr>
        <w:ind w:left="1744" w:hanging="440"/>
      </w:pPr>
    </w:lvl>
    <w:lvl w:ilvl="2" w:tplc="0409001B" w:tentative="1">
      <w:start w:val="1"/>
      <w:numFmt w:val="lowerRoman"/>
      <w:lvlText w:val="%3."/>
      <w:lvlJc w:val="right"/>
      <w:pPr>
        <w:ind w:left="2184" w:hanging="440"/>
      </w:pPr>
    </w:lvl>
    <w:lvl w:ilvl="3" w:tplc="0409000F" w:tentative="1">
      <w:start w:val="1"/>
      <w:numFmt w:val="decimal"/>
      <w:lvlText w:val="%4."/>
      <w:lvlJc w:val="left"/>
      <w:pPr>
        <w:ind w:left="2624" w:hanging="440"/>
      </w:pPr>
    </w:lvl>
    <w:lvl w:ilvl="4" w:tplc="04090019" w:tentative="1">
      <w:start w:val="1"/>
      <w:numFmt w:val="lowerLetter"/>
      <w:lvlText w:val="%5)"/>
      <w:lvlJc w:val="left"/>
      <w:pPr>
        <w:ind w:left="3064" w:hanging="440"/>
      </w:pPr>
    </w:lvl>
    <w:lvl w:ilvl="5" w:tplc="0409001B" w:tentative="1">
      <w:start w:val="1"/>
      <w:numFmt w:val="lowerRoman"/>
      <w:lvlText w:val="%6."/>
      <w:lvlJc w:val="right"/>
      <w:pPr>
        <w:ind w:left="3504" w:hanging="440"/>
      </w:pPr>
    </w:lvl>
    <w:lvl w:ilvl="6" w:tplc="0409000F" w:tentative="1">
      <w:start w:val="1"/>
      <w:numFmt w:val="decimal"/>
      <w:lvlText w:val="%7."/>
      <w:lvlJc w:val="left"/>
      <w:pPr>
        <w:ind w:left="3944" w:hanging="440"/>
      </w:pPr>
    </w:lvl>
    <w:lvl w:ilvl="7" w:tplc="04090019" w:tentative="1">
      <w:start w:val="1"/>
      <w:numFmt w:val="lowerLetter"/>
      <w:lvlText w:val="%8)"/>
      <w:lvlJc w:val="left"/>
      <w:pPr>
        <w:ind w:left="4384" w:hanging="440"/>
      </w:pPr>
    </w:lvl>
    <w:lvl w:ilvl="8" w:tplc="0409001B" w:tentative="1">
      <w:start w:val="1"/>
      <w:numFmt w:val="lowerRoman"/>
      <w:lvlText w:val="%9."/>
      <w:lvlJc w:val="right"/>
      <w:pPr>
        <w:ind w:left="4824" w:hanging="440"/>
      </w:pPr>
    </w:lvl>
  </w:abstractNum>
  <w:abstractNum w:abstractNumId="15" w15:restartNumberingAfterBreak="0">
    <w:nsid w:val="333655C7"/>
    <w:multiLevelType w:val="hybridMultilevel"/>
    <w:tmpl w:val="9552EE46"/>
    <w:lvl w:ilvl="0" w:tplc="12361A70">
      <w:start w:val="1"/>
      <w:numFmt w:val="decimal"/>
      <w:lvlText w:val="%1."/>
      <w:lvlJc w:val="left"/>
      <w:pPr>
        <w:ind w:left="644" w:hanging="360"/>
      </w:pPr>
      <w:rPr>
        <w:rFonts w:ascii="Arial" w:hAnsi="Arial" w:cs="Arial" w:hint="default"/>
        <w:b w:val="0"/>
        <w:i w:val="0"/>
        <w:lang w:val="en-G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38D5E16"/>
    <w:multiLevelType w:val="hybridMultilevel"/>
    <w:tmpl w:val="E7AAFB80"/>
    <w:lvl w:ilvl="0" w:tplc="FFFFFFFF">
      <w:start w:val="1"/>
      <w:numFmt w:val="decimal"/>
      <w:lvlText w:val="%1."/>
      <w:lvlJc w:val="left"/>
      <w:pPr>
        <w:ind w:left="916" w:hanging="692"/>
        <w:jc w:val="right"/>
      </w:pPr>
      <w:rPr>
        <w:rFonts w:ascii="Times New Roman" w:eastAsia="Times New Roman" w:hAnsi="Times New Roman" w:cs="Times New Roman" w:hint="default"/>
        <w:w w:val="100"/>
        <w:sz w:val="24"/>
        <w:szCs w:val="24"/>
        <w:lang w:val="en-US" w:eastAsia="en-US" w:bidi="ar-SA"/>
      </w:rPr>
    </w:lvl>
    <w:lvl w:ilvl="1" w:tplc="FFFFFFFF">
      <w:start w:val="1"/>
      <w:numFmt w:val="lowerRoman"/>
      <w:lvlText w:val="(%2)"/>
      <w:lvlJc w:val="left"/>
      <w:pPr>
        <w:ind w:left="1482" w:hanging="307"/>
      </w:pPr>
      <w:rPr>
        <w:rFonts w:hint="default"/>
        <w:i/>
        <w:w w:val="100"/>
        <w:lang w:val="en-US" w:eastAsia="en-US" w:bidi="ar-SA"/>
      </w:rPr>
    </w:lvl>
    <w:lvl w:ilvl="2" w:tplc="FFFFFFFF">
      <w:numFmt w:val="bullet"/>
      <w:lvlText w:val="•"/>
      <w:lvlJc w:val="left"/>
      <w:pPr>
        <w:ind w:left="1480" w:hanging="307"/>
      </w:pPr>
      <w:rPr>
        <w:rFonts w:hint="default"/>
        <w:lang w:val="en-US" w:eastAsia="en-US" w:bidi="ar-SA"/>
      </w:rPr>
    </w:lvl>
    <w:lvl w:ilvl="3" w:tplc="FFFFFFFF">
      <w:numFmt w:val="bullet"/>
      <w:lvlText w:val="•"/>
      <w:lvlJc w:val="left"/>
      <w:pPr>
        <w:ind w:left="1820" w:hanging="307"/>
      </w:pPr>
      <w:rPr>
        <w:rFonts w:hint="default"/>
        <w:lang w:val="en-US" w:eastAsia="en-US" w:bidi="ar-SA"/>
      </w:rPr>
    </w:lvl>
    <w:lvl w:ilvl="4" w:tplc="FFFFFFFF">
      <w:numFmt w:val="bullet"/>
      <w:lvlText w:val="•"/>
      <w:lvlJc w:val="left"/>
      <w:pPr>
        <w:ind w:left="2000" w:hanging="307"/>
      </w:pPr>
      <w:rPr>
        <w:rFonts w:hint="default"/>
        <w:lang w:val="en-US" w:eastAsia="en-US" w:bidi="ar-SA"/>
      </w:rPr>
    </w:lvl>
    <w:lvl w:ilvl="5" w:tplc="FFFFFFFF">
      <w:numFmt w:val="bullet"/>
      <w:lvlText w:val="•"/>
      <w:lvlJc w:val="left"/>
      <w:pPr>
        <w:ind w:left="3567" w:hanging="307"/>
      </w:pPr>
      <w:rPr>
        <w:rFonts w:hint="default"/>
        <w:lang w:val="en-US" w:eastAsia="en-US" w:bidi="ar-SA"/>
      </w:rPr>
    </w:lvl>
    <w:lvl w:ilvl="6" w:tplc="FFFFFFFF">
      <w:numFmt w:val="bullet"/>
      <w:lvlText w:val="•"/>
      <w:lvlJc w:val="left"/>
      <w:pPr>
        <w:ind w:left="5135" w:hanging="307"/>
      </w:pPr>
      <w:rPr>
        <w:rFonts w:hint="default"/>
        <w:lang w:val="en-US" w:eastAsia="en-US" w:bidi="ar-SA"/>
      </w:rPr>
    </w:lvl>
    <w:lvl w:ilvl="7" w:tplc="FFFFFFFF">
      <w:numFmt w:val="bullet"/>
      <w:lvlText w:val="•"/>
      <w:lvlJc w:val="left"/>
      <w:pPr>
        <w:ind w:left="6703" w:hanging="307"/>
      </w:pPr>
      <w:rPr>
        <w:rFonts w:hint="default"/>
        <w:lang w:val="en-US" w:eastAsia="en-US" w:bidi="ar-SA"/>
      </w:rPr>
    </w:lvl>
    <w:lvl w:ilvl="8" w:tplc="FFFFFFFF">
      <w:numFmt w:val="bullet"/>
      <w:lvlText w:val="•"/>
      <w:lvlJc w:val="left"/>
      <w:pPr>
        <w:ind w:left="8270" w:hanging="307"/>
      </w:pPr>
      <w:rPr>
        <w:rFonts w:hint="default"/>
        <w:lang w:val="en-US" w:eastAsia="en-US" w:bidi="ar-SA"/>
      </w:rPr>
    </w:lvl>
  </w:abstractNum>
  <w:abstractNum w:abstractNumId="17" w15:restartNumberingAfterBreak="0">
    <w:nsid w:val="365C2F4C"/>
    <w:multiLevelType w:val="hybridMultilevel"/>
    <w:tmpl w:val="34340750"/>
    <w:lvl w:ilvl="0" w:tplc="FFFFFFFF">
      <w:start w:val="1"/>
      <w:numFmt w:val="decimal"/>
      <w:lvlText w:val="%1."/>
      <w:lvlJc w:val="left"/>
      <w:pPr>
        <w:ind w:left="720" w:hanging="360"/>
      </w:pPr>
      <w:rPr>
        <w:rFonts w:ascii="Arial" w:hAnsi="Arial" w:cs="Arial" w:hint="default"/>
        <w:b w:val="0"/>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4397717"/>
    <w:multiLevelType w:val="hybridMultilevel"/>
    <w:tmpl w:val="0EA65EE6"/>
    <w:lvl w:ilvl="0" w:tplc="18DAD42A">
      <w:start w:val="89"/>
      <w:numFmt w:val="decimal"/>
      <w:lvlText w:val="%1."/>
      <w:lvlJc w:val="left"/>
      <w:pPr>
        <w:ind w:left="644" w:hanging="360"/>
      </w:pPr>
      <w:rPr>
        <w:rFonts w:ascii="Arial" w:hAnsi="Arial" w:cs="Arial" w:hint="default"/>
        <w:b w:val="0"/>
        <w:i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48F10DC1"/>
    <w:multiLevelType w:val="hybridMultilevel"/>
    <w:tmpl w:val="11648136"/>
    <w:lvl w:ilvl="0" w:tplc="AF0025D0">
      <w:start w:val="1"/>
      <w:numFmt w:val="lowerRoman"/>
      <w:lvlText w:val="(%1)"/>
      <w:lvlJc w:val="left"/>
      <w:pPr>
        <w:ind w:left="2160" w:hanging="720"/>
      </w:pPr>
      <w:rPr>
        <w:rFonts w:hint="default"/>
      </w:rPr>
    </w:lvl>
    <w:lvl w:ilvl="1" w:tplc="04090019" w:tentative="1">
      <w:start w:val="1"/>
      <w:numFmt w:val="lowerLetter"/>
      <w:lvlText w:val="%2)"/>
      <w:lvlJc w:val="left"/>
      <w:pPr>
        <w:ind w:left="2320" w:hanging="440"/>
      </w:pPr>
    </w:lvl>
    <w:lvl w:ilvl="2" w:tplc="0409001B" w:tentative="1">
      <w:start w:val="1"/>
      <w:numFmt w:val="lowerRoman"/>
      <w:lvlText w:val="%3."/>
      <w:lvlJc w:val="right"/>
      <w:pPr>
        <w:ind w:left="2760" w:hanging="440"/>
      </w:pPr>
    </w:lvl>
    <w:lvl w:ilvl="3" w:tplc="0409000F" w:tentative="1">
      <w:start w:val="1"/>
      <w:numFmt w:val="decimal"/>
      <w:lvlText w:val="%4."/>
      <w:lvlJc w:val="left"/>
      <w:pPr>
        <w:ind w:left="3200" w:hanging="440"/>
      </w:pPr>
    </w:lvl>
    <w:lvl w:ilvl="4" w:tplc="04090019" w:tentative="1">
      <w:start w:val="1"/>
      <w:numFmt w:val="lowerLetter"/>
      <w:lvlText w:val="%5)"/>
      <w:lvlJc w:val="left"/>
      <w:pPr>
        <w:ind w:left="3640" w:hanging="440"/>
      </w:pPr>
    </w:lvl>
    <w:lvl w:ilvl="5" w:tplc="0409001B" w:tentative="1">
      <w:start w:val="1"/>
      <w:numFmt w:val="lowerRoman"/>
      <w:lvlText w:val="%6."/>
      <w:lvlJc w:val="right"/>
      <w:pPr>
        <w:ind w:left="4080" w:hanging="440"/>
      </w:pPr>
    </w:lvl>
    <w:lvl w:ilvl="6" w:tplc="0409000F" w:tentative="1">
      <w:start w:val="1"/>
      <w:numFmt w:val="decimal"/>
      <w:lvlText w:val="%7."/>
      <w:lvlJc w:val="left"/>
      <w:pPr>
        <w:ind w:left="4520" w:hanging="440"/>
      </w:pPr>
    </w:lvl>
    <w:lvl w:ilvl="7" w:tplc="04090019" w:tentative="1">
      <w:start w:val="1"/>
      <w:numFmt w:val="lowerLetter"/>
      <w:lvlText w:val="%8)"/>
      <w:lvlJc w:val="left"/>
      <w:pPr>
        <w:ind w:left="4960" w:hanging="440"/>
      </w:pPr>
    </w:lvl>
    <w:lvl w:ilvl="8" w:tplc="0409001B" w:tentative="1">
      <w:start w:val="1"/>
      <w:numFmt w:val="lowerRoman"/>
      <w:lvlText w:val="%9."/>
      <w:lvlJc w:val="right"/>
      <w:pPr>
        <w:ind w:left="5400" w:hanging="440"/>
      </w:pPr>
    </w:lvl>
  </w:abstractNum>
  <w:abstractNum w:abstractNumId="20" w15:restartNumberingAfterBreak="0">
    <w:nsid w:val="4F111265"/>
    <w:multiLevelType w:val="hybridMultilevel"/>
    <w:tmpl w:val="FD9A8A18"/>
    <w:lvl w:ilvl="0" w:tplc="E54C34C0">
      <w:start w:val="1"/>
      <w:numFmt w:val="lowerRoman"/>
      <w:lvlText w:val="(%1)"/>
      <w:lvlJc w:val="left"/>
      <w:pPr>
        <w:ind w:left="1440" w:hanging="72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21" w15:restartNumberingAfterBreak="0">
    <w:nsid w:val="4FC86157"/>
    <w:multiLevelType w:val="multilevel"/>
    <w:tmpl w:val="49CEC4E0"/>
    <w:styleLink w:val="Outline"/>
    <w:lvl w:ilvl="0">
      <w:start w:val="1"/>
      <w:numFmt w:val="decimal"/>
      <w:pStyle w:val="HFWLevel1"/>
      <w:lvlText w:val="%1."/>
      <w:lvlJc w:val="left"/>
      <w:pPr>
        <w:ind w:left="720" w:hanging="720"/>
      </w:pPr>
      <w:rPr>
        <w:b w:val="0"/>
        <w:i w:val="0"/>
        <w:caps w:val="0"/>
        <w:smallCaps w:val="0"/>
        <w:strike w:val="0"/>
        <w:dstrike w:val="0"/>
        <w:vanish w:val="0"/>
        <w:position w:val="0"/>
        <w:u w:val="none"/>
        <w:vertAlign w:val="baseline"/>
      </w:rPr>
    </w:lvl>
    <w:lvl w:ilvl="1">
      <w:start w:val="1"/>
      <w:numFmt w:val="decimal"/>
      <w:pStyle w:val="HFWLevel2"/>
      <w:lvlText w:val="%1.%2"/>
      <w:lvlJc w:val="left"/>
      <w:pPr>
        <w:ind w:left="720" w:hanging="720"/>
      </w:pPr>
      <w:rPr>
        <w:b w:val="0"/>
        <w:i w:val="0"/>
        <w:caps w:val="0"/>
        <w:smallCaps w:val="0"/>
        <w:strike w:val="0"/>
        <w:dstrike w:val="0"/>
        <w:vanish w:val="0"/>
        <w:position w:val="0"/>
        <w:u w:val="none"/>
        <w:vertAlign w:val="baseline"/>
      </w:rPr>
    </w:lvl>
    <w:lvl w:ilvl="2">
      <w:start w:val="1"/>
      <w:numFmt w:val="lowerLetter"/>
      <w:pStyle w:val="HFWLevel3"/>
      <w:lvlText w:val="(%1.%2.%3)"/>
      <w:lvlJc w:val="left"/>
      <w:pPr>
        <w:ind w:left="1440" w:hanging="720"/>
      </w:pPr>
      <w:rPr>
        <w:b w:val="0"/>
        <w:i w:val="0"/>
        <w:caps w:val="0"/>
        <w:smallCaps w:val="0"/>
        <w:strike w:val="0"/>
        <w:dstrike w:val="0"/>
        <w:vanish w:val="0"/>
        <w:position w:val="0"/>
        <w:u w:val="none"/>
        <w:vertAlign w:val="baseline"/>
      </w:rPr>
    </w:lvl>
    <w:lvl w:ilvl="3">
      <w:start w:val="1"/>
      <w:numFmt w:val="lowerRoman"/>
      <w:pStyle w:val="HFWLevel4"/>
      <w:lvlText w:val="(%1.%2.%3.%4)"/>
      <w:lvlJc w:val="left"/>
      <w:pPr>
        <w:ind w:left="2160" w:hanging="720"/>
      </w:pPr>
      <w:rPr>
        <w:b w:val="0"/>
        <w:i w:val="0"/>
        <w:caps w:val="0"/>
        <w:smallCaps w:val="0"/>
        <w:strike w:val="0"/>
        <w:dstrike w:val="0"/>
        <w:vanish w:val="0"/>
        <w:position w:val="0"/>
        <w:u w:val="none"/>
        <w:vertAlign w:val="baseline"/>
      </w:rPr>
    </w:lvl>
    <w:lvl w:ilvl="4">
      <w:start w:val="1"/>
      <w:numFmt w:val="upperLetter"/>
      <w:pStyle w:val="HFWLevel5"/>
      <w:lvlText w:val="(%1.%2.%3.%4.%5)"/>
      <w:lvlJc w:val="left"/>
      <w:pPr>
        <w:ind w:left="2880" w:hanging="720"/>
      </w:pPr>
      <w:rPr>
        <w:b w:val="0"/>
        <w:i w:val="0"/>
        <w:caps w:val="0"/>
        <w:smallCaps w:val="0"/>
        <w:strike w:val="0"/>
        <w:dstrike w:val="0"/>
        <w:vanish w:val="0"/>
        <w:position w:val="0"/>
        <w:u w:val="none"/>
        <w:vertAlign w:val="baseline"/>
      </w:rPr>
    </w:lvl>
    <w:lvl w:ilvl="5">
      <w:start w:val="1"/>
      <w:numFmt w:val="upperRoman"/>
      <w:pStyle w:val="HFWLevel6"/>
      <w:lvlText w:val="(%1.%2.%3.%4.%5.%6)"/>
      <w:lvlJc w:val="left"/>
      <w:pPr>
        <w:ind w:left="3600" w:hanging="720"/>
      </w:pPr>
      <w:rPr>
        <w:b w:val="0"/>
        <w:i w:val="0"/>
        <w:caps w:val="0"/>
        <w:smallCaps w:val="0"/>
        <w:strike w:val="0"/>
        <w:dstrike w:val="0"/>
        <w:vanish w:val="0"/>
        <w:position w:val="0"/>
        <w:u w:val="none"/>
        <w:vertAlign w:val="baseline"/>
      </w:r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2" w15:restartNumberingAfterBreak="0">
    <w:nsid w:val="50A76038"/>
    <w:multiLevelType w:val="hybridMultilevel"/>
    <w:tmpl w:val="FAF2A330"/>
    <w:lvl w:ilvl="0" w:tplc="0413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571A3A54"/>
    <w:multiLevelType w:val="hybridMultilevel"/>
    <w:tmpl w:val="3BFA7480"/>
    <w:lvl w:ilvl="0" w:tplc="7854913C">
      <w:start w:val="1"/>
      <w:numFmt w:val="lowerRoman"/>
      <w:lvlText w:val="(%1)"/>
      <w:lvlJc w:val="left"/>
      <w:pPr>
        <w:ind w:left="1440" w:hanging="72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24" w15:restartNumberingAfterBreak="0">
    <w:nsid w:val="57937323"/>
    <w:multiLevelType w:val="hybridMultilevel"/>
    <w:tmpl w:val="1B249180"/>
    <w:lvl w:ilvl="0" w:tplc="A7B65E60">
      <w:start w:val="1"/>
      <w:numFmt w:val="upperLetter"/>
      <w:lvlText w:val="%1."/>
      <w:lvlJc w:val="left"/>
      <w:pPr>
        <w:ind w:left="1080" w:hanging="360"/>
      </w:pPr>
      <w:rPr>
        <w:rFonts w:hint="default"/>
      </w:rPr>
    </w:lvl>
    <w:lvl w:ilvl="1" w:tplc="10000019">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25" w15:restartNumberingAfterBreak="0">
    <w:nsid w:val="5A734422"/>
    <w:multiLevelType w:val="hybridMultilevel"/>
    <w:tmpl w:val="E7AAFB80"/>
    <w:lvl w:ilvl="0" w:tplc="1870F350">
      <w:start w:val="1"/>
      <w:numFmt w:val="decimal"/>
      <w:lvlText w:val="%1."/>
      <w:lvlJc w:val="left"/>
      <w:pPr>
        <w:ind w:left="916" w:hanging="692"/>
        <w:jc w:val="right"/>
      </w:pPr>
      <w:rPr>
        <w:rFonts w:ascii="Times New Roman" w:eastAsia="Times New Roman" w:hAnsi="Times New Roman" w:cs="Times New Roman" w:hint="default"/>
        <w:w w:val="100"/>
        <w:sz w:val="24"/>
        <w:szCs w:val="24"/>
        <w:lang w:val="en-US" w:eastAsia="en-US" w:bidi="ar-SA"/>
      </w:rPr>
    </w:lvl>
    <w:lvl w:ilvl="1" w:tplc="D56ADB5E">
      <w:start w:val="1"/>
      <w:numFmt w:val="lowerRoman"/>
      <w:lvlText w:val="(%2)"/>
      <w:lvlJc w:val="left"/>
      <w:pPr>
        <w:ind w:left="1482" w:hanging="307"/>
      </w:pPr>
      <w:rPr>
        <w:rFonts w:hint="default"/>
        <w:i/>
        <w:w w:val="100"/>
        <w:lang w:val="en-US" w:eastAsia="en-US" w:bidi="ar-SA"/>
      </w:rPr>
    </w:lvl>
    <w:lvl w:ilvl="2" w:tplc="47BAF728">
      <w:numFmt w:val="bullet"/>
      <w:lvlText w:val="•"/>
      <w:lvlJc w:val="left"/>
      <w:pPr>
        <w:ind w:left="1480" w:hanging="307"/>
      </w:pPr>
      <w:rPr>
        <w:rFonts w:hint="default"/>
        <w:lang w:val="en-US" w:eastAsia="en-US" w:bidi="ar-SA"/>
      </w:rPr>
    </w:lvl>
    <w:lvl w:ilvl="3" w:tplc="78C482B8">
      <w:numFmt w:val="bullet"/>
      <w:lvlText w:val="•"/>
      <w:lvlJc w:val="left"/>
      <w:pPr>
        <w:ind w:left="1820" w:hanging="307"/>
      </w:pPr>
      <w:rPr>
        <w:rFonts w:hint="default"/>
        <w:lang w:val="en-US" w:eastAsia="en-US" w:bidi="ar-SA"/>
      </w:rPr>
    </w:lvl>
    <w:lvl w:ilvl="4" w:tplc="499C7916">
      <w:numFmt w:val="bullet"/>
      <w:lvlText w:val="•"/>
      <w:lvlJc w:val="left"/>
      <w:pPr>
        <w:ind w:left="2000" w:hanging="307"/>
      </w:pPr>
      <w:rPr>
        <w:rFonts w:hint="default"/>
        <w:lang w:val="en-US" w:eastAsia="en-US" w:bidi="ar-SA"/>
      </w:rPr>
    </w:lvl>
    <w:lvl w:ilvl="5" w:tplc="C4A8D6CC">
      <w:numFmt w:val="bullet"/>
      <w:lvlText w:val="•"/>
      <w:lvlJc w:val="left"/>
      <w:pPr>
        <w:ind w:left="3567" w:hanging="307"/>
      </w:pPr>
      <w:rPr>
        <w:rFonts w:hint="default"/>
        <w:lang w:val="en-US" w:eastAsia="en-US" w:bidi="ar-SA"/>
      </w:rPr>
    </w:lvl>
    <w:lvl w:ilvl="6" w:tplc="EFA0580C">
      <w:numFmt w:val="bullet"/>
      <w:lvlText w:val="•"/>
      <w:lvlJc w:val="left"/>
      <w:pPr>
        <w:ind w:left="5135" w:hanging="307"/>
      </w:pPr>
      <w:rPr>
        <w:rFonts w:hint="default"/>
        <w:lang w:val="en-US" w:eastAsia="en-US" w:bidi="ar-SA"/>
      </w:rPr>
    </w:lvl>
    <w:lvl w:ilvl="7" w:tplc="1EF26C62">
      <w:numFmt w:val="bullet"/>
      <w:lvlText w:val="•"/>
      <w:lvlJc w:val="left"/>
      <w:pPr>
        <w:ind w:left="6703" w:hanging="307"/>
      </w:pPr>
      <w:rPr>
        <w:rFonts w:hint="default"/>
        <w:lang w:val="en-US" w:eastAsia="en-US" w:bidi="ar-SA"/>
      </w:rPr>
    </w:lvl>
    <w:lvl w:ilvl="8" w:tplc="698A726E">
      <w:numFmt w:val="bullet"/>
      <w:lvlText w:val="•"/>
      <w:lvlJc w:val="left"/>
      <w:pPr>
        <w:ind w:left="8270" w:hanging="307"/>
      </w:pPr>
      <w:rPr>
        <w:rFonts w:hint="default"/>
        <w:lang w:val="en-US" w:eastAsia="en-US" w:bidi="ar-SA"/>
      </w:rPr>
    </w:lvl>
  </w:abstractNum>
  <w:abstractNum w:abstractNumId="26" w15:restartNumberingAfterBreak="0">
    <w:nsid w:val="5BDF5569"/>
    <w:multiLevelType w:val="multilevel"/>
    <w:tmpl w:val="D482383A"/>
    <w:lvl w:ilvl="0">
      <w:start w:val="3"/>
      <w:numFmt w:val="decimal"/>
      <w:lvlText w:val="%1"/>
      <w:lvlJc w:val="left"/>
      <w:pPr>
        <w:ind w:left="360" w:hanging="360"/>
      </w:pPr>
      <w:rPr>
        <w:rFonts w:hint="default"/>
      </w:rPr>
    </w:lvl>
    <w:lvl w:ilvl="1">
      <w:start w:val="1"/>
      <w:numFmt w:val="decimal"/>
      <w:pStyle w:val="HEADINGCH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E233705"/>
    <w:multiLevelType w:val="hybridMultilevel"/>
    <w:tmpl w:val="EF46FE16"/>
    <w:lvl w:ilvl="0" w:tplc="26087BB2">
      <w:start w:val="1"/>
      <w:numFmt w:val="upperRoman"/>
      <w:lvlText w:val="%1."/>
      <w:lvlJc w:val="left"/>
      <w:pPr>
        <w:ind w:left="720" w:hanging="72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60590C20"/>
    <w:multiLevelType w:val="hybridMultilevel"/>
    <w:tmpl w:val="A844A7B4"/>
    <w:lvl w:ilvl="0" w:tplc="13AAE4FE">
      <w:numFmt w:val="bullet"/>
      <w:lvlText w:val="-"/>
      <w:lvlJc w:val="left"/>
      <w:pPr>
        <w:ind w:left="1494" w:hanging="360"/>
      </w:pPr>
      <w:rPr>
        <w:rFonts w:ascii="Arial" w:eastAsia="宋体" w:hAnsi="Arial" w:cs="Arial" w:hint="default"/>
        <w:b/>
        <w:color w:val="auto"/>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9" w15:restartNumberingAfterBreak="0">
    <w:nsid w:val="692D4225"/>
    <w:multiLevelType w:val="hybridMultilevel"/>
    <w:tmpl w:val="959E4D50"/>
    <w:lvl w:ilvl="0" w:tplc="5548FB7E">
      <w:start w:val="1"/>
      <w:numFmt w:val="upperLetter"/>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30" w15:restartNumberingAfterBreak="0">
    <w:nsid w:val="6ECD7CCC"/>
    <w:multiLevelType w:val="hybridMultilevel"/>
    <w:tmpl w:val="32F8C968"/>
    <w:lvl w:ilvl="0" w:tplc="0413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71481FA4"/>
    <w:multiLevelType w:val="multilevel"/>
    <w:tmpl w:val="08090025"/>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1004"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2" w15:restartNumberingAfterBreak="0">
    <w:nsid w:val="71DB3B5F"/>
    <w:multiLevelType w:val="hybridMultilevel"/>
    <w:tmpl w:val="84564466"/>
    <w:lvl w:ilvl="0" w:tplc="4EC08D8A">
      <w:start w:val="1"/>
      <w:numFmt w:val="decimal"/>
      <w:pStyle w:val="VBBParagraph"/>
      <w:lvlText w:val="%1."/>
      <w:lvlJc w:val="left"/>
      <w:pPr>
        <w:tabs>
          <w:tab w:val="num" w:pos="737"/>
        </w:tabs>
        <w:ind w:left="0" w:firstLine="0"/>
      </w:pPr>
      <w:rPr>
        <w:rFonts w:ascii="Times New Roman" w:hAnsi="Times New Roman" w:cs="Times New Roman" w:hint="default"/>
        <w:b w:val="0"/>
        <w:bCs w:val="0"/>
        <w:i w:val="0"/>
        <w:iCs w:val="0"/>
        <w:caps w:val="0"/>
        <w:strike w:val="0"/>
        <w:dstrike w:val="0"/>
        <w:vanish w:val="0"/>
        <w:color w:val="auto"/>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1DB3E0E"/>
    <w:multiLevelType w:val="hybridMultilevel"/>
    <w:tmpl w:val="A814B4DE"/>
    <w:lvl w:ilvl="0" w:tplc="3816F73C">
      <w:start w:val="87"/>
      <w:numFmt w:val="decimal"/>
      <w:lvlText w:val="%1."/>
      <w:lvlJc w:val="left"/>
      <w:pPr>
        <w:ind w:left="644" w:hanging="360"/>
      </w:pPr>
      <w:rPr>
        <w:rFonts w:ascii="Arial" w:hAnsi="Arial" w:cs="Arial" w:hint="default"/>
        <w:b w:val="0"/>
        <w:i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4" w15:restartNumberingAfterBreak="0">
    <w:nsid w:val="77316A27"/>
    <w:multiLevelType w:val="hybridMultilevel"/>
    <w:tmpl w:val="D918EA1E"/>
    <w:lvl w:ilvl="0" w:tplc="632864B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C0C2568"/>
    <w:multiLevelType w:val="hybridMultilevel"/>
    <w:tmpl w:val="DF06A740"/>
    <w:lvl w:ilvl="0" w:tplc="48E605FC">
      <w:start w:val="1"/>
      <w:numFmt w:val="upperLetter"/>
      <w:lvlText w:val="%1."/>
      <w:lvlJc w:val="left"/>
      <w:pPr>
        <w:ind w:left="1080" w:hanging="360"/>
      </w:pPr>
      <w:rPr>
        <w:rFonts w:hint="default"/>
      </w:rPr>
    </w:lvl>
    <w:lvl w:ilvl="1" w:tplc="10000019">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num w:numId="1">
    <w:abstractNumId w:val="15"/>
  </w:num>
  <w:num w:numId="2">
    <w:abstractNumId w:val="26"/>
  </w:num>
  <w:num w:numId="3">
    <w:abstractNumId w:val="34"/>
  </w:num>
  <w:num w:numId="4">
    <w:abstractNumId w:val="21"/>
    <w:lvlOverride w:ilvl="0">
      <w:lvl w:ilvl="0">
        <w:start w:val="1"/>
        <w:numFmt w:val="decimal"/>
        <w:pStyle w:val="HFWLevel1"/>
        <w:lvlText w:val="%1."/>
        <w:lvlJc w:val="left"/>
        <w:pPr>
          <w:ind w:left="720" w:hanging="720"/>
        </w:pPr>
        <w:rPr>
          <w:b/>
          <w:i w:val="0"/>
          <w:caps w:val="0"/>
          <w:smallCaps w:val="0"/>
          <w:strike w:val="0"/>
          <w:dstrike w:val="0"/>
          <w:vanish w:val="0"/>
          <w:position w:val="0"/>
          <w:u w:val="none"/>
          <w:vertAlign w:val="baseline"/>
        </w:rPr>
      </w:lvl>
    </w:lvlOverride>
    <w:lvlOverride w:ilvl="1">
      <w:lvl w:ilvl="1">
        <w:start w:val="1"/>
        <w:numFmt w:val="decimal"/>
        <w:pStyle w:val="HFWLevel2"/>
        <w:lvlText w:val="%1.%2"/>
        <w:lvlJc w:val="left"/>
        <w:pPr>
          <w:ind w:left="720" w:hanging="720"/>
        </w:pPr>
        <w:rPr>
          <w:b/>
          <w:i w:val="0"/>
          <w:caps w:val="0"/>
          <w:smallCaps w:val="0"/>
          <w:strike w:val="0"/>
          <w:dstrike w:val="0"/>
          <w:vanish w:val="0"/>
          <w:position w:val="0"/>
          <w:u w:val="none"/>
          <w:vertAlign w:val="baseline"/>
        </w:rPr>
      </w:lvl>
    </w:lvlOverride>
    <w:lvlOverride w:ilvl="2">
      <w:lvl w:ilvl="2">
        <w:start w:val="1"/>
        <w:numFmt w:val="lowerLetter"/>
        <w:pStyle w:val="HFWLevel3"/>
        <w:lvlText w:val="(%1.%2.%3)"/>
        <w:lvlJc w:val="left"/>
        <w:pPr>
          <w:ind w:left="1440" w:hanging="720"/>
        </w:pPr>
        <w:rPr>
          <w:b w:val="0"/>
          <w:i w:val="0"/>
          <w:caps w:val="0"/>
          <w:smallCaps w:val="0"/>
          <w:strike w:val="0"/>
          <w:dstrike w:val="0"/>
          <w:vanish w:val="0"/>
          <w:position w:val="0"/>
          <w:u w:val="none"/>
          <w:vertAlign w:val="baseline"/>
        </w:rPr>
      </w:lvl>
    </w:lvlOverride>
    <w:lvlOverride w:ilvl="3">
      <w:lvl w:ilvl="3">
        <w:start w:val="1"/>
        <w:numFmt w:val="lowerRoman"/>
        <w:pStyle w:val="HFWLevel4"/>
        <w:lvlText w:val="(%1.%2.%3.%4)"/>
        <w:lvlJc w:val="left"/>
        <w:pPr>
          <w:ind w:left="2160" w:hanging="720"/>
        </w:pPr>
        <w:rPr>
          <w:b w:val="0"/>
          <w:i w:val="0"/>
          <w:caps w:val="0"/>
          <w:smallCaps w:val="0"/>
          <w:strike w:val="0"/>
          <w:dstrike w:val="0"/>
          <w:vanish w:val="0"/>
          <w:position w:val="0"/>
          <w:u w:val="none"/>
          <w:vertAlign w:val="baseline"/>
        </w:rPr>
      </w:lvl>
    </w:lvlOverride>
    <w:lvlOverride w:ilvl="4">
      <w:lvl w:ilvl="4">
        <w:start w:val="1"/>
        <w:numFmt w:val="upperLetter"/>
        <w:pStyle w:val="HFWLevel5"/>
        <w:lvlText w:val="(%1.%2.%3.%4.%5)"/>
        <w:lvlJc w:val="left"/>
        <w:pPr>
          <w:ind w:left="2880" w:hanging="720"/>
        </w:pPr>
        <w:rPr>
          <w:b w:val="0"/>
          <w:i w:val="0"/>
          <w:caps w:val="0"/>
          <w:smallCaps w:val="0"/>
          <w:strike w:val="0"/>
          <w:dstrike w:val="0"/>
          <w:vanish w:val="0"/>
          <w:position w:val="0"/>
          <w:u w:val="none"/>
          <w:vertAlign w:val="baseline"/>
        </w:rPr>
      </w:lvl>
    </w:lvlOverride>
    <w:lvlOverride w:ilvl="5">
      <w:lvl w:ilvl="5">
        <w:start w:val="1"/>
        <w:numFmt w:val="upperRoman"/>
        <w:pStyle w:val="HFWLevel6"/>
        <w:lvlText w:val="(%1.%2.%3.%4.%5.%6)"/>
        <w:lvlJc w:val="left"/>
        <w:pPr>
          <w:ind w:left="3600" w:hanging="720"/>
        </w:pPr>
        <w:rPr>
          <w:b w:val="0"/>
          <w:i w:val="0"/>
          <w:caps w:val="0"/>
          <w:smallCaps w:val="0"/>
          <w:strike w:val="0"/>
          <w:dstrike w:val="0"/>
          <w:vanish w:val="0"/>
          <w:position w:val="0"/>
          <w:u w:val="none"/>
          <w:vertAlign w:val="baseline"/>
        </w:rPr>
      </w:lvl>
    </w:lvlOverride>
    <w:lvlOverride w:ilvl="6">
      <w:lvl w:ilvl="6">
        <w:start w:val="1"/>
        <w:numFmt w:val="none"/>
        <w:lvlText w:val="%7"/>
        <w:lvlJc w:val="left"/>
        <w:pPr>
          <w:ind w:left="1296" w:hanging="1296"/>
        </w:pPr>
      </w:lvl>
    </w:lvlOverride>
    <w:lvlOverride w:ilvl="7">
      <w:lvl w:ilvl="7">
        <w:start w:val="1"/>
        <w:numFmt w:val="none"/>
        <w:lvlText w:val="%8"/>
        <w:lvlJc w:val="left"/>
        <w:pPr>
          <w:ind w:left="1440" w:hanging="1440"/>
        </w:pPr>
      </w:lvl>
    </w:lvlOverride>
    <w:lvlOverride w:ilvl="8">
      <w:lvl w:ilvl="8">
        <w:start w:val="1"/>
        <w:numFmt w:val="none"/>
        <w:lvlText w:val="%9"/>
        <w:lvlJc w:val="left"/>
        <w:pPr>
          <w:ind w:left="1584" w:hanging="1584"/>
        </w:pPr>
      </w:lvl>
    </w:lvlOverride>
  </w:num>
  <w:num w:numId="5">
    <w:abstractNumId w:val="21"/>
  </w:num>
  <w:num w:numId="6">
    <w:abstractNumId w:val="31"/>
  </w:num>
  <w:num w:numId="7">
    <w:abstractNumId w:val="32"/>
  </w:num>
  <w:num w:numId="8">
    <w:abstractNumId w:val="20"/>
  </w:num>
  <w:num w:numId="9">
    <w:abstractNumId w:val="31"/>
    <w:lvlOverride w:ilvl="0">
      <w:startOverride w:val="3"/>
    </w:lvlOverride>
    <w:lvlOverride w:ilvl="1">
      <w:startOverride w:val="1"/>
    </w:lvlOverride>
    <w:lvlOverride w:ilvl="2">
      <w:startOverride w:val="2"/>
    </w:lvlOverride>
  </w:num>
  <w:num w:numId="10">
    <w:abstractNumId w:val="5"/>
  </w:num>
  <w:num w:numId="11">
    <w:abstractNumId w:val="0"/>
  </w:num>
  <w:num w:numId="12">
    <w:abstractNumId w:val="31"/>
    <w:lvlOverride w:ilvl="0">
      <w:startOverride w:val="3"/>
    </w:lvlOverride>
    <w:lvlOverride w:ilvl="1">
      <w:startOverride w:val="6"/>
    </w:lvlOverride>
  </w:num>
  <w:num w:numId="13">
    <w:abstractNumId w:val="23"/>
  </w:num>
  <w:num w:numId="14">
    <w:abstractNumId w:val="31"/>
    <w:lvlOverride w:ilvl="0">
      <w:startOverride w:val="3"/>
    </w:lvlOverride>
    <w:lvlOverride w:ilvl="1">
      <w:startOverride w:val="3"/>
    </w:lvlOverride>
    <w:lvlOverride w:ilvl="2">
      <w:startOverride w:val="2"/>
    </w:lvlOverride>
  </w:num>
  <w:num w:numId="15">
    <w:abstractNumId w:val="35"/>
  </w:num>
  <w:num w:numId="16">
    <w:abstractNumId w:val="29"/>
  </w:num>
  <w:num w:numId="17">
    <w:abstractNumId w:val="2"/>
  </w:num>
  <w:num w:numId="18">
    <w:abstractNumId w:val="4"/>
  </w:num>
  <w:num w:numId="19">
    <w:abstractNumId w:val="1"/>
  </w:num>
  <w:num w:numId="20">
    <w:abstractNumId w:val="17"/>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24"/>
  </w:num>
  <w:num w:numId="24">
    <w:abstractNumId w:val="9"/>
  </w:num>
  <w:num w:numId="25">
    <w:abstractNumId w:val="22"/>
  </w:num>
  <w:num w:numId="26">
    <w:abstractNumId w:val="28"/>
  </w:num>
  <w:num w:numId="27">
    <w:abstractNumId w:val="11"/>
  </w:num>
  <w:num w:numId="28">
    <w:abstractNumId w:val="25"/>
  </w:num>
  <w:num w:numId="29">
    <w:abstractNumId w:val="10"/>
  </w:num>
  <w:num w:numId="30">
    <w:abstractNumId w:val="31"/>
  </w:num>
  <w:num w:numId="31">
    <w:abstractNumId w:val="19"/>
  </w:num>
  <w:num w:numId="32">
    <w:abstractNumId w:val="3"/>
  </w:num>
  <w:num w:numId="33">
    <w:abstractNumId w:val="31"/>
  </w:num>
  <w:num w:numId="34">
    <w:abstractNumId w:val="12"/>
  </w:num>
  <w:num w:numId="35">
    <w:abstractNumId w:val="31"/>
  </w:num>
  <w:num w:numId="36">
    <w:abstractNumId w:val="8"/>
  </w:num>
  <w:num w:numId="37">
    <w:abstractNumId w:val="16"/>
  </w:num>
  <w:num w:numId="38">
    <w:abstractNumId w:val="6"/>
  </w:num>
  <w:num w:numId="39">
    <w:abstractNumId w:val="13"/>
  </w:num>
  <w:num w:numId="40">
    <w:abstractNumId w:val="7"/>
  </w:num>
  <w:num w:numId="41">
    <w:abstractNumId w:val="33"/>
  </w:num>
  <w:num w:numId="42">
    <w:abstractNumId w:val="18"/>
  </w:num>
  <w:num w:numId="43">
    <w:abstractNumId w:val="31"/>
  </w:num>
  <w:num w:numId="44">
    <w:abstractNumId w:val="31"/>
  </w:num>
  <w:num w:numId="45">
    <w:abstractNumId w:val="27"/>
  </w:num>
  <w:num w:numId="46">
    <w:abstractNumId w:val="14"/>
  </w:num>
  <w:num w:numId="47">
    <w:abstractNumId w:val="31"/>
    <w:lvlOverride w:ilvl="0">
      <w:startOverride w:val="2"/>
    </w:lvlOverride>
    <w:lvlOverride w:ilvl="1">
      <w:startOverride w:val="4"/>
    </w:lvlOverride>
    <w:lvlOverride w:ilvl="2">
      <w:startOverride w:val="1"/>
    </w:lvlOverride>
    <w:lvlOverride w:ilvl="3">
      <w:startOverride w:val="2"/>
    </w:lvlOverride>
  </w:num>
  <w:num w:numId="48">
    <w:abstractNumId w:val="31"/>
  </w:num>
  <w:num w:numId="49">
    <w:abstractNumId w:val="31"/>
  </w:num>
  <w:num w:numId="50">
    <w:abstractNumId w:val="31"/>
  </w:num>
  <w:num w:numId="51">
    <w:abstractNumId w:val="31"/>
  </w:num>
  <w:num w:numId="52">
    <w:abstractNumId w:val="31"/>
  </w:num>
  <w:num w:numId="53">
    <w:abstractNumId w:val="31"/>
  </w:num>
  <w:num w:numId="54">
    <w:abstractNumId w:val="31"/>
  </w:num>
  <w:num w:numId="55">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EF5"/>
    <w:rsid w:val="00000AAD"/>
    <w:rsid w:val="00001600"/>
    <w:rsid w:val="000030B2"/>
    <w:rsid w:val="000041EF"/>
    <w:rsid w:val="00004812"/>
    <w:rsid w:val="00004AB4"/>
    <w:rsid w:val="0000558F"/>
    <w:rsid w:val="000062D7"/>
    <w:rsid w:val="00006700"/>
    <w:rsid w:val="00006E99"/>
    <w:rsid w:val="00007017"/>
    <w:rsid w:val="000079AE"/>
    <w:rsid w:val="00007E76"/>
    <w:rsid w:val="00007FC3"/>
    <w:rsid w:val="00010026"/>
    <w:rsid w:val="00010DC0"/>
    <w:rsid w:val="00012027"/>
    <w:rsid w:val="000125B5"/>
    <w:rsid w:val="00012787"/>
    <w:rsid w:val="00012D17"/>
    <w:rsid w:val="00012F3A"/>
    <w:rsid w:val="00013248"/>
    <w:rsid w:val="00013427"/>
    <w:rsid w:val="00014458"/>
    <w:rsid w:val="000147AF"/>
    <w:rsid w:val="00014C46"/>
    <w:rsid w:val="00014EDC"/>
    <w:rsid w:val="000150EA"/>
    <w:rsid w:val="000158C3"/>
    <w:rsid w:val="00015BD1"/>
    <w:rsid w:val="00016CC2"/>
    <w:rsid w:val="00016F5B"/>
    <w:rsid w:val="0001712F"/>
    <w:rsid w:val="000175BF"/>
    <w:rsid w:val="000178BB"/>
    <w:rsid w:val="00017ABB"/>
    <w:rsid w:val="000202B9"/>
    <w:rsid w:val="000205EC"/>
    <w:rsid w:val="00020C35"/>
    <w:rsid w:val="000214B5"/>
    <w:rsid w:val="0002175B"/>
    <w:rsid w:val="00021BF9"/>
    <w:rsid w:val="00022207"/>
    <w:rsid w:val="000224BD"/>
    <w:rsid w:val="00023371"/>
    <w:rsid w:val="00024322"/>
    <w:rsid w:val="00024633"/>
    <w:rsid w:val="0002468A"/>
    <w:rsid w:val="00024B69"/>
    <w:rsid w:val="00024DF2"/>
    <w:rsid w:val="000265FA"/>
    <w:rsid w:val="00027E86"/>
    <w:rsid w:val="00030013"/>
    <w:rsid w:val="000314EF"/>
    <w:rsid w:val="0003281F"/>
    <w:rsid w:val="000331C0"/>
    <w:rsid w:val="000338E4"/>
    <w:rsid w:val="00033EA8"/>
    <w:rsid w:val="00034157"/>
    <w:rsid w:val="000341DF"/>
    <w:rsid w:val="0003508C"/>
    <w:rsid w:val="00036532"/>
    <w:rsid w:val="00036FFF"/>
    <w:rsid w:val="00037B71"/>
    <w:rsid w:val="00037CBC"/>
    <w:rsid w:val="00040908"/>
    <w:rsid w:val="00040A0F"/>
    <w:rsid w:val="00041C9A"/>
    <w:rsid w:val="00041F7E"/>
    <w:rsid w:val="00042144"/>
    <w:rsid w:val="00042610"/>
    <w:rsid w:val="000427F4"/>
    <w:rsid w:val="000428E6"/>
    <w:rsid w:val="00043986"/>
    <w:rsid w:val="00043EBF"/>
    <w:rsid w:val="00043ED3"/>
    <w:rsid w:val="00044173"/>
    <w:rsid w:val="0004419B"/>
    <w:rsid w:val="00044D3B"/>
    <w:rsid w:val="00044E49"/>
    <w:rsid w:val="00045E04"/>
    <w:rsid w:val="00046A0C"/>
    <w:rsid w:val="00047795"/>
    <w:rsid w:val="00047DF5"/>
    <w:rsid w:val="0005003F"/>
    <w:rsid w:val="00050273"/>
    <w:rsid w:val="00051DCD"/>
    <w:rsid w:val="000525CF"/>
    <w:rsid w:val="00052F5B"/>
    <w:rsid w:val="000530BA"/>
    <w:rsid w:val="000532FA"/>
    <w:rsid w:val="00053352"/>
    <w:rsid w:val="00053558"/>
    <w:rsid w:val="0005396E"/>
    <w:rsid w:val="0005471F"/>
    <w:rsid w:val="00054FE0"/>
    <w:rsid w:val="0005545C"/>
    <w:rsid w:val="0005603E"/>
    <w:rsid w:val="00060152"/>
    <w:rsid w:val="000602A9"/>
    <w:rsid w:val="0006157B"/>
    <w:rsid w:val="00061930"/>
    <w:rsid w:val="00062C4D"/>
    <w:rsid w:val="00064BC2"/>
    <w:rsid w:val="0006517E"/>
    <w:rsid w:val="00065B9B"/>
    <w:rsid w:val="00066381"/>
    <w:rsid w:val="00066E7E"/>
    <w:rsid w:val="0006797E"/>
    <w:rsid w:val="000700B9"/>
    <w:rsid w:val="000702B8"/>
    <w:rsid w:val="000703C6"/>
    <w:rsid w:val="00070E06"/>
    <w:rsid w:val="00070E47"/>
    <w:rsid w:val="000712EE"/>
    <w:rsid w:val="00071CC5"/>
    <w:rsid w:val="00071EA1"/>
    <w:rsid w:val="000722AA"/>
    <w:rsid w:val="00072E89"/>
    <w:rsid w:val="00074A17"/>
    <w:rsid w:val="00074DDA"/>
    <w:rsid w:val="00074EF0"/>
    <w:rsid w:val="0007534A"/>
    <w:rsid w:val="00075EEB"/>
    <w:rsid w:val="000760FD"/>
    <w:rsid w:val="000802C5"/>
    <w:rsid w:val="000816AC"/>
    <w:rsid w:val="00081C54"/>
    <w:rsid w:val="00082757"/>
    <w:rsid w:val="00084D30"/>
    <w:rsid w:val="00084F14"/>
    <w:rsid w:val="0008553E"/>
    <w:rsid w:val="000857AF"/>
    <w:rsid w:val="00086921"/>
    <w:rsid w:val="000871B4"/>
    <w:rsid w:val="000876CF"/>
    <w:rsid w:val="000902F8"/>
    <w:rsid w:val="00090542"/>
    <w:rsid w:val="00092407"/>
    <w:rsid w:val="00093288"/>
    <w:rsid w:val="00093EB7"/>
    <w:rsid w:val="0009438D"/>
    <w:rsid w:val="000945A8"/>
    <w:rsid w:val="00094AF4"/>
    <w:rsid w:val="00094BFD"/>
    <w:rsid w:val="000955C2"/>
    <w:rsid w:val="00095C4E"/>
    <w:rsid w:val="000962CF"/>
    <w:rsid w:val="00096EED"/>
    <w:rsid w:val="000A04BE"/>
    <w:rsid w:val="000A0506"/>
    <w:rsid w:val="000A0548"/>
    <w:rsid w:val="000A0CF9"/>
    <w:rsid w:val="000A21C1"/>
    <w:rsid w:val="000A23A3"/>
    <w:rsid w:val="000A289A"/>
    <w:rsid w:val="000A2D39"/>
    <w:rsid w:val="000A2F92"/>
    <w:rsid w:val="000A33D1"/>
    <w:rsid w:val="000A3DF7"/>
    <w:rsid w:val="000A41C9"/>
    <w:rsid w:val="000A4518"/>
    <w:rsid w:val="000A4DB3"/>
    <w:rsid w:val="000A5664"/>
    <w:rsid w:val="000A5DC6"/>
    <w:rsid w:val="000A6677"/>
    <w:rsid w:val="000A6E32"/>
    <w:rsid w:val="000A7226"/>
    <w:rsid w:val="000A73E6"/>
    <w:rsid w:val="000A786F"/>
    <w:rsid w:val="000B0081"/>
    <w:rsid w:val="000B1AE2"/>
    <w:rsid w:val="000B3556"/>
    <w:rsid w:val="000B3D2D"/>
    <w:rsid w:val="000B449E"/>
    <w:rsid w:val="000B5330"/>
    <w:rsid w:val="000B5DB1"/>
    <w:rsid w:val="000B622C"/>
    <w:rsid w:val="000B6ADD"/>
    <w:rsid w:val="000B7381"/>
    <w:rsid w:val="000C00D1"/>
    <w:rsid w:val="000C0EA3"/>
    <w:rsid w:val="000C1D1B"/>
    <w:rsid w:val="000C257E"/>
    <w:rsid w:val="000C2DB8"/>
    <w:rsid w:val="000C448B"/>
    <w:rsid w:val="000C45C4"/>
    <w:rsid w:val="000C50F2"/>
    <w:rsid w:val="000C652C"/>
    <w:rsid w:val="000C668E"/>
    <w:rsid w:val="000C72B9"/>
    <w:rsid w:val="000D0011"/>
    <w:rsid w:val="000D04CE"/>
    <w:rsid w:val="000D0509"/>
    <w:rsid w:val="000D06DD"/>
    <w:rsid w:val="000D1184"/>
    <w:rsid w:val="000D1828"/>
    <w:rsid w:val="000D1B2A"/>
    <w:rsid w:val="000D1B43"/>
    <w:rsid w:val="000D2218"/>
    <w:rsid w:val="000D32F6"/>
    <w:rsid w:val="000D3586"/>
    <w:rsid w:val="000D451A"/>
    <w:rsid w:val="000D6779"/>
    <w:rsid w:val="000D6CF8"/>
    <w:rsid w:val="000D6F34"/>
    <w:rsid w:val="000E08CA"/>
    <w:rsid w:val="000E0C3E"/>
    <w:rsid w:val="000E1554"/>
    <w:rsid w:val="000E1DFA"/>
    <w:rsid w:val="000E220D"/>
    <w:rsid w:val="000E2C76"/>
    <w:rsid w:val="000E3156"/>
    <w:rsid w:val="000E3298"/>
    <w:rsid w:val="000E32D2"/>
    <w:rsid w:val="000E4458"/>
    <w:rsid w:val="000E4B90"/>
    <w:rsid w:val="000E4E25"/>
    <w:rsid w:val="000E5522"/>
    <w:rsid w:val="000E5CEB"/>
    <w:rsid w:val="000E616A"/>
    <w:rsid w:val="000E7469"/>
    <w:rsid w:val="000F05D8"/>
    <w:rsid w:val="000F0DE2"/>
    <w:rsid w:val="000F0DF1"/>
    <w:rsid w:val="000F1024"/>
    <w:rsid w:val="000F1436"/>
    <w:rsid w:val="000F1514"/>
    <w:rsid w:val="000F17B8"/>
    <w:rsid w:val="000F1F24"/>
    <w:rsid w:val="000F3295"/>
    <w:rsid w:val="000F3A48"/>
    <w:rsid w:val="000F3B2A"/>
    <w:rsid w:val="000F48FA"/>
    <w:rsid w:val="000F4E6E"/>
    <w:rsid w:val="000F6438"/>
    <w:rsid w:val="000F712A"/>
    <w:rsid w:val="000F767C"/>
    <w:rsid w:val="000F7A46"/>
    <w:rsid w:val="000F7B56"/>
    <w:rsid w:val="001001FC"/>
    <w:rsid w:val="001008C7"/>
    <w:rsid w:val="001014B1"/>
    <w:rsid w:val="0010177D"/>
    <w:rsid w:val="00101BD2"/>
    <w:rsid w:val="00102512"/>
    <w:rsid w:val="00103458"/>
    <w:rsid w:val="00103892"/>
    <w:rsid w:val="001038FD"/>
    <w:rsid w:val="00103971"/>
    <w:rsid w:val="00103D54"/>
    <w:rsid w:val="00104240"/>
    <w:rsid w:val="00104B64"/>
    <w:rsid w:val="00105088"/>
    <w:rsid w:val="001057A1"/>
    <w:rsid w:val="001059EF"/>
    <w:rsid w:val="00106170"/>
    <w:rsid w:val="001066F4"/>
    <w:rsid w:val="001073B7"/>
    <w:rsid w:val="00110731"/>
    <w:rsid w:val="00111053"/>
    <w:rsid w:val="0011115F"/>
    <w:rsid w:val="0011122A"/>
    <w:rsid w:val="00112627"/>
    <w:rsid w:val="001134E2"/>
    <w:rsid w:val="001135B1"/>
    <w:rsid w:val="00113B50"/>
    <w:rsid w:val="00114125"/>
    <w:rsid w:val="0011413D"/>
    <w:rsid w:val="00114352"/>
    <w:rsid w:val="00114501"/>
    <w:rsid w:val="0011461A"/>
    <w:rsid w:val="001146A4"/>
    <w:rsid w:val="00114E8B"/>
    <w:rsid w:val="0011521F"/>
    <w:rsid w:val="00115436"/>
    <w:rsid w:val="001154E0"/>
    <w:rsid w:val="00115EBA"/>
    <w:rsid w:val="00115FB5"/>
    <w:rsid w:val="0011696D"/>
    <w:rsid w:val="00116A05"/>
    <w:rsid w:val="00116A13"/>
    <w:rsid w:val="001177B5"/>
    <w:rsid w:val="001206ED"/>
    <w:rsid w:val="00120AF5"/>
    <w:rsid w:val="00121209"/>
    <w:rsid w:val="00122A2D"/>
    <w:rsid w:val="00122B4B"/>
    <w:rsid w:val="00122D18"/>
    <w:rsid w:val="0012301D"/>
    <w:rsid w:val="00124157"/>
    <w:rsid w:val="00124329"/>
    <w:rsid w:val="001243AD"/>
    <w:rsid w:val="00125952"/>
    <w:rsid w:val="00125DD7"/>
    <w:rsid w:val="00126A30"/>
    <w:rsid w:val="00127549"/>
    <w:rsid w:val="0013111E"/>
    <w:rsid w:val="00131918"/>
    <w:rsid w:val="00131A45"/>
    <w:rsid w:val="00131BD5"/>
    <w:rsid w:val="00131C50"/>
    <w:rsid w:val="001320D2"/>
    <w:rsid w:val="00132D6D"/>
    <w:rsid w:val="00133034"/>
    <w:rsid w:val="00133197"/>
    <w:rsid w:val="00133D6C"/>
    <w:rsid w:val="0013410D"/>
    <w:rsid w:val="00134AC1"/>
    <w:rsid w:val="00134FB0"/>
    <w:rsid w:val="00135AFB"/>
    <w:rsid w:val="00135B3D"/>
    <w:rsid w:val="0013619E"/>
    <w:rsid w:val="001363D0"/>
    <w:rsid w:val="0013703D"/>
    <w:rsid w:val="001373A4"/>
    <w:rsid w:val="00137558"/>
    <w:rsid w:val="00137FF4"/>
    <w:rsid w:val="00140057"/>
    <w:rsid w:val="00140721"/>
    <w:rsid w:val="00141092"/>
    <w:rsid w:val="00141F92"/>
    <w:rsid w:val="001439DA"/>
    <w:rsid w:val="00143B31"/>
    <w:rsid w:val="00143F48"/>
    <w:rsid w:val="00145DBA"/>
    <w:rsid w:val="00146014"/>
    <w:rsid w:val="001461EF"/>
    <w:rsid w:val="001462F2"/>
    <w:rsid w:val="00146A43"/>
    <w:rsid w:val="00146C3F"/>
    <w:rsid w:val="00147036"/>
    <w:rsid w:val="001470B9"/>
    <w:rsid w:val="0014726F"/>
    <w:rsid w:val="001502E7"/>
    <w:rsid w:val="001503E8"/>
    <w:rsid w:val="0015109A"/>
    <w:rsid w:val="00151566"/>
    <w:rsid w:val="001522A2"/>
    <w:rsid w:val="00152F3D"/>
    <w:rsid w:val="0015327D"/>
    <w:rsid w:val="00153589"/>
    <w:rsid w:val="0015385A"/>
    <w:rsid w:val="00153965"/>
    <w:rsid w:val="00153B41"/>
    <w:rsid w:val="00153EF3"/>
    <w:rsid w:val="00154458"/>
    <w:rsid w:val="001544C4"/>
    <w:rsid w:val="00155E7B"/>
    <w:rsid w:val="001568DB"/>
    <w:rsid w:val="00157D60"/>
    <w:rsid w:val="00157F7B"/>
    <w:rsid w:val="00161020"/>
    <w:rsid w:val="00161543"/>
    <w:rsid w:val="00161838"/>
    <w:rsid w:val="00161B3F"/>
    <w:rsid w:val="00161C90"/>
    <w:rsid w:val="0016213F"/>
    <w:rsid w:val="0016247B"/>
    <w:rsid w:val="001626F8"/>
    <w:rsid w:val="00163B23"/>
    <w:rsid w:val="00163F17"/>
    <w:rsid w:val="001640AF"/>
    <w:rsid w:val="001645FC"/>
    <w:rsid w:val="0016461E"/>
    <w:rsid w:val="00164651"/>
    <w:rsid w:val="00164D68"/>
    <w:rsid w:val="00164DF3"/>
    <w:rsid w:val="001653C4"/>
    <w:rsid w:val="0016667C"/>
    <w:rsid w:val="001678B1"/>
    <w:rsid w:val="00167AAD"/>
    <w:rsid w:val="0017259C"/>
    <w:rsid w:val="00172820"/>
    <w:rsid w:val="001733BD"/>
    <w:rsid w:val="00174439"/>
    <w:rsid w:val="00174D41"/>
    <w:rsid w:val="0017504F"/>
    <w:rsid w:val="00175489"/>
    <w:rsid w:val="00175A9B"/>
    <w:rsid w:val="00175C45"/>
    <w:rsid w:val="00175E48"/>
    <w:rsid w:val="001764FB"/>
    <w:rsid w:val="00176988"/>
    <w:rsid w:val="00176F5F"/>
    <w:rsid w:val="0017727C"/>
    <w:rsid w:val="001775AE"/>
    <w:rsid w:val="0017791D"/>
    <w:rsid w:val="00177BC0"/>
    <w:rsid w:val="00177D70"/>
    <w:rsid w:val="00180699"/>
    <w:rsid w:val="001809FC"/>
    <w:rsid w:val="001810BF"/>
    <w:rsid w:val="00181729"/>
    <w:rsid w:val="00181F38"/>
    <w:rsid w:val="00184152"/>
    <w:rsid w:val="00184161"/>
    <w:rsid w:val="00184787"/>
    <w:rsid w:val="00186238"/>
    <w:rsid w:val="001868C4"/>
    <w:rsid w:val="00186D31"/>
    <w:rsid w:val="001874DF"/>
    <w:rsid w:val="00187F01"/>
    <w:rsid w:val="00190E73"/>
    <w:rsid w:val="00191639"/>
    <w:rsid w:val="00191FC5"/>
    <w:rsid w:val="001931A3"/>
    <w:rsid w:val="00193709"/>
    <w:rsid w:val="001942D6"/>
    <w:rsid w:val="001952EC"/>
    <w:rsid w:val="00195C99"/>
    <w:rsid w:val="0019649F"/>
    <w:rsid w:val="00196927"/>
    <w:rsid w:val="0019772E"/>
    <w:rsid w:val="00197F25"/>
    <w:rsid w:val="001A0AB0"/>
    <w:rsid w:val="001A0E91"/>
    <w:rsid w:val="001A10FE"/>
    <w:rsid w:val="001A142A"/>
    <w:rsid w:val="001A1582"/>
    <w:rsid w:val="001A15FF"/>
    <w:rsid w:val="001A292D"/>
    <w:rsid w:val="001A31CF"/>
    <w:rsid w:val="001A415F"/>
    <w:rsid w:val="001A45C6"/>
    <w:rsid w:val="001A46B7"/>
    <w:rsid w:val="001A4C08"/>
    <w:rsid w:val="001A4D00"/>
    <w:rsid w:val="001A4DBD"/>
    <w:rsid w:val="001A58BE"/>
    <w:rsid w:val="001A5E6E"/>
    <w:rsid w:val="001A69BB"/>
    <w:rsid w:val="001A6BB2"/>
    <w:rsid w:val="001A6BE2"/>
    <w:rsid w:val="001A6FA9"/>
    <w:rsid w:val="001A6FD6"/>
    <w:rsid w:val="001A70E9"/>
    <w:rsid w:val="001A7E64"/>
    <w:rsid w:val="001A7FB5"/>
    <w:rsid w:val="001B0020"/>
    <w:rsid w:val="001B0A3F"/>
    <w:rsid w:val="001B0A93"/>
    <w:rsid w:val="001B1312"/>
    <w:rsid w:val="001B17F9"/>
    <w:rsid w:val="001B1FDD"/>
    <w:rsid w:val="001B1FF7"/>
    <w:rsid w:val="001B23E0"/>
    <w:rsid w:val="001B369A"/>
    <w:rsid w:val="001B3AD8"/>
    <w:rsid w:val="001B401A"/>
    <w:rsid w:val="001B4AB4"/>
    <w:rsid w:val="001B5A7F"/>
    <w:rsid w:val="001B5D27"/>
    <w:rsid w:val="001B6BC0"/>
    <w:rsid w:val="001B707C"/>
    <w:rsid w:val="001B74DA"/>
    <w:rsid w:val="001B7FA3"/>
    <w:rsid w:val="001C0526"/>
    <w:rsid w:val="001C12DE"/>
    <w:rsid w:val="001C258F"/>
    <w:rsid w:val="001C27F0"/>
    <w:rsid w:val="001C322E"/>
    <w:rsid w:val="001C354C"/>
    <w:rsid w:val="001C5799"/>
    <w:rsid w:val="001C609D"/>
    <w:rsid w:val="001C6103"/>
    <w:rsid w:val="001C6834"/>
    <w:rsid w:val="001C7250"/>
    <w:rsid w:val="001C72FF"/>
    <w:rsid w:val="001D0148"/>
    <w:rsid w:val="001D0861"/>
    <w:rsid w:val="001D0EFC"/>
    <w:rsid w:val="001D1182"/>
    <w:rsid w:val="001D1600"/>
    <w:rsid w:val="001D1738"/>
    <w:rsid w:val="001D1B1E"/>
    <w:rsid w:val="001D1F59"/>
    <w:rsid w:val="001D27B2"/>
    <w:rsid w:val="001D3413"/>
    <w:rsid w:val="001D3D55"/>
    <w:rsid w:val="001D465A"/>
    <w:rsid w:val="001D55BF"/>
    <w:rsid w:val="001D5823"/>
    <w:rsid w:val="001D6315"/>
    <w:rsid w:val="001D6769"/>
    <w:rsid w:val="001D6CE8"/>
    <w:rsid w:val="001D6D6A"/>
    <w:rsid w:val="001D7030"/>
    <w:rsid w:val="001D7B52"/>
    <w:rsid w:val="001D7C0B"/>
    <w:rsid w:val="001E0299"/>
    <w:rsid w:val="001E08CA"/>
    <w:rsid w:val="001E0E2E"/>
    <w:rsid w:val="001E1161"/>
    <w:rsid w:val="001E1219"/>
    <w:rsid w:val="001E20E0"/>
    <w:rsid w:val="001E3234"/>
    <w:rsid w:val="001E3573"/>
    <w:rsid w:val="001E3AE1"/>
    <w:rsid w:val="001E447E"/>
    <w:rsid w:val="001E4636"/>
    <w:rsid w:val="001E5BCB"/>
    <w:rsid w:val="001E754F"/>
    <w:rsid w:val="001E75AF"/>
    <w:rsid w:val="001E7E3F"/>
    <w:rsid w:val="001E7FDC"/>
    <w:rsid w:val="001F0064"/>
    <w:rsid w:val="001F0498"/>
    <w:rsid w:val="001F04C4"/>
    <w:rsid w:val="001F068C"/>
    <w:rsid w:val="001F1843"/>
    <w:rsid w:val="001F2046"/>
    <w:rsid w:val="001F2CA5"/>
    <w:rsid w:val="001F4251"/>
    <w:rsid w:val="001F4619"/>
    <w:rsid w:val="001F48E0"/>
    <w:rsid w:val="001F5341"/>
    <w:rsid w:val="001F5784"/>
    <w:rsid w:val="001F6B5A"/>
    <w:rsid w:val="001F7037"/>
    <w:rsid w:val="001F718A"/>
    <w:rsid w:val="001F778F"/>
    <w:rsid w:val="001F79CE"/>
    <w:rsid w:val="001F79D9"/>
    <w:rsid w:val="002006C1"/>
    <w:rsid w:val="00200CAA"/>
    <w:rsid w:val="00200D26"/>
    <w:rsid w:val="00201550"/>
    <w:rsid w:val="00201688"/>
    <w:rsid w:val="00202A31"/>
    <w:rsid w:val="00204111"/>
    <w:rsid w:val="002050CE"/>
    <w:rsid w:val="00205C2F"/>
    <w:rsid w:val="00206094"/>
    <w:rsid w:val="00206A54"/>
    <w:rsid w:val="002074C1"/>
    <w:rsid w:val="002104F7"/>
    <w:rsid w:val="00213817"/>
    <w:rsid w:val="00214434"/>
    <w:rsid w:val="00215251"/>
    <w:rsid w:val="00215878"/>
    <w:rsid w:val="0021626A"/>
    <w:rsid w:val="00216420"/>
    <w:rsid w:val="00216E38"/>
    <w:rsid w:val="002172BC"/>
    <w:rsid w:val="00217396"/>
    <w:rsid w:val="00217946"/>
    <w:rsid w:val="00220471"/>
    <w:rsid w:val="00220863"/>
    <w:rsid w:val="0022140B"/>
    <w:rsid w:val="00221F0B"/>
    <w:rsid w:val="002232E2"/>
    <w:rsid w:val="00223D5C"/>
    <w:rsid w:val="002246BE"/>
    <w:rsid w:val="002253BD"/>
    <w:rsid w:val="0022565D"/>
    <w:rsid w:val="00225A7B"/>
    <w:rsid w:val="0022643E"/>
    <w:rsid w:val="00226AB1"/>
    <w:rsid w:val="00226C57"/>
    <w:rsid w:val="002272EA"/>
    <w:rsid w:val="00230C13"/>
    <w:rsid w:val="002319D7"/>
    <w:rsid w:val="00231EBD"/>
    <w:rsid w:val="00232437"/>
    <w:rsid w:val="0023254F"/>
    <w:rsid w:val="00232743"/>
    <w:rsid w:val="00233060"/>
    <w:rsid w:val="0023372F"/>
    <w:rsid w:val="00233907"/>
    <w:rsid w:val="002357B2"/>
    <w:rsid w:val="00237164"/>
    <w:rsid w:val="00237CE0"/>
    <w:rsid w:val="002402C1"/>
    <w:rsid w:val="00240417"/>
    <w:rsid w:val="0024076D"/>
    <w:rsid w:val="0024117E"/>
    <w:rsid w:val="0024194D"/>
    <w:rsid w:val="00241D94"/>
    <w:rsid w:val="002420B4"/>
    <w:rsid w:val="00242590"/>
    <w:rsid w:val="00242AF8"/>
    <w:rsid w:val="0024373E"/>
    <w:rsid w:val="002438DF"/>
    <w:rsid w:val="00244855"/>
    <w:rsid w:val="00244AB1"/>
    <w:rsid w:val="002451E2"/>
    <w:rsid w:val="00245BF6"/>
    <w:rsid w:val="002460C0"/>
    <w:rsid w:val="00246700"/>
    <w:rsid w:val="00247AB3"/>
    <w:rsid w:val="00252056"/>
    <w:rsid w:val="00252A92"/>
    <w:rsid w:val="002532B3"/>
    <w:rsid w:val="002533A6"/>
    <w:rsid w:val="002553D8"/>
    <w:rsid w:val="002556EA"/>
    <w:rsid w:val="0025570D"/>
    <w:rsid w:val="002558DE"/>
    <w:rsid w:val="002561CD"/>
    <w:rsid w:val="00256446"/>
    <w:rsid w:val="002567DC"/>
    <w:rsid w:val="00256923"/>
    <w:rsid w:val="00257086"/>
    <w:rsid w:val="002577D9"/>
    <w:rsid w:val="00257CAA"/>
    <w:rsid w:val="00257DDD"/>
    <w:rsid w:val="0026141D"/>
    <w:rsid w:val="0026217B"/>
    <w:rsid w:val="002623A9"/>
    <w:rsid w:val="0026240A"/>
    <w:rsid w:val="00262CAF"/>
    <w:rsid w:val="00262E0F"/>
    <w:rsid w:val="00263010"/>
    <w:rsid w:val="00263D0A"/>
    <w:rsid w:val="002645F4"/>
    <w:rsid w:val="00264E96"/>
    <w:rsid w:val="00265367"/>
    <w:rsid w:val="0026570C"/>
    <w:rsid w:val="00265730"/>
    <w:rsid w:val="00265FAD"/>
    <w:rsid w:val="002662B5"/>
    <w:rsid w:val="0026687F"/>
    <w:rsid w:val="00266A98"/>
    <w:rsid w:val="00272194"/>
    <w:rsid w:val="00272530"/>
    <w:rsid w:val="00273439"/>
    <w:rsid w:val="00273A2D"/>
    <w:rsid w:val="00273A7F"/>
    <w:rsid w:val="0027406B"/>
    <w:rsid w:val="0027527B"/>
    <w:rsid w:val="002759B3"/>
    <w:rsid w:val="002760DC"/>
    <w:rsid w:val="00276380"/>
    <w:rsid w:val="002768B5"/>
    <w:rsid w:val="0027706B"/>
    <w:rsid w:val="0027764A"/>
    <w:rsid w:val="002777F2"/>
    <w:rsid w:val="0027790F"/>
    <w:rsid w:val="0028063D"/>
    <w:rsid w:val="002809F5"/>
    <w:rsid w:val="00283543"/>
    <w:rsid w:val="00284350"/>
    <w:rsid w:val="002856D5"/>
    <w:rsid w:val="00285BB6"/>
    <w:rsid w:val="002863C6"/>
    <w:rsid w:val="00286DED"/>
    <w:rsid w:val="00287657"/>
    <w:rsid w:val="002878AB"/>
    <w:rsid w:val="00290332"/>
    <w:rsid w:val="00290484"/>
    <w:rsid w:val="00290B30"/>
    <w:rsid w:val="00290FBC"/>
    <w:rsid w:val="00291B37"/>
    <w:rsid w:val="002925AA"/>
    <w:rsid w:val="00293471"/>
    <w:rsid w:val="00294186"/>
    <w:rsid w:val="00294F4C"/>
    <w:rsid w:val="002952D9"/>
    <w:rsid w:val="00295828"/>
    <w:rsid w:val="00295921"/>
    <w:rsid w:val="00295EAC"/>
    <w:rsid w:val="00296316"/>
    <w:rsid w:val="00296D6E"/>
    <w:rsid w:val="00297438"/>
    <w:rsid w:val="002974BA"/>
    <w:rsid w:val="002A0433"/>
    <w:rsid w:val="002A048E"/>
    <w:rsid w:val="002A0FEE"/>
    <w:rsid w:val="002A1172"/>
    <w:rsid w:val="002A2483"/>
    <w:rsid w:val="002A2CAC"/>
    <w:rsid w:val="002A30FE"/>
    <w:rsid w:val="002A3946"/>
    <w:rsid w:val="002A3BE6"/>
    <w:rsid w:val="002A40C9"/>
    <w:rsid w:val="002A464D"/>
    <w:rsid w:val="002A4A81"/>
    <w:rsid w:val="002A4FE1"/>
    <w:rsid w:val="002A5B57"/>
    <w:rsid w:val="002A7DA0"/>
    <w:rsid w:val="002B141F"/>
    <w:rsid w:val="002B1B68"/>
    <w:rsid w:val="002B2A3A"/>
    <w:rsid w:val="002B3146"/>
    <w:rsid w:val="002B329B"/>
    <w:rsid w:val="002B32AB"/>
    <w:rsid w:val="002B3704"/>
    <w:rsid w:val="002B3854"/>
    <w:rsid w:val="002B38BD"/>
    <w:rsid w:val="002B4CC8"/>
    <w:rsid w:val="002B5065"/>
    <w:rsid w:val="002B5497"/>
    <w:rsid w:val="002B5960"/>
    <w:rsid w:val="002B5B88"/>
    <w:rsid w:val="002B6509"/>
    <w:rsid w:val="002B6631"/>
    <w:rsid w:val="002B6F6E"/>
    <w:rsid w:val="002B6FF7"/>
    <w:rsid w:val="002B7534"/>
    <w:rsid w:val="002B7783"/>
    <w:rsid w:val="002C0F5C"/>
    <w:rsid w:val="002C130E"/>
    <w:rsid w:val="002C242B"/>
    <w:rsid w:val="002C2B02"/>
    <w:rsid w:val="002C30D1"/>
    <w:rsid w:val="002C30EC"/>
    <w:rsid w:val="002C31F6"/>
    <w:rsid w:val="002C3984"/>
    <w:rsid w:val="002C40C7"/>
    <w:rsid w:val="002C4969"/>
    <w:rsid w:val="002C5359"/>
    <w:rsid w:val="002C644F"/>
    <w:rsid w:val="002C6BDC"/>
    <w:rsid w:val="002C7133"/>
    <w:rsid w:val="002C7570"/>
    <w:rsid w:val="002C7A16"/>
    <w:rsid w:val="002D07CB"/>
    <w:rsid w:val="002D0F39"/>
    <w:rsid w:val="002D114F"/>
    <w:rsid w:val="002D14FD"/>
    <w:rsid w:val="002D1775"/>
    <w:rsid w:val="002D224B"/>
    <w:rsid w:val="002D2927"/>
    <w:rsid w:val="002D381A"/>
    <w:rsid w:val="002D4704"/>
    <w:rsid w:val="002D5129"/>
    <w:rsid w:val="002D568A"/>
    <w:rsid w:val="002D5A7B"/>
    <w:rsid w:val="002D5BD2"/>
    <w:rsid w:val="002D5FFF"/>
    <w:rsid w:val="002D691B"/>
    <w:rsid w:val="002D6E1B"/>
    <w:rsid w:val="002E01DC"/>
    <w:rsid w:val="002E0282"/>
    <w:rsid w:val="002E0529"/>
    <w:rsid w:val="002E09E7"/>
    <w:rsid w:val="002E16A6"/>
    <w:rsid w:val="002E2D17"/>
    <w:rsid w:val="002E339B"/>
    <w:rsid w:val="002E356F"/>
    <w:rsid w:val="002E461E"/>
    <w:rsid w:val="002E4D42"/>
    <w:rsid w:val="002E6A63"/>
    <w:rsid w:val="002E7184"/>
    <w:rsid w:val="002E7FA9"/>
    <w:rsid w:val="002F0058"/>
    <w:rsid w:val="002F08E3"/>
    <w:rsid w:val="002F0B22"/>
    <w:rsid w:val="002F0C93"/>
    <w:rsid w:val="002F2049"/>
    <w:rsid w:val="002F22F1"/>
    <w:rsid w:val="002F3116"/>
    <w:rsid w:val="002F3DBF"/>
    <w:rsid w:val="002F4421"/>
    <w:rsid w:val="002F4C4C"/>
    <w:rsid w:val="002F4DAE"/>
    <w:rsid w:val="002F7012"/>
    <w:rsid w:val="002F7A58"/>
    <w:rsid w:val="002F7EB4"/>
    <w:rsid w:val="003000B0"/>
    <w:rsid w:val="00300A08"/>
    <w:rsid w:val="0030110C"/>
    <w:rsid w:val="00301197"/>
    <w:rsid w:val="0030154C"/>
    <w:rsid w:val="00302B2E"/>
    <w:rsid w:val="00302F1D"/>
    <w:rsid w:val="00303172"/>
    <w:rsid w:val="00303BCF"/>
    <w:rsid w:val="00303E67"/>
    <w:rsid w:val="003045FF"/>
    <w:rsid w:val="003049CA"/>
    <w:rsid w:val="0030748B"/>
    <w:rsid w:val="00307869"/>
    <w:rsid w:val="0030795E"/>
    <w:rsid w:val="00310407"/>
    <w:rsid w:val="00310FBF"/>
    <w:rsid w:val="0031145C"/>
    <w:rsid w:val="003115CC"/>
    <w:rsid w:val="00311A32"/>
    <w:rsid w:val="003137F6"/>
    <w:rsid w:val="00314320"/>
    <w:rsid w:val="00314789"/>
    <w:rsid w:val="00314A2A"/>
    <w:rsid w:val="003159E9"/>
    <w:rsid w:val="00315B67"/>
    <w:rsid w:val="00315CDB"/>
    <w:rsid w:val="00315E35"/>
    <w:rsid w:val="00316673"/>
    <w:rsid w:val="00317B6E"/>
    <w:rsid w:val="0032046D"/>
    <w:rsid w:val="00320C4A"/>
    <w:rsid w:val="00320F23"/>
    <w:rsid w:val="00320F38"/>
    <w:rsid w:val="00320F9E"/>
    <w:rsid w:val="00321319"/>
    <w:rsid w:val="00323AE2"/>
    <w:rsid w:val="003241D4"/>
    <w:rsid w:val="0032483A"/>
    <w:rsid w:val="0032484E"/>
    <w:rsid w:val="00326C17"/>
    <w:rsid w:val="00326C28"/>
    <w:rsid w:val="003275BD"/>
    <w:rsid w:val="0032786A"/>
    <w:rsid w:val="003301CD"/>
    <w:rsid w:val="003320AB"/>
    <w:rsid w:val="003324FC"/>
    <w:rsid w:val="00333174"/>
    <w:rsid w:val="00333202"/>
    <w:rsid w:val="003338E5"/>
    <w:rsid w:val="00336628"/>
    <w:rsid w:val="0033685F"/>
    <w:rsid w:val="00336BC9"/>
    <w:rsid w:val="00336DAB"/>
    <w:rsid w:val="003379B6"/>
    <w:rsid w:val="00340F43"/>
    <w:rsid w:val="00341078"/>
    <w:rsid w:val="003415A1"/>
    <w:rsid w:val="0034163F"/>
    <w:rsid w:val="00341BAE"/>
    <w:rsid w:val="0034423E"/>
    <w:rsid w:val="00344595"/>
    <w:rsid w:val="00344FAC"/>
    <w:rsid w:val="0034641D"/>
    <w:rsid w:val="00346990"/>
    <w:rsid w:val="00346A8B"/>
    <w:rsid w:val="00346C0E"/>
    <w:rsid w:val="00346E9B"/>
    <w:rsid w:val="00347055"/>
    <w:rsid w:val="00347152"/>
    <w:rsid w:val="003477FA"/>
    <w:rsid w:val="00347A9A"/>
    <w:rsid w:val="00347D36"/>
    <w:rsid w:val="00350B78"/>
    <w:rsid w:val="00351B92"/>
    <w:rsid w:val="00351D13"/>
    <w:rsid w:val="00351ED4"/>
    <w:rsid w:val="00352C4D"/>
    <w:rsid w:val="003535D2"/>
    <w:rsid w:val="00353BF3"/>
    <w:rsid w:val="003545CD"/>
    <w:rsid w:val="00354C68"/>
    <w:rsid w:val="00354EDA"/>
    <w:rsid w:val="003552CE"/>
    <w:rsid w:val="003558AB"/>
    <w:rsid w:val="00355F0B"/>
    <w:rsid w:val="00355FCC"/>
    <w:rsid w:val="00356E91"/>
    <w:rsid w:val="00357B55"/>
    <w:rsid w:val="00357C82"/>
    <w:rsid w:val="00360789"/>
    <w:rsid w:val="0036170A"/>
    <w:rsid w:val="0036275B"/>
    <w:rsid w:val="003627B4"/>
    <w:rsid w:val="0036301D"/>
    <w:rsid w:val="00363F76"/>
    <w:rsid w:val="00365B6A"/>
    <w:rsid w:val="00370835"/>
    <w:rsid w:val="003715B9"/>
    <w:rsid w:val="00371881"/>
    <w:rsid w:val="00371994"/>
    <w:rsid w:val="00371B3D"/>
    <w:rsid w:val="00372241"/>
    <w:rsid w:val="003730D4"/>
    <w:rsid w:val="00373718"/>
    <w:rsid w:val="00373868"/>
    <w:rsid w:val="003748F6"/>
    <w:rsid w:val="003751CD"/>
    <w:rsid w:val="003753DD"/>
    <w:rsid w:val="003757B1"/>
    <w:rsid w:val="00375850"/>
    <w:rsid w:val="00375C35"/>
    <w:rsid w:val="00375D5B"/>
    <w:rsid w:val="00375DEA"/>
    <w:rsid w:val="00376A5E"/>
    <w:rsid w:val="00376F25"/>
    <w:rsid w:val="003774CF"/>
    <w:rsid w:val="00377762"/>
    <w:rsid w:val="00377A2A"/>
    <w:rsid w:val="00377CE5"/>
    <w:rsid w:val="0038092C"/>
    <w:rsid w:val="00380A09"/>
    <w:rsid w:val="003818EA"/>
    <w:rsid w:val="003827DB"/>
    <w:rsid w:val="0038403C"/>
    <w:rsid w:val="0038412B"/>
    <w:rsid w:val="003852AB"/>
    <w:rsid w:val="00385E12"/>
    <w:rsid w:val="00385F71"/>
    <w:rsid w:val="00386151"/>
    <w:rsid w:val="00386B2F"/>
    <w:rsid w:val="00387115"/>
    <w:rsid w:val="00387D9C"/>
    <w:rsid w:val="00387DB5"/>
    <w:rsid w:val="00390105"/>
    <w:rsid w:val="00390372"/>
    <w:rsid w:val="003903E6"/>
    <w:rsid w:val="0039071A"/>
    <w:rsid w:val="00390B8C"/>
    <w:rsid w:val="0039223F"/>
    <w:rsid w:val="00392AEF"/>
    <w:rsid w:val="00393CE2"/>
    <w:rsid w:val="00393D87"/>
    <w:rsid w:val="003957AC"/>
    <w:rsid w:val="003968C3"/>
    <w:rsid w:val="003A0230"/>
    <w:rsid w:val="003A0877"/>
    <w:rsid w:val="003A108C"/>
    <w:rsid w:val="003A1E96"/>
    <w:rsid w:val="003A29A7"/>
    <w:rsid w:val="003A2D16"/>
    <w:rsid w:val="003A37D8"/>
    <w:rsid w:val="003A389F"/>
    <w:rsid w:val="003A3B42"/>
    <w:rsid w:val="003A3C2A"/>
    <w:rsid w:val="003A4256"/>
    <w:rsid w:val="003A55D6"/>
    <w:rsid w:val="003A5B6A"/>
    <w:rsid w:val="003A61B4"/>
    <w:rsid w:val="003A6DC5"/>
    <w:rsid w:val="003A6F8C"/>
    <w:rsid w:val="003A71E7"/>
    <w:rsid w:val="003B0459"/>
    <w:rsid w:val="003B07AF"/>
    <w:rsid w:val="003B0980"/>
    <w:rsid w:val="003B1119"/>
    <w:rsid w:val="003B1385"/>
    <w:rsid w:val="003B1D43"/>
    <w:rsid w:val="003B1E18"/>
    <w:rsid w:val="003B24D9"/>
    <w:rsid w:val="003B293D"/>
    <w:rsid w:val="003B2BAF"/>
    <w:rsid w:val="003B3B88"/>
    <w:rsid w:val="003B5CE3"/>
    <w:rsid w:val="003B6CA9"/>
    <w:rsid w:val="003B6E42"/>
    <w:rsid w:val="003B72BA"/>
    <w:rsid w:val="003C2014"/>
    <w:rsid w:val="003C23CC"/>
    <w:rsid w:val="003C2F82"/>
    <w:rsid w:val="003C3213"/>
    <w:rsid w:val="003C3508"/>
    <w:rsid w:val="003C3985"/>
    <w:rsid w:val="003C3A70"/>
    <w:rsid w:val="003C4776"/>
    <w:rsid w:val="003C4810"/>
    <w:rsid w:val="003C5181"/>
    <w:rsid w:val="003C5214"/>
    <w:rsid w:val="003C53BE"/>
    <w:rsid w:val="003C548A"/>
    <w:rsid w:val="003C6218"/>
    <w:rsid w:val="003C6C48"/>
    <w:rsid w:val="003C6EF8"/>
    <w:rsid w:val="003C7B39"/>
    <w:rsid w:val="003C7C55"/>
    <w:rsid w:val="003C7E66"/>
    <w:rsid w:val="003D0020"/>
    <w:rsid w:val="003D0171"/>
    <w:rsid w:val="003D092C"/>
    <w:rsid w:val="003D096F"/>
    <w:rsid w:val="003D128C"/>
    <w:rsid w:val="003D13B9"/>
    <w:rsid w:val="003D19F0"/>
    <w:rsid w:val="003D1BA4"/>
    <w:rsid w:val="003D2316"/>
    <w:rsid w:val="003D30B0"/>
    <w:rsid w:val="003D377D"/>
    <w:rsid w:val="003D3A1C"/>
    <w:rsid w:val="003D3CF5"/>
    <w:rsid w:val="003D4014"/>
    <w:rsid w:val="003D4AA7"/>
    <w:rsid w:val="003D5139"/>
    <w:rsid w:val="003D7234"/>
    <w:rsid w:val="003D7511"/>
    <w:rsid w:val="003D79D4"/>
    <w:rsid w:val="003D7A4F"/>
    <w:rsid w:val="003E08C1"/>
    <w:rsid w:val="003E08E8"/>
    <w:rsid w:val="003E0CDB"/>
    <w:rsid w:val="003E157D"/>
    <w:rsid w:val="003E17B1"/>
    <w:rsid w:val="003E2943"/>
    <w:rsid w:val="003E2D3A"/>
    <w:rsid w:val="003E2D9D"/>
    <w:rsid w:val="003E3CD2"/>
    <w:rsid w:val="003E4125"/>
    <w:rsid w:val="003E45BC"/>
    <w:rsid w:val="003E595E"/>
    <w:rsid w:val="003E6486"/>
    <w:rsid w:val="003E7642"/>
    <w:rsid w:val="003E787A"/>
    <w:rsid w:val="003E7910"/>
    <w:rsid w:val="003F0172"/>
    <w:rsid w:val="003F06B0"/>
    <w:rsid w:val="003F0A0B"/>
    <w:rsid w:val="003F0EB3"/>
    <w:rsid w:val="003F120F"/>
    <w:rsid w:val="003F1F0A"/>
    <w:rsid w:val="003F3386"/>
    <w:rsid w:val="003F4946"/>
    <w:rsid w:val="003F5642"/>
    <w:rsid w:val="003F5E36"/>
    <w:rsid w:val="003F67CB"/>
    <w:rsid w:val="003F6837"/>
    <w:rsid w:val="003F71E4"/>
    <w:rsid w:val="003F7371"/>
    <w:rsid w:val="003F789E"/>
    <w:rsid w:val="003F7AF3"/>
    <w:rsid w:val="00400666"/>
    <w:rsid w:val="00400EB2"/>
    <w:rsid w:val="00401525"/>
    <w:rsid w:val="004015FF"/>
    <w:rsid w:val="00401CD4"/>
    <w:rsid w:val="00401FD1"/>
    <w:rsid w:val="00402B85"/>
    <w:rsid w:val="00402E9B"/>
    <w:rsid w:val="00403E88"/>
    <w:rsid w:val="00405C71"/>
    <w:rsid w:val="00406307"/>
    <w:rsid w:val="00406C4B"/>
    <w:rsid w:val="00407AFF"/>
    <w:rsid w:val="00411A4F"/>
    <w:rsid w:val="004128E0"/>
    <w:rsid w:val="00413C9B"/>
    <w:rsid w:val="004151DA"/>
    <w:rsid w:val="00416D08"/>
    <w:rsid w:val="00417C06"/>
    <w:rsid w:val="00420659"/>
    <w:rsid w:val="00421156"/>
    <w:rsid w:val="004221EE"/>
    <w:rsid w:val="004223F8"/>
    <w:rsid w:val="004246E5"/>
    <w:rsid w:val="004249CC"/>
    <w:rsid w:val="00424D38"/>
    <w:rsid w:val="004251F6"/>
    <w:rsid w:val="00426181"/>
    <w:rsid w:val="00426680"/>
    <w:rsid w:val="00426B4A"/>
    <w:rsid w:val="00427099"/>
    <w:rsid w:val="00427BE8"/>
    <w:rsid w:val="004318F3"/>
    <w:rsid w:val="00431B46"/>
    <w:rsid w:val="00431FB3"/>
    <w:rsid w:val="004320A8"/>
    <w:rsid w:val="0043245C"/>
    <w:rsid w:val="00432948"/>
    <w:rsid w:val="00433250"/>
    <w:rsid w:val="004346CB"/>
    <w:rsid w:val="0043580A"/>
    <w:rsid w:val="00435D71"/>
    <w:rsid w:val="004365D4"/>
    <w:rsid w:val="004367AF"/>
    <w:rsid w:val="00437604"/>
    <w:rsid w:val="00437F84"/>
    <w:rsid w:val="00440F42"/>
    <w:rsid w:val="004410F7"/>
    <w:rsid w:val="0044150C"/>
    <w:rsid w:val="004418B3"/>
    <w:rsid w:val="004419D0"/>
    <w:rsid w:val="00441CD2"/>
    <w:rsid w:val="004423A9"/>
    <w:rsid w:val="00442643"/>
    <w:rsid w:val="00443038"/>
    <w:rsid w:val="00443AC4"/>
    <w:rsid w:val="00444713"/>
    <w:rsid w:val="0044496C"/>
    <w:rsid w:val="004458A3"/>
    <w:rsid w:val="00445AA5"/>
    <w:rsid w:val="004461C2"/>
    <w:rsid w:val="00446CAA"/>
    <w:rsid w:val="00447080"/>
    <w:rsid w:val="00450295"/>
    <w:rsid w:val="00450C6F"/>
    <w:rsid w:val="0045188A"/>
    <w:rsid w:val="004519FE"/>
    <w:rsid w:val="00451A16"/>
    <w:rsid w:val="00451CC4"/>
    <w:rsid w:val="00453164"/>
    <w:rsid w:val="00453924"/>
    <w:rsid w:val="00454644"/>
    <w:rsid w:val="00454851"/>
    <w:rsid w:val="00454B00"/>
    <w:rsid w:val="00454E4B"/>
    <w:rsid w:val="004551A0"/>
    <w:rsid w:val="00455C28"/>
    <w:rsid w:val="00456135"/>
    <w:rsid w:val="0045645F"/>
    <w:rsid w:val="00456F4C"/>
    <w:rsid w:val="00456FD6"/>
    <w:rsid w:val="00457245"/>
    <w:rsid w:val="004575A1"/>
    <w:rsid w:val="00457A73"/>
    <w:rsid w:val="00460EC2"/>
    <w:rsid w:val="00461A77"/>
    <w:rsid w:val="00463F33"/>
    <w:rsid w:val="004664A1"/>
    <w:rsid w:val="00467896"/>
    <w:rsid w:val="00467937"/>
    <w:rsid w:val="0047049A"/>
    <w:rsid w:val="00470C83"/>
    <w:rsid w:val="004710B8"/>
    <w:rsid w:val="0047121C"/>
    <w:rsid w:val="004713CF"/>
    <w:rsid w:val="00471449"/>
    <w:rsid w:val="00471787"/>
    <w:rsid w:val="004725A9"/>
    <w:rsid w:val="00472E42"/>
    <w:rsid w:val="00472F4B"/>
    <w:rsid w:val="004745CF"/>
    <w:rsid w:val="00474C67"/>
    <w:rsid w:val="00475E46"/>
    <w:rsid w:val="00476B24"/>
    <w:rsid w:val="0047780A"/>
    <w:rsid w:val="00477B1E"/>
    <w:rsid w:val="00480488"/>
    <w:rsid w:val="004820CF"/>
    <w:rsid w:val="004821C1"/>
    <w:rsid w:val="004828D4"/>
    <w:rsid w:val="00483955"/>
    <w:rsid w:val="00484B58"/>
    <w:rsid w:val="004857DD"/>
    <w:rsid w:val="00485B61"/>
    <w:rsid w:val="00485B8D"/>
    <w:rsid w:val="004873C1"/>
    <w:rsid w:val="0048758F"/>
    <w:rsid w:val="00487914"/>
    <w:rsid w:val="00487B0E"/>
    <w:rsid w:val="00487C72"/>
    <w:rsid w:val="00490CD3"/>
    <w:rsid w:val="004910C9"/>
    <w:rsid w:val="0049190F"/>
    <w:rsid w:val="00491936"/>
    <w:rsid w:val="00491AD8"/>
    <w:rsid w:val="00492999"/>
    <w:rsid w:val="0049319A"/>
    <w:rsid w:val="004932FB"/>
    <w:rsid w:val="00493EE9"/>
    <w:rsid w:val="00494386"/>
    <w:rsid w:val="004945A8"/>
    <w:rsid w:val="004949EF"/>
    <w:rsid w:val="00495A1D"/>
    <w:rsid w:val="00495BD0"/>
    <w:rsid w:val="0049609D"/>
    <w:rsid w:val="004964D2"/>
    <w:rsid w:val="004968F5"/>
    <w:rsid w:val="00496B8A"/>
    <w:rsid w:val="004A0028"/>
    <w:rsid w:val="004A0ADE"/>
    <w:rsid w:val="004A0EF6"/>
    <w:rsid w:val="004A1306"/>
    <w:rsid w:val="004A1CBB"/>
    <w:rsid w:val="004A1DF6"/>
    <w:rsid w:val="004A3A1D"/>
    <w:rsid w:val="004A406B"/>
    <w:rsid w:val="004A4592"/>
    <w:rsid w:val="004A49DB"/>
    <w:rsid w:val="004A4CBB"/>
    <w:rsid w:val="004A4F40"/>
    <w:rsid w:val="004A63C7"/>
    <w:rsid w:val="004A68AB"/>
    <w:rsid w:val="004A6E16"/>
    <w:rsid w:val="004A7697"/>
    <w:rsid w:val="004B00CD"/>
    <w:rsid w:val="004B2E14"/>
    <w:rsid w:val="004B36D3"/>
    <w:rsid w:val="004B4434"/>
    <w:rsid w:val="004B4AE3"/>
    <w:rsid w:val="004B5CBA"/>
    <w:rsid w:val="004B6067"/>
    <w:rsid w:val="004B72BC"/>
    <w:rsid w:val="004B74D1"/>
    <w:rsid w:val="004B776B"/>
    <w:rsid w:val="004C0876"/>
    <w:rsid w:val="004C11EE"/>
    <w:rsid w:val="004C1304"/>
    <w:rsid w:val="004C1603"/>
    <w:rsid w:val="004C25C5"/>
    <w:rsid w:val="004C3070"/>
    <w:rsid w:val="004C3C06"/>
    <w:rsid w:val="004C3CF0"/>
    <w:rsid w:val="004C3E63"/>
    <w:rsid w:val="004C418E"/>
    <w:rsid w:val="004C4DF9"/>
    <w:rsid w:val="004C4F6C"/>
    <w:rsid w:val="004C537B"/>
    <w:rsid w:val="004C5DA6"/>
    <w:rsid w:val="004C6117"/>
    <w:rsid w:val="004C6895"/>
    <w:rsid w:val="004C6D0F"/>
    <w:rsid w:val="004C747C"/>
    <w:rsid w:val="004D0564"/>
    <w:rsid w:val="004D0620"/>
    <w:rsid w:val="004D16F9"/>
    <w:rsid w:val="004D1DDC"/>
    <w:rsid w:val="004D36DC"/>
    <w:rsid w:val="004D43B6"/>
    <w:rsid w:val="004D4796"/>
    <w:rsid w:val="004D4D48"/>
    <w:rsid w:val="004D4E73"/>
    <w:rsid w:val="004D4F6B"/>
    <w:rsid w:val="004D796A"/>
    <w:rsid w:val="004D7FE2"/>
    <w:rsid w:val="004E0C79"/>
    <w:rsid w:val="004E0C8D"/>
    <w:rsid w:val="004E14FC"/>
    <w:rsid w:val="004E151E"/>
    <w:rsid w:val="004E172D"/>
    <w:rsid w:val="004E1B06"/>
    <w:rsid w:val="004E2E58"/>
    <w:rsid w:val="004E35BA"/>
    <w:rsid w:val="004E3A01"/>
    <w:rsid w:val="004E40E8"/>
    <w:rsid w:val="004E4425"/>
    <w:rsid w:val="004E5247"/>
    <w:rsid w:val="004E55D3"/>
    <w:rsid w:val="004E5806"/>
    <w:rsid w:val="004E6ADD"/>
    <w:rsid w:val="004E6FB5"/>
    <w:rsid w:val="004F012F"/>
    <w:rsid w:val="004F033C"/>
    <w:rsid w:val="004F0443"/>
    <w:rsid w:val="004F04CE"/>
    <w:rsid w:val="004F04D1"/>
    <w:rsid w:val="004F05BA"/>
    <w:rsid w:val="004F0874"/>
    <w:rsid w:val="004F10D9"/>
    <w:rsid w:val="004F11AF"/>
    <w:rsid w:val="004F13EE"/>
    <w:rsid w:val="004F1836"/>
    <w:rsid w:val="004F235F"/>
    <w:rsid w:val="004F23CB"/>
    <w:rsid w:val="004F2576"/>
    <w:rsid w:val="004F3719"/>
    <w:rsid w:val="004F3A81"/>
    <w:rsid w:val="004F44AA"/>
    <w:rsid w:val="004F4AF5"/>
    <w:rsid w:val="004F7492"/>
    <w:rsid w:val="004F7692"/>
    <w:rsid w:val="004F78FD"/>
    <w:rsid w:val="00500DA7"/>
    <w:rsid w:val="00500E56"/>
    <w:rsid w:val="00500EB9"/>
    <w:rsid w:val="005029FB"/>
    <w:rsid w:val="00502F1E"/>
    <w:rsid w:val="005033F8"/>
    <w:rsid w:val="0050614A"/>
    <w:rsid w:val="00506910"/>
    <w:rsid w:val="00506FCB"/>
    <w:rsid w:val="0051009A"/>
    <w:rsid w:val="00510CDA"/>
    <w:rsid w:val="00510FCC"/>
    <w:rsid w:val="00511399"/>
    <w:rsid w:val="00511E42"/>
    <w:rsid w:val="00515207"/>
    <w:rsid w:val="0051542C"/>
    <w:rsid w:val="00515E57"/>
    <w:rsid w:val="00515F43"/>
    <w:rsid w:val="00516233"/>
    <w:rsid w:val="00516548"/>
    <w:rsid w:val="005168DA"/>
    <w:rsid w:val="00517C0D"/>
    <w:rsid w:val="005227AF"/>
    <w:rsid w:val="00522884"/>
    <w:rsid w:val="00522995"/>
    <w:rsid w:val="00522BAE"/>
    <w:rsid w:val="0052349C"/>
    <w:rsid w:val="0052449F"/>
    <w:rsid w:val="00525CA8"/>
    <w:rsid w:val="005268FE"/>
    <w:rsid w:val="00530D18"/>
    <w:rsid w:val="00530F96"/>
    <w:rsid w:val="00531585"/>
    <w:rsid w:val="005325C5"/>
    <w:rsid w:val="0053308E"/>
    <w:rsid w:val="00533C43"/>
    <w:rsid w:val="005343A9"/>
    <w:rsid w:val="00534C56"/>
    <w:rsid w:val="00534C87"/>
    <w:rsid w:val="00534E84"/>
    <w:rsid w:val="005355F8"/>
    <w:rsid w:val="00535F9A"/>
    <w:rsid w:val="00536686"/>
    <w:rsid w:val="0053764B"/>
    <w:rsid w:val="00537C91"/>
    <w:rsid w:val="0054044D"/>
    <w:rsid w:val="00540487"/>
    <w:rsid w:val="00540FB4"/>
    <w:rsid w:val="00541F2A"/>
    <w:rsid w:val="00542DA3"/>
    <w:rsid w:val="00542F23"/>
    <w:rsid w:val="00543B8C"/>
    <w:rsid w:val="00543E06"/>
    <w:rsid w:val="005449FC"/>
    <w:rsid w:val="00544A8D"/>
    <w:rsid w:val="00544CD7"/>
    <w:rsid w:val="00544D05"/>
    <w:rsid w:val="00544EFA"/>
    <w:rsid w:val="005450D7"/>
    <w:rsid w:val="00547C95"/>
    <w:rsid w:val="00550972"/>
    <w:rsid w:val="00550C8C"/>
    <w:rsid w:val="00550D07"/>
    <w:rsid w:val="00552637"/>
    <w:rsid w:val="00552879"/>
    <w:rsid w:val="00553231"/>
    <w:rsid w:val="00553F5A"/>
    <w:rsid w:val="005545F5"/>
    <w:rsid w:val="00554D8F"/>
    <w:rsid w:val="00554F82"/>
    <w:rsid w:val="00555B28"/>
    <w:rsid w:val="00556407"/>
    <w:rsid w:val="00556555"/>
    <w:rsid w:val="00557684"/>
    <w:rsid w:val="0055776B"/>
    <w:rsid w:val="00557936"/>
    <w:rsid w:val="005600C3"/>
    <w:rsid w:val="00560281"/>
    <w:rsid w:val="00560DF7"/>
    <w:rsid w:val="00561C43"/>
    <w:rsid w:val="005621D7"/>
    <w:rsid w:val="0056220A"/>
    <w:rsid w:val="005622D0"/>
    <w:rsid w:val="00562A6C"/>
    <w:rsid w:val="00565501"/>
    <w:rsid w:val="005657E0"/>
    <w:rsid w:val="00565960"/>
    <w:rsid w:val="00566FB1"/>
    <w:rsid w:val="0057011C"/>
    <w:rsid w:val="00570378"/>
    <w:rsid w:val="0057094C"/>
    <w:rsid w:val="00570BD2"/>
    <w:rsid w:val="00570E79"/>
    <w:rsid w:val="00571B05"/>
    <w:rsid w:val="00571F7C"/>
    <w:rsid w:val="00572354"/>
    <w:rsid w:val="005729AF"/>
    <w:rsid w:val="005735DF"/>
    <w:rsid w:val="005739C2"/>
    <w:rsid w:val="00573F0F"/>
    <w:rsid w:val="00575274"/>
    <w:rsid w:val="00575973"/>
    <w:rsid w:val="00575E95"/>
    <w:rsid w:val="005769E9"/>
    <w:rsid w:val="00576ADE"/>
    <w:rsid w:val="00576E14"/>
    <w:rsid w:val="005778D1"/>
    <w:rsid w:val="00577EA2"/>
    <w:rsid w:val="00577FF7"/>
    <w:rsid w:val="00580010"/>
    <w:rsid w:val="005804D4"/>
    <w:rsid w:val="00580D84"/>
    <w:rsid w:val="00580F2E"/>
    <w:rsid w:val="0058120C"/>
    <w:rsid w:val="005826B0"/>
    <w:rsid w:val="0058356D"/>
    <w:rsid w:val="005842F8"/>
    <w:rsid w:val="005844D6"/>
    <w:rsid w:val="0058465D"/>
    <w:rsid w:val="00585561"/>
    <w:rsid w:val="005860DB"/>
    <w:rsid w:val="005860F7"/>
    <w:rsid w:val="005865F8"/>
    <w:rsid w:val="00586BCA"/>
    <w:rsid w:val="005875C4"/>
    <w:rsid w:val="00587E47"/>
    <w:rsid w:val="00590137"/>
    <w:rsid w:val="0059042B"/>
    <w:rsid w:val="00590451"/>
    <w:rsid w:val="00591CAD"/>
    <w:rsid w:val="00591E08"/>
    <w:rsid w:val="005920F1"/>
    <w:rsid w:val="005921DA"/>
    <w:rsid w:val="00592C2E"/>
    <w:rsid w:val="00592CF3"/>
    <w:rsid w:val="00595EBD"/>
    <w:rsid w:val="00596CE0"/>
    <w:rsid w:val="0059769E"/>
    <w:rsid w:val="005A05AD"/>
    <w:rsid w:val="005A0ADF"/>
    <w:rsid w:val="005A13ED"/>
    <w:rsid w:val="005A165D"/>
    <w:rsid w:val="005A1706"/>
    <w:rsid w:val="005A19F7"/>
    <w:rsid w:val="005A2B29"/>
    <w:rsid w:val="005A2FD5"/>
    <w:rsid w:val="005A32D8"/>
    <w:rsid w:val="005A471F"/>
    <w:rsid w:val="005A488E"/>
    <w:rsid w:val="005A4996"/>
    <w:rsid w:val="005A4AAA"/>
    <w:rsid w:val="005A61C6"/>
    <w:rsid w:val="005A61ED"/>
    <w:rsid w:val="005A6640"/>
    <w:rsid w:val="005A6811"/>
    <w:rsid w:val="005A7EE3"/>
    <w:rsid w:val="005A7EED"/>
    <w:rsid w:val="005B05A5"/>
    <w:rsid w:val="005B0A96"/>
    <w:rsid w:val="005B0A9E"/>
    <w:rsid w:val="005B0D7E"/>
    <w:rsid w:val="005B1104"/>
    <w:rsid w:val="005B15D6"/>
    <w:rsid w:val="005B190C"/>
    <w:rsid w:val="005B1FC4"/>
    <w:rsid w:val="005B2326"/>
    <w:rsid w:val="005B29CA"/>
    <w:rsid w:val="005B31E4"/>
    <w:rsid w:val="005B3B7A"/>
    <w:rsid w:val="005B4AB4"/>
    <w:rsid w:val="005B4BE1"/>
    <w:rsid w:val="005B7527"/>
    <w:rsid w:val="005B7682"/>
    <w:rsid w:val="005B7783"/>
    <w:rsid w:val="005B7DE9"/>
    <w:rsid w:val="005C0008"/>
    <w:rsid w:val="005C0ECC"/>
    <w:rsid w:val="005C1762"/>
    <w:rsid w:val="005C2225"/>
    <w:rsid w:val="005C302A"/>
    <w:rsid w:val="005C3FB2"/>
    <w:rsid w:val="005C47C6"/>
    <w:rsid w:val="005C4A42"/>
    <w:rsid w:val="005C4EAA"/>
    <w:rsid w:val="005C54E0"/>
    <w:rsid w:val="005C589E"/>
    <w:rsid w:val="005C617D"/>
    <w:rsid w:val="005C68E6"/>
    <w:rsid w:val="005C717F"/>
    <w:rsid w:val="005D0E30"/>
    <w:rsid w:val="005D12C6"/>
    <w:rsid w:val="005D158A"/>
    <w:rsid w:val="005D1EE5"/>
    <w:rsid w:val="005D1F8D"/>
    <w:rsid w:val="005D333E"/>
    <w:rsid w:val="005D3E46"/>
    <w:rsid w:val="005D409E"/>
    <w:rsid w:val="005D4AD3"/>
    <w:rsid w:val="005D4DCD"/>
    <w:rsid w:val="005D597D"/>
    <w:rsid w:val="005D6633"/>
    <w:rsid w:val="005D7A2E"/>
    <w:rsid w:val="005E067C"/>
    <w:rsid w:val="005E0945"/>
    <w:rsid w:val="005E0B5D"/>
    <w:rsid w:val="005E18E8"/>
    <w:rsid w:val="005E1A62"/>
    <w:rsid w:val="005E2352"/>
    <w:rsid w:val="005E2D10"/>
    <w:rsid w:val="005E2E8B"/>
    <w:rsid w:val="005E3F88"/>
    <w:rsid w:val="005E4E8F"/>
    <w:rsid w:val="005E6210"/>
    <w:rsid w:val="005E670F"/>
    <w:rsid w:val="005E6FD8"/>
    <w:rsid w:val="005E7357"/>
    <w:rsid w:val="005E7433"/>
    <w:rsid w:val="005E7510"/>
    <w:rsid w:val="005E7E72"/>
    <w:rsid w:val="005F0564"/>
    <w:rsid w:val="005F11FC"/>
    <w:rsid w:val="005F13DF"/>
    <w:rsid w:val="005F1B42"/>
    <w:rsid w:val="005F2331"/>
    <w:rsid w:val="005F2CB8"/>
    <w:rsid w:val="005F303B"/>
    <w:rsid w:val="005F33FF"/>
    <w:rsid w:val="005F3B23"/>
    <w:rsid w:val="005F46B2"/>
    <w:rsid w:val="005F46FE"/>
    <w:rsid w:val="005F4B1A"/>
    <w:rsid w:val="005F4BD6"/>
    <w:rsid w:val="005F4BE5"/>
    <w:rsid w:val="005F5D0A"/>
    <w:rsid w:val="005F6744"/>
    <w:rsid w:val="005F72A0"/>
    <w:rsid w:val="005F7C27"/>
    <w:rsid w:val="005F7E6F"/>
    <w:rsid w:val="006002DF"/>
    <w:rsid w:val="00600A65"/>
    <w:rsid w:val="00600B1E"/>
    <w:rsid w:val="00600E75"/>
    <w:rsid w:val="0060174B"/>
    <w:rsid w:val="0060211C"/>
    <w:rsid w:val="006024A9"/>
    <w:rsid w:val="00602FC6"/>
    <w:rsid w:val="006031AD"/>
    <w:rsid w:val="0060325A"/>
    <w:rsid w:val="0060360D"/>
    <w:rsid w:val="00603643"/>
    <w:rsid w:val="00603676"/>
    <w:rsid w:val="00603809"/>
    <w:rsid w:val="00605737"/>
    <w:rsid w:val="00605A95"/>
    <w:rsid w:val="00605DC4"/>
    <w:rsid w:val="006067EE"/>
    <w:rsid w:val="00607298"/>
    <w:rsid w:val="006073B2"/>
    <w:rsid w:val="006074ED"/>
    <w:rsid w:val="00607AFD"/>
    <w:rsid w:val="00607E58"/>
    <w:rsid w:val="00607F79"/>
    <w:rsid w:val="00610555"/>
    <w:rsid w:val="00610E27"/>
    <w:rsid w:val="00610EF5"/>
    <w:rsid w:val="0061118C"/>
    <w:rsid w:val="006121C2"/>
    <w:rsid w:val="00612667"/>
    <w:rsid w:val="0061279A"/>
    <w:rsid w:val="00612D8B"/>
    <w:rsid w:val="006130EE"/>
    <w:rsid w:val="00613ADD"/>
    <w:rsid w:val="00614107"/>
    <w:rsid w:val="00614659"/>
    <w:rsid w:val="0061573E"/>
    <w:rsid w:val="006161F1"/>
    <w:rsid w:val="00616DDB"/>
    <w:rsid w:val="00616FEA"/>
    <w:rsid w:val="00617BB8"/>
    <w:rsid w:val="006206E7"/>
    <w:rsid w:val="00621522"/>
    <w:rsid w:val="00621F81"/>
    <w:rsid w:val="0062240B"/>
    <w:rsid w:val="00622585"/>
    <w:rsid w:val="00622839"/>
    <w:rsid w:val="00623A4C"/>
    <w:rsid w:val="006252EE"/>
    <w:rsid w:val="006253B1"/>
    <w:rsid w:val="00625695"/>
    <w:rsid w:val="0062763B"/>
    <w:rsid w:val="006312D7"/>
    <w:rsid w:val="00631912"/>
    <w:rsid w:val="00631E05"/>
    <w:rsid w:val="006323C1"/>
    <w:rsid w:val="006324B6"/>
    <w:rsid w:val="00633FBB"/>
    <w:rsid w:val="00634E0A"/>
    <w:rsid w:val="006357D6"/>
    <w:rsid w:val="00636E41"/>
    <w:rsid w:val="00636FCA"/>
    <w:rsid w:val="00637700"/>
    <w:rsid w:val="00637B9E"/>
    <w:rsid w:val="0064004C"/>
    <w:rsid w:val="006400EC"/>
    <w:rsid w:val="0064036B"/>
    <w:rsid w:val="00640A58"/>
    <w:rsid w:val="00641972"/>
    <w:rsid w:val="006422F9"/>
    <w:rsid w:val="00643391"/>
    <w:rsid w:val="00643873"/>
    <w:rsid w:val="006440D0"/>
    <w:rsid w:val="0064426C"/>
    <w:rsid w:val="006443CC"/>
    <w:rsid w:val="0064470B"/>
    <w:rsid w:val="006449E7"/>
    <w:rsid w:val="00644A46"/>
    <w:rsid w:val="00644D50"/>
    <w:rsid w:val="006451AF"/>
    <w:rsid w:val="00646C60"/>
    <w:rsid w:val="00646D7F"/>
    <w:rsid w:val="00647610"/>
    <w:rsid w:val="006512CB"/>
    <w:rsid w:val="00651548"/>
    <w:rsid w:val="006529CC"/>
    <w:rsid w:val="0065306B"/>
    <w:rsid w:val="00653428"/>
    <w:rsid w:val="006548F3"/>
    <w:rsid w:val="00654BDE"/>
    <w:rsid w:val="00655919"/>
    <w:rsid w:val="00655EF2"/>
    <w:rsid w:val="00657056"/>
    <w:rsid w:val="00657E34"/>
    <w:rsid w:val="006600CF"/>
    <w:rsid w:val="006619F1"/>
    <w:rsid w:val="00662073"/>
    <w:rsid w:val="00662E9E"/>
    <w:rsid w:val="00663C66"/>
    <w:rsid w:val="006650D9"/>
    <w:rsid w:val="006658E1"/>
    <w:rsid w:val="00666CDE"/>
    <w:rsid w:val="00666F79"/>
    <w:rsid w:val="00667C5F"/>
    <w:rsid w:val="00667EE1"/>
    <w:rsid w:val="006703AB"/>
    <w:rsid w:val="00670B65"/>
    <w:rsid w:val="006718D9"/>
    <w:rsid w:val="00672C19"/>
    <w:rsid w:val="00673239"/>
    <w:rsid w:val="00673F74"/>
    <w:rsid w:val="00674F87"/>
    <w:rsid w:val="0067540B"/>
    <w:rsid w:val="00675779"/>
    <w:rsid w:val="00675EFE"/>
    <w:rsid w:val="0067639F"/>
    <w:rsid w:val="00676AFC"/>
    <w:rsid w:val="0067785C"/>
    <w:rsid w:val="006808E2"/>
    <w:rsid w:val="00680E23"/>
    <w:rsid w:val="006811AA"/>
    <w:rsid w:val="00681297"/>
    <w:rsid w:val="00682AF5"/>
    <w:rsid w:val="00682C2B"/>
    <w:rsid w:val="006830C7"/>
    <w:rsid w:val="006833E5"/>
    <w:rsid w:val="00683881"/>
    <w:rsid w:val="00683D9D"/>
    <w:rsid w:val="00684C35"/>
    <w:rsid w:val="00684EA5"/>
    <w:rsid w:val="00684F54"/>
    <w:rsid w:val="00685ABC"/>
    <w:rsid w:val="00685D95"/>
    <w:rsid w:val="0068683A"/>
    <w:rsid w:val="00690013"/>
    <w:rsid w:val="0069045F"/>
    <w:rsid w:val="0069075D"/>
    <w:rsid w:val="006907C6"/>
    <w:rsid w:val="00691291"/>
    <w:rsid w:val="006922BD"/>
    <w:rsid w:val="006922F8"/>
    <w:rsid w:val="00692574"/>
    <w:rsid w:val="00692F73"/>
    <w:rsid w:val="00693089"/>
    <w:rsid w:val="006933EC"/>
    <w:rsid w:val="006945F7"/>
    <w:rsid w:val="00694884"/>
    <w:rsid w:val="00695F81"/>
    <w:rsid w:val="00696285"/>
    <w:rsid w:val="006964A2"/>
    <w:rsid w:val="00696FCB"/>
    <w:rsid w:val="00697145"/>
    <w:rsid w:val="00697333"/>
    <w:rsid w:val="00697760"/>
    <w:rsid w:val="00697E3A"/>
    <w:rsid w:val="006A143F"/>
    <w:rsid w:val="006A173C"/>
    <w:rsid w:val="006A208C"/>
    <w:rsid w:val="006A2D65"/>
    <w:rsid w:val="006A2D66"/>
    <w:rsid w:val="006A389F"/>
    <w:rsid w:val="006A3A0A"/>
    <w:rsid w:val="006A3B1C"/>
    <w:rsid w:val="006A46FD"/>
    <w:rsid w:val="006A4CEE"/>
    <w:rsid w:val="006A555A"/>
    <w:rsid w:val="006A69A9"/>
    <w:rsid w:val="006A7181"/>
    <w:rsid w:val="006A726C"/>
    <w:rsid w:val="006A7B5A"/>
    <w:rsid w:val="006B009F"/>
    <w:rsid w:val="006B04E5"/>
    <w:rsid w:val="006B1B88"/>
    <w:rsid w:val="006B1E85"/>
    <w:rsid w:val="006B1EA0"/>
    <w:rsid w:val="006B20C7"/>
    <w:rsid w:val="006B2173"/>
    <w:rsid w:val="006B22E0"/>
    <w:rsid w:val="006B3A2E"/>
    <w:rsid w:val="006B4D7D"/>
    <w:rsid w:val="006B5EFC"/>
    <w:rsid w:val="006B7D86"/>
    <w:rsid w:val="006C00B1"/>
    <w:rsid w:val="006C099A"/>
    <w:rsid w:val="006C180B"/>
    <w:rsid w:val="006C2335"/>
    <w:rsid w:val="006C2B22"/>
    <w:rsid w:val="006C3750"/>
    <w:rsid w:val="006C4813"/>
    <w:rsid w:val="006C49F8"/>
    <w:rsid w:val="006C5440"/>
    <w:rsid w:val="006C5713"/>
    <w:rsid w:val="006C743F"/>
    <w:rsid w:val="006D0233"/>
    <w:rsid w:val="006D0A6A"/>
    <w:rsid w:val="006D17CC"/>
    <w:rsid w:val="006D2201"/>
    <w:rsid w:val="006D22AD"/>
    <w:rsid w:val="006D2847"/>
    <w:rsid w:val="006D2F39"/>
    <w:rsid w:val="006D3CC2"/>
    <w:rsid w:val="006D41D5"/>
    <w:rsid w:val="006D4977"/>
    <w:rsid w:val="006D51DD"/>
    <w:rsid w:val="006D5B41"/>
    <w:rsid w:val="006D5B96"/>
    <w:rsid w:val="006D61DB"/>
    <w:rsid w:val="006D691C"/>
    <w:rsid w:val="006D75AD"/>
    <w:rsid w:val="006D7B41"/>
    <w:rsid w:val="006D7B51"/>
    <w:rsid w:val="006D7C39"/>
    <w:rsid w:val="006E03B3"/>
    <w:rsid w:val="006E1820"/>
    <w:rsid w:val="006E1918"/>
    <w:rsid w:val="006E19A4"/>
    <w:rsid w:val="006E271A"/>
    <w:rsid w:val="006E3816"/>
    <w:rsid w:val="006E3957"/>
    <w:rsid w:val="006E3C51"/>
    <w:rsid w:val="006E4965"/>
    <w:rsid w:val="006E4FBF"/>
    <w:rsid w:val="006E6139"/>
    <w:rsid w:val="006F041D"/>
    <w:rsid w:val="006F08A1"/>
    <w:rsid w:val="006F0B50"/>
    <w:rsid w:val="006F0C3F"/>
    <w:rsid w:val="006F0F71"/>
    <w:rsid w:val="006F3A09"/>
    <w:rsid w:val="006F3FEA"/>
    <w:rsid w:val="006F42FA"/>
    <w:rsid w:val="006F50B2"/>
    <w:rsid w:val="006F703C"/>
    <w:rsid w:val="006F721F"/>
    <w:rsid w:val="006F77B8"/>
    <w:rsid w:val="006F7AA4"/>
    <w:rsid w:val="0070027B"/>
    <w:rsid w:val="0070121B"/>
    <w:rsid w:val="00701C67"/>
    <w:rsid w:val="00701EE1"/>
    <w:rsid w:val="007029D2"/>
    <w:rsid w:val="00703413"/>
    <w:rsid w:val="00703B0B"/>
    <w:rsid w:val="00703B16"/>
    <w:rsid w:val="00704085"/>
    <w:rsid w:val="007043A9"/>
    <w:rsid w:val="00704F40"/>
    <w:rsid w:val="0070582B"/>
    <w:rsid w:val="007067A2"/>
    <w:rsid w:val="00706B56"/>
    <w:rsid w:val="00706C18"/>
    <w:rsid w:val="00706E7C"/>
    <w:rsid w:val="00710551"/>
    <w:rsid w:val="007110E6"/>
    <w:rsid w:val="007111F0"/>
    <w:rsid w:val="007113E4"/>
    <w:rsid w:val="00712762"/>
    <w:rsid w:val="0071297D"/>
    <w:rsid w:val="00713807"/>
    <w:rsid w:val="00713C4A"/>
    <w:rsid w:val="00714178"/>
    <w:rsid w:val="00714208"/>
    <w:rsid w:val="00714D86"/>
    <w:rsid w:val="007153C4"/>
    <w:rsid w:val="0071560D"/>
    <w:rsid w:val="00715788"/>
    <w:rsid w:val="00716D73"/>
    <w:rsid w:val="007175BA"/>
    <w:rsid w:val="007203B2"/>
    <w:rsid w:val="00720DFA"/>
    <w:rsid w:val="00721785"/>
    <w:rsid w:val="00721FE6"/>
    <w:rsid w:val="00723278"/>
    <w:rsid w:val="0072413E"/>
    <w:rsid w:val="00724CB5"/>
    <w:rsid w:val="00724F56"/>
    <w:rsid w:val="00725598"/>
    <w:rsid w:val="00725AC5"/>
    <w:rsid w:val="00726009"/>
    <w:rsid w:val="00726190"/>
    <w:rsid w:val="00727682"/>
    <w:rsid w:val="00730220"/>
    <w:rsid w:val="00730A5B"/>
    <w:rsid w:val="00730E81"/>
    <w:rsid w:val="00731F30"/>
    <w:rsid w:val="00732136"/>
    <w:rsid w:val="0073238B"/>
    <w:rsid w:val="007328C6"/>
    <w:rsid w:val="0073316F"/>
    <w:rsid w:val="007333E9"/>
    <w:rsid w:val="00733BE6"/>
    <w:rsid w:val="00734E89"/>
    <w:rsid w:val="00735150"/>
    <w:rsid w:val="0073515F"/>
    <w:rsid w:val="00735CEB"/>
    <w:rsid w:val="00736142"/>
    <w:rsid w:val="00737E8E"/>
    <w:rsid w:val="00740172"/>
    <w:rsid w:val="007404EA"/>
    <w:rsid w:val="00740589"/>
    <w:rsid w:val="00740788"/>
    <w:rsid w:val="007407F7"/>
    <w:rsid w:val="00740F77"/>
    <w:rsid w:val="0074186C"/>
    <w:rsid w:val="00741B3E"/>
    <w:rsid w:val="00742324"/>
    <w:rsid w:val="0074232C"/>
    <w:rsid w:val="007434B4"/>
    <w:rsid w:val="00743CB5"/>
    <w:rsid w:val="007443C2"/>
    <w:rsid w:val="00744BF6"/>
    <w:rsid w:val="00744C75"/>
    <w:rsid w:val="00744EEA"/>
    <w:rsid w:val="007455F1"/>
    <w:rsid w:val="00745923"/>
    <w:rsid w:val="00745F8C"/>
    <w:rsid w:val="00746621"/>
    <w:rsid w:val="00746789"/>
    <w:rsid w:val="007477DC"/>
    <w:rsid w:val="00747D38"/>
    <w:rsid w:val="00750167"/>
    <w:rsid w:val="00750327"/>
    <w:rsid w:val="00750861"/>
    <w:rsid w:val="00750FB4"/>
    <w:rsid w:val="00751464"/>
    <w:rsid w:val="00752180"/>
    <w:rsid w:val="007525F5"/>
    <w:rsid w:val="00752A22"/>
    <w:rsid w:val="00752EC4"/>
    <w:rsid w:val="00755912"/>
    <w:rsid w:val="00755D36"/>
    <w:rsid w:val="00755D8E"/>
    <w:rsid w:val="00755E32"/>
    <w:rsid w:val="00755E7E"/>
    <w:rsid w:val="00756A6D"/>
    <w:rsid w:val="007579D9"/>
    <w:rsid w:val="00760C25"/>
    <w:rsid w:val="0076150F"/>
    <w:rsid w:val="00762DBA"/>
    <w:rsid w:val="00762FFA"/>
    <w:rsid w:val="00763BD1"/>
    <w:rsid w:val="00764288"/>
    <w:rsid w:val="00764CBA"/>
    <w:rsid w:val="00765306"/>
    <w:rsid w:val="0076550E"/>
    <w:rsid w:val="0076575D"/>
    <w:rsid w:val="00765897"/>
    <w:rsid w:val="00765C14"/>
    <w:rsid w:val="00766535"/>
    <w:rsid w:val="007669D0"/>
    <w:rsid w:val="0076717A"/>
    <w:rsid w:val="007671AC"/>
    <w:rsid w:val="007673D2"/>
    <w:rsid w:val="00767585"/>
    <w:rsid w:val="00767F06"/>
    <w:rsid w:val="007701C2"/>
    <w:rsid w:val="0077045A"/>
    <w:rsid w:val="00770775"/>
    <w:rsid w:val="007707E2"/>
    <w:rsid w:val="00771104"/>
    <w:rsid w:val="0077139F"/>
    <w:rsid w:val="007716EB"/>
    <w:rsid w:val="0077188F"/>
    <w:rsid w:val="00772E97"/>
    <w:rsid w:val="0077302C"/>
    <w:rsid w:val="00773903"/>
    <w:rsid w:val="00773B7F"/>
    <w:rsid w:val="007743FF"/>
    <w:rsid w:val="00774810"/>
    <w:rsid w:val="00774A09"/>
    <w:rsid w:val="007758B0"/>
    <w:rsid w:val="0077777A"/>
    <w:rsid w:val="00780C28"/>
    <w:rsid w:val="0078105E"/>
    <w:rsid w:val="00781D59"/>
    <w:rsid w:val="00782678"/>
    <w:rsid w:val="00782A82"/>
    <w:rsid w:val="0078329D"/>
    <w:rsid w:val="00784272"/>
    <w:rsid w:val="00784364"/>
    <w:rsid w:val="00784CF2"/>
    <w:rsid w:val="00784E99"/>
    <w:rsid w:val="00785AD8"/>
    <w:rsid w:val="007869F9"/>
    <w:rsid w:val="00787B05"/>
    <w:rsid w:val="00790055"/>
    <w:rsid w:val="007902AC"/>
    <w:rsid w:val="007908B4"/>
    <w:rsid w:val="00790E59"/>
    <w:rsid w:val="00790EDC"/>
    <w:rsid w:val="0079131B"/>
    <w:rsid w:val="0079166E"/>
    <w:rsid w:val="0079179D"/>
    <w:rsid w:val="00791EA5"/>
    <w:rsid w:val="007937C1"/>
    <w:rsid w:val="0079388D"/>
    <w:rsid w:val="00795F9F"/>
    <w:rsid w:val="00796723"/>
    <w:rsid w:val="00796A9F"/>
    <w:rsid w:val="00796F06"/>
    <w:rsid w:val="00796FE6"/>
    <w:rsid w:val="007972C7"/>
    <w:rsid w:val="00797966"/>
    <w:rsid w:val="007A00B2"/>
    <w:rsid w:val="007A0268"/>
    <w:rsid w:val="007A0417"/>
    <w:rsid w:val="007A0A35"/>
    <w:rsid w:val="007A0B67"/>
    <w:rsid w:val="007A0C90"/>
    <w:rsid w:val="007A0D89"/>
    <w:rsid w:val="007A1E4B"/>
    <w:rsid w:val="007A261F"/>
    <w:rsid w:val="007A2770"/>
    <w:rsid w:val="007A2810"/>
    <w:rsid w:val="007A365A"/>
    <w:rsid w:val="007A3A53"/>
    <w:rsid w:val="007A4074"/>
    <w:rsid w:val="007A41CE"/>
    <w:rsid w:val="007A535C"/>
    <w:rsid w:val="007A58EA"/>
    <w:rsid w:val="007A6538"/>
    <w:rsid w:val="007A6919"/>
    <w:rsid w:val="007A6C93"/>
    <w:rsid w:val="007A7185"/>
    <w:rsid w:val="007B123C"/>
    <w:rsid w:val="007B155E"/>
    <w:rsid w:val="007B1897"/>
    <w:rsid w:val="007B1967"/>
    <w:rsid w:val="007B2DC0"/>
    <w:rsid w:val="007B30ED"/>
    <w:rsid w:val="007B3242"/>
    <w:rsid w:val="007B3264"/>
    <w:rsid w:val="007B3824"/>
    <w:rsid w:val="007B3AD5"/>
    <w:rsid w:val="007B47A6"/>
    <w:rsid w:val="007B5A65"/>
    <w:rsid w:val="007B6BA9"/>
    <w:rsid w:val="007B7BBE"/>
    <w:rsid w:val="007C0083"/>
    <w:rsid w:val="007C0110"/>
    <w:rsid w:val="007C0292"/>
    <w:rsid w:val="007C0764"/>
    <w:rsid w:val="007C0CAE"/>
    <w:rsid w:val="007C29AB"/>
    <w:rsid w:val="007C29ED"/>
    <w:rsid w:val="007C341B"/>
    <w:rsid w:val="007C39D1"/>
    <w:rsid w:val="007C4771"/>
    <w:rsid w:val="007C479A"/>
    <w:rsid w:val="007C47AE"/>
    <w:rsid w:val="007C4A79"/>
    <w:rsid w:val="007C4B85"/>
    <w:rsid w:val="007C4B90"/>
    <w:rsid w:val="007C5163"/>
    <w:rsid w:val="007C6DCF"/>
    <w:rsid w:val="007C7F1E"/>
    <w:rsid w:val="007D0599"/>
    <w:rsid w:val="007D1417"/>
    <w:rsid w:val="007D1849"/>
    <w:rsid w:val="007D20D9"/>
    <w:rsid w:val="007D22D3"/>
    <w:rsid w:val="007D2A2A"/>
    <w:rsid w:val="007D2C61"/>
    <w:rsid w:val="007D2CE2"/>
    <w:rsid w:val="007D2F84"/>
    <w:rsid w:val="007D3445"/>
    <w:rsid w:val="007D3D23"/>
    <w:rsid w:val="007D46AB"/>
    <w:rsid w:val="007D4B4C"/>
    <w:rsid w:val="007D6E3A"/>
    <w:rsid w:val="007D70BB"/>
    <w:rsid w:val="007D7153"/>
    <w:rsid w:val="007D71BE"/>
    <w:rsid w:val="007D7421"/>
    <w:rsid w:val="007E033D"/>
    <w:rsid w:val="007E08FA"/>
    <w:rsid w:val="007E15C6"/>
    <w:rsid w:val="007E1621"/>
    <w:rsid w:val="007E172F"/>
    <w:rsid w:val="007E1ED1"/>
    <w:rsid w:val="007E2951"/>
    <w:rsid w:val="007E38D9"/>
    <w:rsid w:val="007E3C1A"/>
    <w:rsid w:val="007E458A"/>
    <w:rsid w:val="007E48E8"/>
    <w:rsid w:val="007E4DCD"/>
    <w:rsid w:val="007E6244"/>
    <w:rsid w:val="007E638D"/>
    <w:rsid w:val="007E7D41"/>
    <w:rsid w:val="007F00DD"/>
    <w:rsid w:val="007F0219"/>
    <w:rsid w:val="007F0D87"/>
    <w:rsid w:val="007F1A2A"/>
    <w:rsid w:val="007F1E3F"/>
    <w:rsid w:val="007F2AFB"/>
    <w:rsid w:val="007F356D"/>
    <w:rsid w:val="007F4162"/>
    <w:rsid w:val="007F4694"/>
    <w:rsid w:val="007F49F2"/>
    <w:rsid w:val="007F5867"/>
    <w:rsid w:val="007F63A2"/>
    <w:rsid w:val="007F6918"/>
    <w:rsid w:val="007F7429"/>
    <w:rsid w:val="007F7E3B"/>
    <w:rsid w:val="007F7E67"/>
    <w:rsid w:val="00800BD2"/>
    <w:rsid w:val="0080125E"/>
    <w:rsid w:val="008016F0"/>
    <w:rsid w:val="00801F30"/>
    <w:rsid w:val="00802205"/>
    <w:rsid w:val="0080239F"/>
    <w:rsid w:val="00802641"/>
    <w:rsid w:val="00802831"/>
    <w:rsid w:val="008029E4"/>
    <w:rsid w:val="00802A99"/>
    <w:rsid w:val="00802F62"/>
    <w:rsid w:val="00803E55"/>
    <w:rsid w:val="0080427E"/>
    <w:rsid w:val="00804335"/>
    <w:rsid w:val="00804CB5"/>
    <w:rsid w:val="008057D2"/>
    <w:rsid w:val="00805C66"/>
    <w:rsid w:val="00805DCD"/>
    <w:rsid w:val="008071CC"/>
    <w:rsid w:val="00807346"/>
    <w:rsid w:val="00810D2D"/>
    <w:rsid w:val="0081179B"/>
    <w:rsid w:val="00812AD2"/>
    <w:rsid w:val="00813A40"/>
    <w:rsid w:val="00814024"/>
    <w:rsid w:val="00814C02"/>
    <w:rsid w:val="008168BC"/>
    <w:rsid w:val="00816DDA"/>
    <w:rsid w:val="008171CB"/>
    <w:rsid w:val="0081799D"/>
    <w:rsid w:val="0082026C"/>
    <w:rsid w:val="00820F14"/>
    <w:rsid w:val="0082107A"/>
    <w:rsid w:val="00821083"/>
    <w:rsid w:val="008216FA"/>
    <w:rsid w:val="008222F8"/>
    <w:rsid w:val="00822747"/>
    <w:rsid w:val="00823731"/>
    <w:rsid w:val="0082481B"/>
    <w:rsid w:val="00824B95"/>
    <w:rsid w:val="00825450"/>
    <w:rsid w:val="00825CD3"/>
    <w:rsid w:val="008260C7"/>
    <w:rsid w:val="008266F9"/>
    <w:rsid w:val="008273D1"/>
    <w:rsid w:val="008306AE"/>
    <w:rsid w:val="008311BD"/>
    <w:rsid w:val="0083129C"/>
    <w:rsid w:val="0083216B"/>
    <w:rsid w:val="00832A68"/>
    <w:rsid w:val="00832E49"/>
    <w:rsid w:val="0083352B"/>
    <w:rsid w:val="008336DA"/>
    <w:rsid w:val="008337EC"/>
    <w:rsid w:val="00833AC9"/>
    <w:rsid w:val="00835040"/>
    <w:rsid w:val="0083515A"/>
    <w:rsid w:val="0083528D"/>
    <w:rsid w:val="008369BE"/>
    <w:rsid w:val="008372CA"/>
    <w:rsid w:val="0084003B"/>
    <w:rsid w:val="0084010A"/>
    <w:rsid w:val="0084045C"/>
    <w:rsid w:val="00840EAE"/>
    <w:rsid w:val="00841945"/>
    <w:rsid w:val="00841AE8"/>
    <w:rsid w:val="00842534"/>
    <w:rsid w:val="00842E4C"/>
    <w:rsid w:val="00842E79"/>
    <w:rsid w:val="0084311C"/>
    <w:rsid w:val="0084313E"/>
    <w:rsid w:val="0084379D"/>
    <w:rsid w:val="00843D9B"/>
    <w:rsid w:val="00843EBA"/>
    <w:rsid w:val="008440D1"/>
    <w:rsid w:val="00844128"/>
    <w:rsid w:val="0084424A"/>
    <w:rsid w:val="008444E3"/>
    <w:rsid w:val="0084597D"/>
    <w:rsid w:val="00845A73"/>
    <w:rsid w:val="008469F1"/>
    <w:rsid w:val="00847F3E"/>
    <w:rsid w:val="00850814"/>
    <w:rsid w:val="008510F4"/>
    <w:rsid w:val="008515A6"/>
    <w:rsid w:val="00852754"/>
    <w:rsid w:val="00852FD5"/>
    <w:rsid w:val="008541FE"/>
    <w:rsid w:val="00854670"/>
    <w:rsid w:val="0085486C"/>
    <w:rsid w:val="00854A1C"/>
    <w:rsid w:val="008551E4"/>
    <w:rsid w:val="00855BCA"/>
    <w:rsid w:val="00856D0E"/>
    <w:rsid w:val="00860041"/>
    <w:rsid w:val="008606B5"/>
    <w:rsid w:val="00860B58"/>
    <w:rsid w:val="00861132"/>
    <w:rsid w:val="0086192C"/>
    <w:rsid w:val="00862186"/>
    <w:rsid w:val="008629FB"/>
    <w:rsid w:val="00863C2D"/>
    <w:rsid w:val="00864018"/>
    <w:rsid w:val="00865E5C"/>
    <w:rsid w:val="008708BB"/>
    <w:rsid w:val="00870D4F"/>
    <w:rsid w:val="008737C2"/>
    <w:rsid w:val="00873FAE"/>
    <w:rsid w:val="00874790"/>
    <w:rsid w:val="008759C7"/>
    <w:rsid w:val="00876B36"/>
    <w:rsid w:val="00876CC7"/>
    <w:rsid w:val="00877075"/>
    <w:rsid w:val="0088140E"/>
    <w:rsid w:val="008827BE"/>
    <w:rsid w:val="008831B6"/>
    <w:rsid w:val="008836F9"/>
    <w:rsid w:val="008839C3"/>
    <w:rsid w:val="00884C07"/>
    <w:rsid w:val="00884D02"/>
    <w:rsid w:val="008852FA"/>
    <w:rsid w:val="00885903"/>
    <w:rsid w:val="008859A2"/>
    <w:rsid w:val="0088676B"/>
    <w:rsid w:val="00886A9F"/>
    <w:rsid w:val="00886C4C"/>
    <w:rsid w:val="00887704"/>
    <w:rsid w:val="00887BA4"/>
    <w:rsid w:val="00887D5A"/>
    <w:rsid w:val="008905C2"/>
    <w:rsid w:val="00890E2D"/>
    <w:rsid w:val="008912E8"/>
    <w:rsid w:val="008916B3"/>
    <w:rsid w:val="0089320A"/>
    <w:rsid w:val="00893541"/>
    <w:rsid w:val="00894930"/>
    <w:rsid w:val="00894C8F"/>
    <w:rsid w:val="008950BF"/>
    <w:rsid w:val="008955A6"/>
    <w:rsid w:val="00895E9A"/>
    <w:rsid w:val="00895FB1"/>
    <w:rsid w:val="00897A6A"/>
    <w:rsid w:val="008A0F62"/>
    <w:rsid w:val="008A119A"/>
    <w:rsid w:val="008A14BE"/>
    <w:rsid w:val="008A1ACE"/>
    <w:rsid w:val="008A1B3B"/>
    <w:rsid w:val="008A23C2"/>
    <w:rsid w:val="008A2C5E"/>
    <w:rsid w:val="008A35F6"/>
    <w:rsid w:val="008A536B"/>
    <w:rsid w:val="008A5B11"/>
    <w:rsid w:val="008A604F"/>
    <w:rsid w:val="008A610E"/>
    <w:rsid w:val="008A6B6C"/>
    <w:rsid w:val="008A762E"/>
    <w:rsid w:val="008B0BA8"/>
    <w:rsid w:val="008B2429"/>
    <w:rsid w:val="008B30CA"/>
    <w:rsid w:val="008B3552"/>
    <w:rsid w:val="008B4BFF"/>
    <w:rsid w:val="008B58F3"/>
    <w:rsid w:val="008B6357"/>
    <w:rsid w:val="008B668A"/>
    <w:rsid w:val="008B6956"/>
    <w:rsid w:val="008B6C87"/>
    <w:rsid w:val="008B7CC1"/>
    <w:rsid w:val="008C015F"/>
    <w:rsid w:val="008C08BD"/>
    <w:rsid w:val="008C16E7"/>
    <w:rsid w:val="008C34BE"/>
    <w:rsid w:val="008C4300"/>
    <w:rsid w:val="008C4F7B"/>
    <w:rsid w:val="008C5019"/>
    <w:rsid w:val="008C5226"/>
    <w:rsid w:val="008C5790"/>
    <w:rsid w:val="008C59B2"/>
    <w:rsid w:val="008C6031"/>
    <w:rsid w:val="008C684D"/>
    <w:rsid w:val="008C6FB2"/>
    <w:rsid w:val="008C7E23"/>
    <w:rsid w:val="008C7EE4"/>
    <w:rsid w:val="008D0437"/>
    <w:rsid w:val="008D07A3"/>
    <w:rsid w:val="008D0DE7"/>
    <w:rsid w:val="008D156B"/>
    <w:rsid w:val="008D22C1"/>
    <w:rsid w:val="008D2316"/>
    <w:rsid w:val="008D2544"/>
    <w:rsid w:val="008D25A0"/>
    <w:rsid w:val="008D30C5"/>
    <w:rsid w:val="008D3C67"/>
    <w:rsid w:val="008D3EFE"/>
    <w:rsid w:val="008D4675"/>
    <w:rsid w:val="008D60A3"/>
    <w:rsid w:val="008D6CC1"/>
    <w:rsid w:val="008D72C4"/>
    <w:rsid w:val="008D73AF"/>
    <w:rsid w:val="008E025E"/>
    <w:rsid w:val="008E0604"/>
    <w:rsid w:val="008E0F10"/>
    <w:rsid w:val="008E2445"/>
    <w:rsid w:val="008E272E"/>
    <w:rsid w:val="008E2C14"/>
    <w:rsid w:val="008E2C31"/>
    <w:rsid w:val="008E3381"/>
    <w:rsid w:val="008E3876"/>
    <w:rsid w:val="008E3C6B"/>
    <w:rsid w:val="008E48C8"/>
    <w:rsid w:val="008E4C9B"/>
    <w:rsid w:val="008E501A"/>
    <w:rsid w:val="008E534D"/>
    <w:rsid w:val="008E6BB0"/>
    <w:rsid w:val="008E72A2"/>
    <w:rsid w:val="008F0111"/>
    <w:rsid w:val="008F02CB"/>
    <w:rsid w:val="008F0C3E"/>
    <w:rsid w:val="008F0C78"/>
    <w:rsid w:val="008F11E6"/>
    <w:rsid w:val="008F1338"/>
    <w:rsid w:val="008F2E1C"/>
    <w:rsid w:val="008F3DAF"/>
    <w:rsid w:val="008F408F"/>
    <w:rsid w:val="008F5A67"/>
    <w:rsid w:val="008F68B2"/>
    <w:rsid w:val="008F7F9A"/>
    <w:rsid w:val="0090137C"/>
    <w:rsid w:val="009017DC"/>
    <w:rsid w:val="00901ED6"/>
    <w:rsid w:val="00902277"/>
    <w:rsid w:val="00903032"/>
    <w:rsid w:val="00903D7F"/>
    <w:rsid w:val="00903E59"/>
    <w:rsid w:val="009041FF"/>
    <w:rsid w:val="0090624E"/>
    <w:rsid w:val="00906DDC"/>
    <w:rsid w:val="00907078"/>
    <w:rsid w:val="009071FA"/>
    <w:rsid w:val="0090768B"/>
    <w:rsid w:val="009112E3"/>
    <w:rsid w:val="00912796"/>
    <w:rsid w:val="00912B06"/>
    <w:rsid w:val="00913285"/>
    <w:rsid w:val="009133B9"/>
    <w:rsid w:val="00913FE0"/>
    <w:rsid w:val="0091408D"/>
    <w:rsid w:val="00914AAC"/>
    <w:rsid w:val="00914C51"/>
    <w:rsid w:val="00916C8A"/>
    <w:rsid w:val="00917179"/>
    <w:rsid w:val="00917B60"/>
    <w:rsid w:val="009203EA"/>
    <w:rsid w:val="00920A71"/>
    <w:rsid w:val="009231D9"/>
    <w:rsid w:val="00923FF6"/>
    <w:rsid w:val="00924A3F"/>
    <w:rsid w:val="00924D30"/>
    <w:rsid w:val="0092582F"/>
    <w:rsid w:val="00925B97"/>
    <w:rsid w:val="00926083"/>
    <w:rsid w:val="009266D5"/>
    <w:rsid w:val="00926862"/>
    <w:rsid w:val="0092739C"/>
    <w:rsid w:val="009301A8"/>
    <w:rsid w:val="00930EAD"/>
    <w:rsid w:val="00930FE6"/>
    <w:rsid w:val="0093116D"/>
    <w:rsid w:val="0093147A"/>
    <w:rsid w:val="00931AE9"/>
    <w:rsid w:val="00931CBA"/>
    <w:rsid w:val="00932954"/>
    <w:rsid w:val="00932C6B"/>
    <w:rsid w:val="009340E0"/>
    <w:rsid w:val="009346BB"/>
    <w:rsid w:val="009357C0"/>
    <w:rsid w:val="009360AD"/>
    <w:rsid w:val="00936EEF"/>
    <w:rsid w:val="00940106"/>
    <w:rsid w:val="00941778"/>
    <w:rsid w:val="00941F97"/>
    <w:rsid w:val="009425A6"/>
    <w:rsid w:val="00942A69"/>
    <w:rsid w:val="00943495"/>
    <w:rsid w:val="009438A6"/>
    <w:rsid w:val="00943D94"/>
    <w:rsid w:val="00944946"/>
    <w:rsid w:val="0094639B"/>
    <w:rsid w:val="00947114"/>
    <w:rsid w:val="009505DD"/>
    <w:rsid w:val="00951022"/>
    <w:rsid w:val="0095262C"/>
    <w:rsid w:val="0095280E"/>
    <w:rsid w:val="00952E49"/>
    <w:rsid w:val="00952F8F"/>
    <w:rsid w:val="0095371E"/>
    <w:rsid w:val="0095392B"/>
    <w:rsid w:val="00953B9D"/>
    <w:rsid w:val="00953BE6"/>
    <w:rsid w:val="00953F29"/>
    <w:rsid w:val="00954391"/>
    <w:rsid w:val="00954813"/>
    <w:rsid w:val="00954D6B"/>
    <w:rsid w:val="00956449"/>
    <w:rsid w:val="0095656D"/>
    <w:rsid w:val="00956957"/>
    <w:rsid w:val="00956C33"/>
    <w:rsid w:val="00957100"/>
    <w:rsid w:val="0095776B"/>
    <w:rsid w:val="0096029A"/>
    <w:rsid w:val="009603C5"/>
    <w:rsid w:val="0096138D"/>
    <w:rsid w:val="00961511"/>
    <w:rsid w:val="009622D6"/>
    <w:rsid w:val="00962E6D"/>
    <w:rsid w:val="00963CA1"/>
    <w:rsid w:val="00964A7B"/>
    <w:rsid w:val="00964A7D"/>
    <w:rsid w:val="00964CE6"/>
    <w:rsid w:val="00965219"/>
    <w:rsid w:val="00965451"/>
    <w:rsid w:val="00965B24"/>
    <w:rsid w:val="00965F80"/>
    <w:rsid w:val="009666C3"/>
    <w:rsid w:val="00966840"/>
    <w:rsid w:val="00966844"/>
    <w:rsid w:val="00967DB7"/>
    <w:rsid w:val="0097073F"/>
    <w:rsid w:val="00970B37"/>
    <w:rsid w:val="00970C31"/>
    <w:rsid w:val="00971E12"/>
    <w:rsid w:val="00972F40"/>
    <w:rsid w:val="0097452C"/>
    <w:rsid w:val="00974E98"/>
    <w:rsid w:val="009757D3"/>
    <w:rsid w:val="00976ACF"/>
    <w:rsid w:val="00976DC1"/>
    <w:rsid w:val="00976ECA"/>
    <w:rsid w:val="00977C73"/>
    <w:rsid w:val="0098021A"/>
    <w:rsid w:val="00980275"/>
    <w:rsid w:val="00980646"/>
    <w:rsid w:val="00981405"/>
    <w:rsid w:val="00981821"/>
    <w:rsid w:val="0098192F"/>
    <w:rsid w:val="00981D5A"/>
    <w:rsid w:val="009822BD"/>
    <w:rsid w:val="00983457"/>
    <w:rsid w:val="00983835"/>
    <w:rsid w:val="00983D1C"/>
    <w:rsid w:val="009841E0"/>
    <w:rsid w:val="009846BA"/>
    <w:rsid w:val="00984B70"/>
    <w:rsid w:val="00984BEE"/>
    <w:rsid w:val="00984EF0"/>
    <w:rsid w:val="009850C9"/>
    <w:rsid w:val="00985587"/>
    <w:rsid w:val="00985730"/>
    <w:rsid w:val="0098691E"/>
    <w:rsid w:val="00986AAF"/>
    <w:rsid w:val="009900C6"/>
    <w:rsid w:val="00990F3B"/>
    <w:rsid w:val="0099109C"/>
    <w:rsid w:val="00991E14"/>
    <w:rsid w:val="00992C5A"/>
    <w:rsid w:val="0099352D"/>
    <w:rsid w:val="00993832"/>
    <w:rsid w:val="00996F2F"/>
    <w:rsid w:val="00997A2D"/>
    <w:rsid w:val="009A0D4F"/>
    <w:rsid w:val="009A11FD"/>
    <w:rsid w:val="009A1429"/>
    <w:rsid w:val="009A1FD3"/>
    <w:rsid w:val="009A2329"/>
    <w:rsid w:val="009A2FD0"/>
    <w:rsid w:val="009A3230"/>
    <w:rsid w:val="009A3AED"/>
    <w:rsid w:val="009A3CD6"/>
    <w:rsid w:val="009A415C"/>
    <w:rsid w:val="009A424F"/>
    <w:rsid w:val="009A453E"/>
    <w:rsid w:val="009A4747"/>
    <w:rsid w:val="009A5054"/>
    <w:rsid w:val="009A5213"/>
    <w:rsid w:val="009A584C"/>
    <w:rsid w:val="009A58A2"/>
    <w:rsid w:val="009A60E7"/>
    <w:rsid w:val="009A693B"/>
    <w:rsid w:val="009A6957"/>
    <w:rsid w:val="009A760F"/>
    <w:rsid w:val="009A7726"/>
    <w:rsid w:val="009A7A9D"/>
    <w:rsid w:val="009B00DA"/>
    <w:rsid w:val="009B0486"/>
    <w:rsid w:val="009B178C"/>
    <w:rsid w:val="009B187B"/>
    <w:rsid w:val="009B1981"/>
    <w:rsid w:val="009B1F6E"/>
    <w:rsid w:val="009B2455"/>
    <w:rsid w:val="009B348E"/>
    <w:rsid w:val="009B3847"/>
    <w:rsid w:val="009B4B8D"/>
    <w:rsid w:val="009B4FF7"/>
    <w:rsid w:val="009B5169"/>
    <w:rsid w:val="009B5CA3"/>
    <w:rsid w:val="009B633B"/>
    <w:rsid w:val="009B69EA"/>
    <w:rsid w:val="009B77A2"/>
    <w:rsid w:val="009B79FC"/>
    <w:rsid w:val="009C0DF6"/>
    <w:rsid w:val="009C1336"/>
    <w:rsid w:val="009C1C45"/>
    <w:rsid w:val="009C2334"/>
    <w:rsid w:val="009C2540"/>
    <w:rsid w:val="009C2C28"/>
    <w:rsid w:val="009C371B"/>
    <w:rsid w:val="009C3948"/>
    <w:rsid w:val="009C43AD"/>
    <w:rsid w:val="009C460B"/>
    <w:rsid w:val="009C46FB"/>
    <w:rsid w:val="009C6112"/>
    <w:rsid w:val="009C6BAB"/>
    <w:rsid w:val="009C6BAF"/>
    <w:rsid w:val="009D02D5"/>
    <w:rsid w:val="009D043E"/>
    <w:rsid w:val="009D096C"/>
    <w:rsid w:val="009D0DD0"/>
    <w:rsid w:val="009D1E26"/>
    <w:rsid w:val="009D21D3"/>
    <w:rsid w:val="009D2B1B"/>
    <w:rsid w:val="009D2CF0"/>
    <w:rsid w:val="009D3734"/>
    <w:rsid w:val="009D3C77"/>
    <w:rsid w:val="009D5177"/>
    <w:rsid w:val="009D5AE6"/>
    <w:rsid w:val="009D6CF5"/>
    <w:rsid w:val="009D6F1C"/>
    <w:rsid w:val="009D71B6"/>
    <w:rsid w:val="009D72E5"/>
    <w:rsid w:val="009D73A4"/>
    <w:rsid w:val="009E0415"/>
    <w:rsid w:val="009E0477"/>
    <w:rsid w:val="009E0729"/>
    <w:rsid w:val="009E089F"/>
    <w:rsid w:val="009E094D"/>
    <w:rsid w:val="009E1B44"/>
    <w:rsid w:val="009E1DB1"/>
    <w:rsid w:val="009E1F92"/>
    <w:rsid w:val="009E2319"/>
    <w:rsid w:val="009E2371"/>
    <w:rsid w:val="009E248A"/>
    <w:rsid w:val="009E2B62"/>
    <w:rsid w:val="009E3B37"/>
    <w:rsid w:val="009E4528"/>
    <w:rsid w:val="009E4711"/>
    <w:rsid w:val="009E473B"/>
    <w:rsid w:val="009E4D3B"/>
    <w:rsid w:val="009E501A"/>
    <w:rsid w:val="009E575C"/>
    <w:rsid w:val="009E60C8"/>
    <w:rsid w:val="009E6149"/>
    <w:rsid w:val="009E681E"/>
    <w:rsid w:val="009E68C5"/>
    <w:rsid w:val="009E7355"/>
    <w:rsid w:val="009E7C1F"/>
    <w:rsid w:val="009F002E"/>
    <w:rsid w:val="009F1647"/>
    <w:rsid w:val="009F1BC3"/>
    <w:rsid w:val="009F35B8"/>
    <w:rsid w:val="009F390C"/>
    <w:rsid w:val="009F7006"/>
    <w:rsid w:val="009F778F"/>
    <w:rsid w:val="009F7951"/>
    <w:rsid w:val="009F7B1D"/>
    <w:rsid w:val="00A001F2"/>
    <w:rsid w:val="00A016B0"/>
    <w:rsid w:val="00A0219E"/>
    <w:rsid w:val="00A02389"/>
    <w:rsid w:val="00A02816"/>
    <w:rsid w:val="00A02A04"/>
    <w:rsid w:val="00A02B82"/>
    <w:rsid w:val="00A039E1"/>
    <w:rsid w:val="00A03BF8"/>
    <w:rsid w:val="00A03D93"/>
    <w:rsid w:val="00A0415A"/>
    <w:rsid w:val="00A046B0"/>
    <w:rsid w:val="00A054EB"/>
    <w:rsid w:val="00A061CA"/>
    <w:rsid w:val="00A06B4D"/>
    <w:rsid w:val="00A06D56"/>
    <w:rsid w:val="00A11032"/>
    <w:rsid w:val="00A12485"/>
    <w:rsid w:val="00A12E6E"/>
    <w:rsid w:val="00A13521"/>
    <w:rsid w:val="00A142ED"/>
    <w:rsid w:val="00A145C7"/>
    <w:rsid w:val="00A1464A"/>
    <w:rsid w:val="00A152B6"/>
    <w:rsid w:val="00A15457"/>
    <w:rsid w:val="00A1557B"/>
    <w:rsid w:val="00A16212"/>
    <w:rsid w:val="00A16EB2"/>
    <w:rsid w:val="00A1711B"/>
    <w:rsid w:val="00A17380"/>
    <w:rsid w:val="00A17A0B"/>
    <w:rsid w:val="00A17E06"/>
    <w:rsid w:val="00A20036"/>
    <w:rsid w:val="00A201B7"/>
    <w:rsid w:val="00A2081E"/>
    <w:rsid w:val="00A20B8A"/>
    <w:rsid w:val="00A22CBC"/>
    <w:rsid w:val="00A23CFD"/>
    <w:rsid w:val="00A24FCC"/>
    <w:rsid w:val="00A25516"/>
    <w:rsid w:val="00A267E9"/>
    <w:rsid w:val="00A27019"/>
    <w:rsid w:val="00A27382"/>
    <w:rsid w:val="00A276C3"/>
    <w:rsid w:val="00A27F0D"/>
    <w:rsid w:val="00A3097C"/>
    <w:rsid w:val="00A30A70"/>
    <w:rsid w:val="00A30C9F"/>
    <w:rsid w:val="00A33909"/>
    <w:rsid w:val="00A33D1A"/>
    <w:rsid w:val="00A35966"/>
    <w:rsid w:val="00A35A99"/>
    <w:rsid w:val="00A35B62"/>
    <w:rsid w:val="00A35EFC"/>
    <w:rsid w:val="00A360C6"/>
    <w:rsid w:val="00A37BEA"/>
    <w:rsid w:val="00A410E0"/>
    <w:rsid w:val="00A41104"/>
    <w:rsid w:val="00A41113"/>
    <w:rsid w:val="00A4176A"/>
    <w:rsid w:val="00A421CC"/>
    <w:rsid w:val="00A42E97"/>
    <w:rsid w:val="00A43BBA"/>
    <w:rsid w:val="00A43FB4"/>
    <w:rsid w:val="00A446DD"/>
    <w:rsid w:val="00A4708A"/>
    <w:rsid w:val="00A47283"/>
    <w:rsid w:val="00A50CFD"/>
    <w:rsid w:val="00A50DC1"/>
    <w:rsid w:val="00A50F76"/>
    <w:rsid w:val="00A51004"/>
    <w:rsid w:val="00A523B0"/>
    <w:rsid w:val="00A5285D"/>
    <w:rsid w:val="00A52B3B"/>
    <w:rsid w:val="00A52F1B"/>
    <w:rsid w:val="00A53066"/>
    <w:rsid w:val="00A536D4"/>
    <w:rsid w:val="00A53BF8"/>
    <w:rsid w:val="00A5605B"/>
    <w:rsid w:val="00A56810"/>
    <w:rsid w:val="00A56D4A"/>
    <w:rsid w:val="00A6089F"/>
    <w:rsid w:val="00A6116C"/>
    <w:rsid w:val="00A617BC"/>
    <w:rsid w:val="00A6216E"/>
    <w:rsid w:val="00A62A47"/>
    <w:rsid w:val="00A64027"/>
    <w:rsid w:val="00A64A36"/>
    <w:rsid w:val="00A64DCB"/>
    <w:rsid w:val="00A64F02"/>
    <w:rsid w:val="00A65E56"/>
    <w:rsid w:val="00A65F95"/>
    <w:rsid w:val="00A660E3"/>
    <w:rsid w:val="00A66AF4"/>
    <w:rsid w:val="00A678CA"/>
    <w:rsid w:val="00A71184"/>
    <w:rsid w:val="00A7258A"/>
    <w:rsid w:val="00A74025"/>
    <w:rsid w:val="00A7410E"/>
    <w:rsid w:val="00A741F5"/>
    <w:rsid w:val="00A74417"/>
    <w:rsid w:val="00A759FD"/>
    <w:rsid w:val="00A7608D"/>
    <w:rsid w:val="00A7703F"/>
    <w:rsid w:val="00A77461"/>
    <w:rsid w:val="00A77481"/>
    <w:rsid w:val="00A77669"/>
    <w:rsid w:val="00A802DB"/>
    <w:rsid w:val="00A81297"/>
    <w:rsid w:val="00A82070"/>
    <w:rsid w:val="00A82139"/>
    <w:rsid w:val="00A82730"/>
    <w:rsid w:val="00A8304C"/>
    <w:rsid w:val="00A835AF"/>
    <w:rsid w:val="00A8371D"/>
    <w:rsid w:val="00A8479A"/>
    <w:rsid w:val="00A84B18"/>
    <w:rsid w:val="00A84BC6"/>
    <w:rsid w:val="00A85AC6"/>
    <w:rsid w:val="00A85EA6"/>
    <w:rsid w:val="00A86BAD"/>
    <w:rsid w:val="00A86E98"/>
    <w:rsid w:val="00A87907"/>
    <w:rsid w:val="00A87FCE"/>
    <w:rsid w:val="00A90219"/>
    <w:rsid w:val="00A91114"/>
    <w:rsid w:val="00A92228"/>
    <w:rsid w:val="00A922DD"/>
    <w:rsid w:val="00A92811"/>
    <w:rsid w:val="00A92887"/>
    <w:rsid w:val="00A92BDD"/>
    <w:rsid w:val="00A937F1"/>
    <w:rsid w:val="00A93CB3"/>
    <w:rsid w:val="00A94056"/>
    <w:rsid w:val="00A94E43"/>
    <w:rsid w:val="00A95380"/>
    <w:rsid w:val="00A95FBC"/>
    <w:rsid w:val="00A9641B"/>
    <w:rsid w:val="00A96596"/>
    <w:rsid w:val="00A96E78"/>
    <w:rsid w:val="00A97AB6"/>
    <w:rsid w:val="00AA0004"/>
    <w:rsid w:val="00AA048D"/>
    <w:rsid w:val="00AA1076"/>
    <w:rsid w:val="00AA12BA"/>
    <w:rsid w:val="00AA1976"/>
    <w:rsid w:val="00AA1F58"/>
    <w:rsid w:val="00AA20D6"/>
    <w:rsid w:val="00AA3376"/>
    <w:rsid w:val="00AA3642"/>
    <w:rsid w:val="00AA39B0"/>
    <w:rsid w:val="00AA40C2"/>
    <w:rsid w:val="00AA4165"/>
    <w:rsid w:val="00AA46F3"/>
    <w:rsid w:val="00AA4D3A"/>
    <w:rsid w:val="00AA4E87"/>
    <w:rsid w:val="00AA6682"/>
    <w:rsid w:val="00AA69CA"/>
    <w:rsid w:val="00AA6FBB"/>
    <w:rsid w:val="00AA7A89"/>
    <w:rsid w:val="00AA7B01"/>
    <w:rsid w:val="00AA7D9E"/>
    <w:rsid w:val="00AB06B3"/>
    <w:rsid w:val="00AB0DE5"/>
    <w:rsid w:val="00AB0F6D"/>
    <w:rsid w:val="00AB135D"/>
    <w:rsid w:val="00AB1592"/>
    <w:rsid w:val="00AB1798"/>
    <w:rsid w:val="00AB1FD1"/>
    <w:rsid w:val="00AB21FC"/>
    <w:rsid w:val="00AB25B0"/>
    <w:rsid w:val="00AB32B8"/>
    <w:rsid w:val="00AB3418"/>
    <w:rsid w:val="00AB3E7C"/>
    <w:rsid w:val="00AB4BC2"/>
    <w:rsid w:val="00AB6442"/>
    <w:rsid w:val="00AB6534"/>
    <w:rsid w:val="00AB7605"/>
    <w:rsid w:val="00AB7C25"/>
    <w:rsid w:val="00AC113A"/>
    <w:rsid w:val="00AC18DD"/>
    <w:rsid w:val="00AC1C4D"/>
    <w:rsid w:val="00AC1D0D"/>
    <w:rsid w:val="00AC2141"/>
    <w:rsid w:val="00AC2B9B"/>
    <w:rsid w:val="00AC2F1A"/>
    <w:rsid w:val="00AC2F47"/>
    <w:rsid w:val="00AC2F9E"/>
    <w:rsid w:val="00AC3BAC"/>
    <w:rsid w:val="00AC42CC"/>
    <w:rsid w:val="00AC4F83"/>
    <w:rsid w:val="00AC5370"/>
    <w:rsid w:val="00AC5D3C"/>
    <w:rsid w:val="00AC5E40"/>
    <w:rsid w:val="00AC611E"/>
    <w:rsid w:val="00AC654E"/>
    <w:rsid w:val="00AC6715"/>
    <w:rsid w:val="00AC7DDD"/>
    <w:rsid w:val="00AD05B0"/>
    <w:rsid w:val="00AD0883"/>
    <w:rsid w:val="00AD1218"/>
    <w:rsid w:val="00AD1D53"/>
    <w:rsid w:val="00AD1DC9"/>
    <w:rsid w:val="00AD2E34"/>
    <w:rsid w:val="00AD390B"/>
    <w:rsid w:val="00AD3980"/>
    <w:rsid w:val="00AD40B2"/>
    <w:rsid w:val="00AD52A2"/>
    <w:rsid w:val="00AD6A92"/>
    <w:rsid w:val="00AD75E5"/>
    <w:rsid w:val="00AD76C8"/>
    <w:rsid w:val="00AD7F8B"/>
    <w:rsid w:val="00AE0E61"/>
    <w:rsid w:val="00AE0F38"/>
    <w:rsid w:val="00AE1A30"/>
    <w:rsid w:val="00AE1B17"/>
    <w:rsid w:val="00AE2177"/>
    <w:rsid w:val="00AE3DB8"/>
    <w:rsid w:val="00AE41BB"/>
    <w:rsid w:val="00AE456F"/>
    <w:rsid w:val="00AE4A7A"/>
    <w:rsid w:val="00AE4BDF"/>
    <w:rsid w:val="00AE55EB"/>
    <w:rsid w:val="00AE5972"/>
    <w:rsid w:val="00AE6623"/>
    <w:rsid w:val="00AE7A4D"/>
    <w:rsid w:val="00AE7E7B"/>
    <w:rsid w:val="00AF051F"/>
    <w:rsid w:val="00AF0FEC"/>
    <w:rsid w:val="00AF121C"/>
    <w:rsid w:val="00AF1388"/>
    <w:rsid w:val="00AF1853"/>
    <w:rsid w:val="00AF1A27"/>
    <w:rsid w:val="00AF1A3A"/>
    <w:rsid w:val="00AF1AF1"/>
    <w:rsid w:val="00AF2AF2"/>
    <w:rsid w:val="00AF3007"/>
    <w:rsid w:val="00AF427A"/>
    <w:rsid w:val="00AF48FE"/>
    <w:rsid w:val="00AF5CD3"/>
    <w:rsid w:val="00AF6C34"/>
    <w:rsid w:val="00AF7355"/>
    <w:rsid w:val="00AF7F1D"/>
    <w:rsid w:val="00B00A7F"/>
    <w:rsid w:val="00B01477"/>
    <w:rsid w:val="00B014D7"/>
    <w:rsid w:val="00B02664"/>
    <w:rsid w:val="00B0310B"/>
    <w:rsid w:val="00B03232"/>
    <w:rsid w:val="00B0353E"/>
    <w:rsid w:val="00B0594A"/>
    <w:rsid w:val="00B05A04"/>
    <w:rsid w:val="00B05ACB"/>
    <w:rsid w:val="00B06461"/>
    <w:rsid w:val="00B06F42"/>
    <w:rsid w:val="00B07125"/>
    <w:rsid w:val="00B071B2"/>
    <w:rsid w:val="00B07B8A"/>
    <w:rsid w:val="00B108C0"/>
    <w:rsid w:val="00B11815"/>
    <w:rsid w:val="00B12166"/>
    <w:rsid w:val="00B12269"/>
    <w:rsid w:val="00B12F44"/>
    <w:rsid w:val="00B13843"/>
    <w:rsid w:val="00B13B80"/>
    <w:rsid w:val="00B13F75"/>
    <w:rsid w:val="00B142FF"/>
    <w:rsid w:val="00B14D03"/>
    <w:rsid w:val="00B157FD"/>
    <w:rsid w:val="00B16988"/>
    <w:rsid w:val="00B17647"/>
    <w:rsid w:val="00B17E71"/>
    <w:rsid w:val="00B2019C"/>
    <w:rsid w:val="00B20507"/>
    <w:rsid w:val="00B20A42"/>
    <w:rsid w:val="00B20E28"/>
    <w:rsid w:val="00B21A9E"/>
    <w:rsid w:val="00B22E1F"/>
    <w:rsid w:val="00B231C1"/>
    <w:rsid w:val="00B231E7"/>
    <w:rsid w:val="00B23675"/>
    <w:rsid w:val="00B2371D"/>
    <w:rsid w:val="00B23943"/>
    <w:rsid w:val="00B2421E"/>
    <w:rsid w:val="00B2505F"/>
    <w:rsid w:val="00B25A5A"/>
    <w:rsid w:val="00B263B2"/>
    <w:rsid w:val="00B26FD7"/>
    <w:rsid w:val="00B275C8"/>
    <w:rsid w:val="00B278FF"/>
    <w:rsid w:val="00B30782"/>
    <w:rsid w:val="00B309A4"/>
    <w:rsid w:val="00B309E4"/>
    <w:rsid w:val="00B30A18"/>
    <w:rsid w:val="00B311A7"/>
    <w:rsid w:val="00B31475"/>
    <w:rsid w:val="00B31F5E"/>
    <w:rsid w:val="00B322A6"/>
    <w:rsid w:val="00B322AD"/>
    <w:rsid w:val="00B33DC9"/>
    <w:rsid w:val="00B34EB4"/>
    <w:rsid w:val="00B3566D"/>
    <w:rsid w:val="00B35E4F"/>
    <w:rsid w:val="00B3690B"/>
    <w:rsid w:val="00B36F60"/>
    <w:rsid w:val="00B37482"/>
    <w:rsid w:val="00B37F23"/>
    <w:rsid w:val="00B40B6C"/>
    <w:rsid w:val="00B40D05"/>
    <w:rsid w:val="00B41624"/>
    <w:rsid w:val="00B42106"/>
    <w:rsid w:val="00B429CD"/>
    <w:rsid w:val="00B42D9B"/>
    <w:rsid w:val="00B43638"/>
    <w:rsid w:val="00B451C3"/>
    <w:rsid w:val="00B45668"/>
    <w:rsid w:val="00B45993"/>
    <w:rsid w:val="00B467FA"/>
    <w:rsid w:val="00B46A12"/>
    <w:rsid w:val="00B46D88"/>
    <w:rsid w:val="00B46F30"/>
    <w:rsid w:val="00B47B76"/>
    <w:rsid w:val="00B5107F"/>
    <w:rsid w:val="00B5127E"/>
    <w:rsid w:val="00B51B23"/>
    <w:rsid w:val="00B51F22"/>
    <w:rsid w:val="00B52B99"/>
    <w:rsid w:val="00B53450"/>
    <w:rsid w:val="00B537DB"/>
    <w:rsid w:val="00B53AD8"/>
    <w:rsid w:val="00B54909"/>
    <w:rsid w:val="00B54CC5"/>
    <w:rsid w:val="00B552A7"/>
    <w:rsid w:val="00B56082"/>
    <w:rsid w:val="00B570E3"/>
    <w:rsid w:val="00B6017E"/>
    <w:rsid w:val="00B60669"/>
    <w:rsid w:val="00B610D2"/>
    <w:rsid w:val="00B61B38"/>
    <w:rsid w:val="00B61D4A"/>
    <w:rsid w:val="00B62A92"/>
    <w:rsid w:val="00B6362B"/>
    <w:rsid w:val="00B63720"/>
    <w:rsid w:val="00B641DD"/>
    <w:rsid w:val="00B6496A"/>
    <w:rsid w:val="00B64BE0"/>
    <w:rsid w:val="00B658FB"/>
    <w:rsid w:val="00B65F40"/>
    <w:rsid w:val="00B6604E"/>
    <w:rsid w:val="00B668B3"/>
    <w:rsid w:val="00B66DAE"/>
    <w:rsid w:val="00B6729B"/>
    <w:rsid w:val="00B673C4"/>
    <w:rsid w:val="00B71FE4"/>
    <w:rsid w:val="00B727FF"/>
    <w:rsid w:val="00B728BD"/>
    <w:rsid w:val="00B737B0"/>
    <w:rsid w:val="00B737C0"/>
    <w:rsid w:val="00B73D78"/>
    <w:rsid w:val="00B73E2D"/>
    <w:rsid w:val="00B7484E"/>
    <w:rsid w:val="00B74AE6"/>
    <w:rsid w:val="00B74D02"/>
    <w:rsid w:val="00B75290"/>
    <w:rsid w:val="00B757D8"/>
    <w:rsid w:val="00B757FD"/>
    <w:rsid w:val="00B75B04"/>
    <w:rsid w:val="00B75F4D"/>
    <w:rsid w:val="00B765F7"/>
    <w:rsid w:val="00B7697E"/>
    <w:rsid w:val="00B77B6D"/>
    <w:rsid w:val="00B77F5C"/>
    <w:rsid w:val="00B80005"/>
    <w:rsid w:val="00B807DE"/>
    <w:rsid w:val="00B80A63"/>
    <w:rsid w:val="00B814CD"/>
    <w:rsid w:val="00B82703"/>
    <w:rsid w:val="00B82765"/>
    <w:rsid w:val="00B8292B"/>
    <w:rsid w:val="00B82F69"/>
    <w:rsid w:val="00B840E4"/>
    <w:rsid w:val="00B84182"/>
    <w:rsid w:val="00B845D9"/>
    <w:rsid w:val="00B84DD7"/>
    <w:rsid w:val="00B85A01"/>
    <w:rsid w:val="00B86484"/>
    <w:rsid w:val="00B87A78"/>
    <w:rsid w:val="00B90EBB"/>
    <w:rsid w:val="00B91112"/>
    <w:rsid w:val="00B920DE"/>
    <w:rsid w:val="00B92517"/>
    <w:rsid w:val="00B92E4F"/>
    <w:rsid w:val="00B9353E"/>
    <w:rsid w:val="00B942CD"/>
    <w:rsid w:val="00B94CF6"/>
    <w:rsid w:val="00B95877"/>
    <w:rsid w:val="00B95D9B"/>
    <w:rsid w:val="00B960F4"/>
    <w:rsid w:val="00B9630E"/>
    <w:rsid w:val="00B96976"/>
    <w:rsid w:val="00B96C02"/>
    <w:rsid w:val="00B975E6"/>
    <w:rsid w:val="00B97658"/>
    <w:rsid w:val="00B9791B"/>
    <w:rsid w:val="00B9791F"/>
    <w:rsid w:val="00B97A8D"/>
    <w:rsid w:val="00BA0E9E"/>
    <w:rsid w:val="00BA12DE"/>
    <w:rsid w:val="00BA2627"/>
    <w:rsid w:val="00BA33B2"/>
    <w:rsid w:val="00BA4CB0"/>
    <w:rsid w:val="00BA5014"/>
    <w:rsid w:val="00BA6896"/>
    <w:rsid w:val="00BA6F06"/>
    <w:rsid w:val="00BA6FBE"/>
    <w:rsid w:val="00BA732C"/>
    <w:rsid w:val="00BB0584"/>
    <w:rsid w:val="00BB116A"/>
    <w:rsid w:val="00BB2244"/>
    <w:rsid w:val="00BB2455"/>
    <w:rsid w:val="00BB3EBD"/>
    <w:rsid w:val="00BB43D0"/>
    <w:rsid w:val="00BB48FA"/>
    <w:rsid w:val="00BB4E8C"/>
    <w:rsid w:val="00BB619A"/>
    <w:rsid w:val="00BB63C3"/>
    <w:rsid w:val="00BB779F"/>
    <w:rsid w:val="00BC0B2A"/>
    <w:rsid w:val="00BC19A9"/>
    <w:rsid w:val="00BC2F63"/>
    <w:rsid w:val="00BC3737"/>
    <w:rsid w:val="00BC3A06"/>
    <w:rsid w:val="00BC4212"/>
    <w:rsid w:val="00BC4394"/>
    <w:rsid w:val="00BC4642"/>
    <w:rsid w:val="00BC47D1"/>
    <w:rsid w:val="00BC4A82"/>
    <w:rsid w:val="00BC544E"/>
    <w:rsid w:val="00BC60E3"/>
    <w:rsid w:val="00BC6B02"/>
    <w:rsid w:val="00BC6E99"/>
    <w:rsid w:val="00BD13C6"/>
    <w:rsid w:val="00BD21A4"/>
    <w:rsid w:val="00BD3760"/>
    <w:rsid w:val="00BD41F8"/>
    <w:rsid w:val="00BD4DB3"/>
    <w:rsid w:val="00BD4E07"/>
    <w:rsid w:val="00BD529C"/>
    <w:rsid w:val="00BD6661"/>
    <w:rsid w:val="00BD70AF"/>
    <w:rsid w:val="00BD7790"/>
    <w:rsid w:val="00BE126F"/>
    <w:rsid w:val="00BE1499"/>
    <w:rsid w:val="00BE2580"/>
    <w:rsid w:val="00BE44F6"/>
    <w:rsid w:val="00BE4CCB"/>
    <w:rsid w:val="00BE4F17"/>
    <w:rsid w:val="00BE50AA"/>
    <w:rsid w:val="00BE5245"/>
    <w:rsid w:val="00BE5A22"/>
    <w:rsid w:val="00BE5AC1"/>
    <w:rsid w:val="00BE5B16"/>
    <w:rsid w:val="00BF0A5D"/>
    <w:rsid w:val="00BF1154"/>
    <w:rsid w:val="00BF1BCC"/>
    <w:rsid w:val="00BF1F8E"/>
    <w:rsid w:val="00BF2A1E"/>
    <w:rsid w:val="00BF2AA6"/>
    <w:rsid w:val="00BF2D7D"/>
    <w:rsid w:val="00BF303A"/>
    <w:rsid w:val="00BF322A"/>
    <w:rsid w:val="00BF3950"/>
    <w:rsid w:val="00BF3998"/>
    <w:rsid w:val="00BF3A7A"/>
    <w:rsid w:val="00BF4277"/>
    <w:rsid w:val="00BF4354"/>
    <w:rsid w:val="00BF47DC"/>
    <w:rsid w:val="00BF4BE8"/>
    <w:rsid w:val="00BF4EFA"/>
    <w:rsid w:val="00BF67BA"/>
    <w:rsid w:val="00BF705E"/>
    <w:rsid w:val="00BF7C03"/>
    <w:rsid w:val="00C000FB"/>
    <w:rsid w:val="00C0150E"/>
    <w:rsid w:val="00C01523"/>
    <w:rsid w:val="00C01694"/>
    <w:rsid w:val="00C01C79"/>
    <w:rsid w:val="00C02B28"/>
    <w:rsid w:val="00C04193"/>
    <w:rsid w:val="00C04D11"/>
    <w:rsid w:val="00C05CFE"/>
    <w:rsid w:val="00C06D8A"/>
    <w:rsid w:val="00C076FF"/>
    <w:rsid w:val="00C10526"/>
    <w:rsid w:val="00C129F4"/>
    <w:rsid w:val="00C12F5D"/>
    <w:rsid w:val="00C133E3"/>
    <w:rsid w:val="00C136FA"/>
    <w:rsid w:val="00C13CF2"/>
    <w:rsid w:val="00C14F6B"/>
    <w:rsid w:val="00C208BF"/>
    <w:rsid w:val="00C20A26"/>
    <w:rsid w:val="00C211A8"/>
    <w:rsid w:val="00C215B9"/>
    <w:rsid w:val="00C2252F"/>
    <w:rsid w:val="00C237A4"/>
    <w:rsid w:val="00C23E33"/>
    <w:rsid w:val="00C2406F"/>
    <w:rsid w:val="00C24188"/>
    <w:rsid w:val="00C245F3"/>
    <w:rsid w:val="00C248BD"/>
    <w:rsid w:val="00C25D20"/>
    <w:rsid w:val="00C264E4"/>
    <w:rsid w:val="00C26747"/>
    <w:rsid w:val="00C2742C"/>
    <w:rsid w:val="00C278BE"/>
    <w:rsid w:val="00C30096"/>
    <w:rsid w:val="00C315FF"/>
    <w:rsid w:val="00C31B9D"/>
    <w:rsid w:val="00C31CAC"/>
    <w:rsid w:val="00C31DB8"/>
    <w:rsid w:val="00C32CED"/>
    <w:rsid w:val="00C33263"/>
    <w:rsid w:val="00C34369"/>
    <w:rsid w:val="00C34476"/>
    <w:rsid w:val="00C35326"/>
    <w:rsid w:val="00C36B5E"/>
    <w:rsid w:val="00C37BB9"/>
    <w:rsid w:val="00C40435"/>
    <w:rsid w:val="00C40FF6"/>
    <w:rsid w:val="00C4175C"/>
    <w:rsid w:val="00C42707"/>
    <w:rsid w:val="00C4299A"/>
    <w:rsid w:val="00C42F54"/>
    <w:rsid w:val="00C4448F"/>
    <w:rsid w:val="00C446F2"/>
    <w:rsid w:val="00C454AE"/>
    <w:rsid w:val="00C45719"/>
    <w:rsid w:val="00C462C9"/>
    <w:rsid w:val="00C47111"/>
    <w:rsid w:val="00C47B51"/>
    <w:rsid w:val="00C50709"/>
    <w:rsid w:val="00C515F1"/>
    <w:rsid w:val="00C518C0"/>
    <w:rsid w:val="00C51ACE"/>
    <w:rsid w:val="00C51E50"/>
    <w:rsid w:val="00C520B6"/>
    <w:rsid w:val="00C5400E"/>
    <w:rsid w:val="00C541F5"/>
    <w:rsid w:val="00C54B6E"/>
    <w:rsid w:val="00C54D05"/>
    <w:rsid w:val="00C5503C"/>
    <w:rsid w:val="00C556B2"/>
    <w:rsid w:val="00C561C1"/>
    <w:rsid w:val="00C56215"/>
    <w:rsid w:val="00C571C6"/>
    <w:rsid w:val="00C57290"/>
    <w:rsid w:val="00C5731E"/>
    <w:rsid w:val="00C630F4"/>
    <w:rsid w:val="00C643F5"/>
    <w:rsid w:val="00C65442"/>
    <w:rsid w:val="00C65E5D"/>
    <w:rsid w:val="00C66276"/>
    <w:rsid w:val="00C66E55"/>
    <w:rsid w:val="00C6732E"/>
    <w:rsid w:val="00C6757A"/>
    <w:rsid w:val="00C6766F"/>
    <w:rsid w:val="00C7022F"/>
    <w:rsid w:val="00C7035E"/>
    <w:rsid w:val="00C7046E"/>
    <w:rsid w:val="00C70A4C"/>
    <w:rsid w:val="00C71D22"/>
    <w:rsid w:val="00C71E37"/>
    <w:rsid w:val="00C7212E"/>
    <w:rsid w:val="00C72BCF"/>
    <w:rsid w:val="00C73678"/>
    <w:rsid w:val="00C746FE"/>
    <w:rsid w:val="00C74DE4"/>
    <w:rsid w:val="00C75243"/>
    <w:rsid w:val="00C7580D"/>
    <w:rsid w:val="00C75E3F"/>
    <w:rsid w:val="00C75E6D"/>
    <w:rsid w:val="00C75F29"/>
    <w:rsid w:val="00C76458"/>
    <w:rsid w:val="00C767D7"/>
    <w:rsid w:val="00C769AB"/>
    <w:rsid w:val="00C774A6"/>
    <w:rsid w:val="00C7774E"/>
    <w:rsid w:val="00C80681"/>
    <w:rsid w:val="00C80C12"/>
    <w:rsid w:val="00C80C5B"/>
    <w:rsid w:val="00C8173C"/>
    <w:rsid w:val="00C82E83"/>
    <w:rsid w:val="00C84B92"/>
    <w:rsid w:val="00C85793"/>
    <w:rsid w:val="00C8633A"/>
    <w:rsid w:val="00C867B7"/>
    <w:rsid w:val="00C86BEF"/>
    <w:rsid w:val="00C870E8"/>
    <w:rsid w:val="00C909F4"/>
    <w:rsid w:val="00C90C47"/>
    <w:rsid w:val="00C91382"/>
    <w:rsid w:val="00C91793"/>
    <w:rsid w:val="00C91B1D"/>
    <w:rsid w:val="00C91CF1"/>
    <w:rsid w:val="00C91FDE"/>
    <w:rsid w:val="00C92CCE"/>
    <w:rsid w:val="00C9362C"/>
    <w:rsid w:val="00C939D7"/>
    <w:rsid w:val="00C93DD8"/>
    <w:rsid w:val="00C94112"/>
    <w:rsid w:val="00C94EA3"/>
    <w:rsid w:val="00C94FC3"/>
    <w:rsid w:val="00C95653"/>
    <w:rsid w:val="00C95E06"/>
    <w:rsid w:val="00C97B4C"/>
    <w:rsid w:val="00C97FBD"/>
    <w:rsid w:val="00CA05EC"/>
    <w:rsid w:val="00CA1111"/>
    <w:rsid w:val="00CA11F6"/>
    <w:rsid w:val="00CA15F9"/>
    <w:rsid w:val="00CA1CDE"/>
    <w:rsid w:val="00CA27EB"/>
    <w:rsid w:val="00CA27FF"/>
    <w:rsid w:val="00CA284F"/>
    <w:rsid w:val="00CA3503"/>
    <w:rsid w:val="00CA4342"/>
    <w:rsid w:val="00CA435E"/>
    <w:rsid w:val="00CA4904"/>
    <w:rsid w:val="00CA4CF0"/>
    <w:rsid w:val="00CA5838"/>
    <w:rsid w:val="00CA64B0"/>
    <w:rsid w:val="00CA6974"/>
    <w:rsid w:val="00CA7033"/>
    <w:rsid w:val="00CB02F9"/>
    <w:rsid w:val="00CB0D25"/>
    <w:rsid w:val="00CB131F"/>
    <w:rsid w:val="00CB1602"/>
    <w:rsid w:val="00CB189F"/>
    <w:rsid w:val="00CB1B55"/>
    <w:rsid w:val="00CB2A11"/>
    <w:rsid w:val="00CB2E03"/>
    <w:rsid w:val="00CB40E4"/>
    <w:rsid w:val="00CB614F"/>
    <w:rsid w:val="00CB683B"/>
    <w:rsid w:val="00CB6E0C"/>
    <w:rsid w:val="00CB7F41"/>
    <w:rsid w:val="00CC017D"/>
    <w:rsid w:val="00CC16D0"/>
    <w:rsid w:val="00CC28EE"/>
    <w:rsid w:val="00CC31F3"/>
    <w:rsid w:val="00CC4DD1"/>
    <w:rsid w:val="00CC602C"/>
    <w:rsid w:val="00CC6477"/>
    <w:rsid w:val="00CC6DC5"/>
    <w:rsid w:val="00CC75DB"/>
    <w:rsid w:val="00CD03DD"/>
    <w:rsid w:val="00CD051E"/>
    <w:rsid w:val="00CD0842"/>
    <w:rsid w:val="00CD1023"/>
    <w:rsid w:val="00CD128C"/>
    <w:rsid w:val="00CD1CE0"/>
    <w:rsid w:val="00CD203E"/>
    <w:rsid w:val="00CD26E7"/>
    <w:rsid w:val="00CD3100"/>
    <w:rsid w:val="00CD4B2D"/>
    <w:rsid w:val="00CD51A6"/>
    <w:rsid w:val="00CD55E6"/>
    <w:rsid w:val="00CD5977"/>
    <w:rsid w:val="00CD5CC1"/>
    <w:rsid w:val="00CD5DEC"/>
    <w:rsid w:val="00CD65EE"/>
    <w:rsid w:val="00CD75A3"/>
    <w:rsid w:val="00CE005D"/>
    <w:rsid w:val="00CE019D"/>
    <w:rsid w:val="00CE01B6"/>
    <w:rsid w:val="00CE086C"/>
    <w:rsid w:val="00CE2301"/>
    <w:rsid w:val="00CE2316"/>
    <w:rsid w:val="00CE3885"/>
    <w:rsid w:val="00CE4E10"/>
    <w:rsid w:val="00CE53E3"/>
    <w:rsid w:val="00CE53E8"/>
    <w:rsid w:val="00CE5579"/>
    <w:rsid w:val="00CE611E"/>
    <w:rsid w:val="00CE6601"/>
    <w:rsid w:val="00CE67CE"/>
    <w:rsid w:val="00CE7020"/>
    <w:rsid w:val="00CE7BC5"/>
    <w:rsid w:val="00CE7D81"/>
    <w:rsid w:val="00CF16F3"/>
    <w:rsid w:val="00CF265B"/>
    <w:rsid w:val="00CF2A98"/>
    <w:rsid w:val="00CF2B5C"/>
    <w:rsid w:val="00CF2C1D"/>
    <w:rsid w:val="00CF2F8C"/>
    <w:rsid w:val="00CF3057"/>
    <w:rsid w:val="00CF3458"/>
    <w:rsid w:val="00CF3A47"/>
    <w:rsid w:val="00CF3FCE"/>
    <w:rsid w:val="00CF400F"/>
    <w:rsid w:val="00CF4460"/>
    <w:rsid w:val="00CF5B11"/>
    <w:rsid w:val="00CF5F46"/>
    <w:rsid w:val="00CF6B33"/>
    <w:rsid w:val="00CF7E90"/>
    <w:rsid w:val="00D022CB"/>
    <w:rsid w:val="00D02750"/>
    <w:rsid w:val="00D029D1"/>
    <w:rsid w:val="00D036A4"/>
    <w:rsid w:val="00D03856"/>
    <w:rsid w:val="00D03AE4"/>
    <w:rsid w:val="00D05372"/>
    <w:rsid w:val="00D05479"/>
    <w:rsid w:val="00D055D3"/>
    <w:rsid w:val="00D05D39"/>
    <w:rsid w:val="00D06B24"/>
    <w:rsid w:val="00D1009B"/>
    <w:rsid w:val="00D100E8"/>
    <w:rsid w:val="00D10553"/>
    <w:rsid w:val="00D105BB"/>
    <w:rsid w:val="00D117AE"/>
    <w:rsid w:val="00D11938"/>
    <w:rsid w:val="00D11B88"/>
    <w:rsid w:val="00D11DEF"/>
    <w:rsid w:val="00D12C77"/>
    <w:rsid w:val="00D12C9F"/>
    <w:rsid w:val="00D13760"/>
    <w:rsid w:val="00D13E4F"/>
    <w:rsid w:val="00D14046"/>
    <w:rsid w:val="00D1434C"/>
    <w:rsid w:val="00D143AC"/>
    <w:rsid w:val="00D1459E"/>
    <w:rsid w:val="00D14E58"/>
    <w:rsid w:val="00D154F9"/>
    <w:rsid w:val="00D15C00"/>
    <w:rsid w:val="00D16E66"/>
    <w:rsid w:val="00D17478"/>
    <w:rsid w:val="00D202C5"/>
    <w:rsid w:val="00D20B23"/>
    <w:rsid w:val="00D21B64"/>
    <w:rsid w:val="00D21F98"/>
    <w:rsid w:val="00D2263F"/>
    <w:rsid w:val="00D23C4D"/>
    <w:rsid w:val="00D24A48"/>
    <w:rsid w:val="00D24AB4"/>
    <w:rsid w:val="00D24D97"/>
    <w:rsid w:val="00D24DAA"/>
    <w:rsid w:val="00D25D1F"/>
    <w:rsid w:val="00D25E0A"/>
    <w:rsid w:val="00D260B5"/>
    <w:rsid w:val="00D265C9"/>
    <w:rsid w:val="00D2677A"/>
    <w:rsid w:val="00D2714C"/>
    <w:rsid w:val="00D271C3"/>
    <w:rsid w:val="00D2790A"/>
    <w:rsid w:val="00D3004D"/>
    <w:rsid w:val="00D302DF"/>
    <w:rsid w:val="00D306A6"/>
    <w:rsid w:val="00D3253D"/>
    <w:rsid w:val="00D326CF"/>
    <w:rsid w:val="00D32D15"/>
    <w:rsid w:val="00D33BBB"/>
    <w:rsid w:val="00D33DC3"/>
    <w:rsid w:val="00D351C9"/>
    <w:rsid w:val="00D365C3"/>
    <w:rsid w:val="00D36F7C"/>
    <w:rsid w:val="00D37F3E"/>
    <w:rsid w:val="00D40367"/>
    <w:rsid w:val="00D40EF5"/>
    <w:rsid w:val="00D41D34"/>
    <w:rsid w:val="00D425A9"/>
    <w:rsid w:val="00D426B7"/>
    <w:rsid w:val="00D42A1A"/>
    <w:rsid w:val="00D43BEC"/>
    <w:rsid w:val="00D44351"/>
    <w:rsid w:val="00D449F1"/>
    <w:rsid w:val="00D45726"/>
    <w:rsid w:val="00D45D42"/>
    <w:rsid w:val="00D45E8C"/>
    <w:rsid w:val="00D45F23"/>
    <w:rsid w:val="00D46021"/>
    <w:rsid w:val="00D46210"/>
    <w:rsid w:val="00D466A7"/>
    <w:rsid w:val="00D4703D"/>
    <w:rsid w:val="00D47EE3"/>
    <w:rsid w:val="00D5072A"/>
    <w:rsid w:val="00D51506"/>
    <w:rsid w:val="00D51E27"/>
    <w:rsid w:val="00D51E62"/>
    <w:rsid w:val="00D52696"/>
    <w:rsid w:val="00D5285C"/>
    <w:rsid w:val="00D5300E"/>
    <w:rsid w:val="00D531A5"/>
    <w:rsid w:val="00D5335E"/>
    <w:rsid w:val="00D5392F"/>
    <w:rsid w:val="00D54BB1"/>
    <w:rsid w:val="00D5505E"/>
    <w:rsid w:val="00D56089"/>
    <w:rsid w:val="00D56738"/>
    <w:rsid w:val="00D56827"/>
    <w:rsid w:val="00D5777D"/>
    <w:rsid w:val="00D60197"/>
    <w:rsid w:val="00D6029C"/>
    <w:rsid w:val="00D60635"/>
    <w:rsid w:val="00D60F5A"/>
    <w:rsid w:val="00D614BF"/>
    <w:rsid w:val="00D61D1D"/>
    <w:rsid w:val="00D62847"/>
    <w:rsid w:val="00D630C1"/>
    <w:rsid w:val="00D6354E"/>
    <w:rsid w:val="00D636C3"/>
    <w:rsid w:val="00D6403C"/>
    <w:rsid w:val="00D642CA"/>
    <w:rsid w:val="00D6478E"/>
    <w:rsid w:val="00D64BD3"/>
    <w:rsid w:val="00D64FEA"/>
    <w:rsid w:val="00D65970"/>
    <w:rsid w:val="00D659FB"/>
    <w:rsid w:val="00D65B4D"/>
    <w:rsid w:val="00D66F0B"/>
    <w:rsid w:val="00D673D4"/>
    <w:rsid w:val="00D67A6E"/>
    <w:rsid w:val="00D67B13"/>
    <w:rsid w:val="00D67D6B"/>
    <w:rsid w:val="00D67EA4"/>
    <w:rsid w:val="00D706CB"/>
    <w:rsid w:val="00D70EE6"/>
    <w:rsid w:val="00D72196"/>
    <w:rsid w:val="00D72378"/>
    <w:rsid w:val="00D727A2"/>
    <w:rsid w:val="00D73593"/>
    <w:rsid w:val="00D745B0"/>
    <w:rsid w:val="00D753D0"/>
    <w:rsid w:val="00D75F82"/>
    <w:rsid w:val="00D76249"/>
    <w:rsid w:val="00D766DE"/>
    <w:rsid w:val="00D76E0D"/>
    <w:rsid w:val="00D7736E"/>
    <w:rsid w:val="00D809D3"/>
    <w:rsid w:val="00D80E89"/>
    <w:rsid w:val="00D82974"/>
    <w:rsid w:val="00D83213"/>
    <w:rsid w:val="00D83263"/>
    <w:rsid w:val="00D83B96"/>
    <w:rsid w:val="00D84533"/>
    <w:rsid w:val="00D846B6"/>
    <w:rsid w:val="00D84A16"/>
    <w:rsid w:val="00D84B4E"/>
    <w:rsid w:val="00D862D3"/>
    <w:rsid w:val="00D86462"/>
    <w:rsid w:val="00D86768"/>
    <w:rsid w:val="00D9064B"/>
    <w:rsid w:val="00D90698"/>
    <w:rsid w:val="00D9086D"/>
    <w:rsid w:val="00D90D74"/>
    <w:rsid w:val="00D91E60"/>
    <w:rsid w:val="00D9241E"/>
    <w:rsid w:val="00D936FB"/>
    <w:rsid w:val="00D9396B"/>
    <w:rsid w:val="00D93E53"/>
    <w:rsid w:val="00D93FD1"/>
    <w:rsid w:val="00D94793"/>
    <w:rsid w:val="00D953F6"/>
    <w:rsid w:val="00D95723"/>
    <w:rsid w:val="00D95732"/>
    <w:rsid w:val="00D97F20"/>
    <w:rsid w:val="00DA0823"/>
    <w:rsid w:val="00DA0A6E"/>
    <w:rsid w:val="00DA0CBB"/>
    <w:rsid w:val="00DA10DD"/>
    <w:rsid w:val="00DA1F44"/>
    <w:rsid w:val="00DA2083"/>
    <w:rsid w:val="00DA326F"/>
    <w:rsid w:val="00DA3843"/>
    <w:rsid w:val="00DA3E23"/>
    <w:rsid w:val="00DA42FF"/>
    <w:rsid w:val="00DA4452"/>
    <w:rsid w:val="00DA4769"/>
    <w:rsid w:val="00DA4B54"/>
    <w:rsid w:val="00DA4F24"/>
    <w:rsid w:val="00DA520A"/>
    <w:rsid w:val="00DA5866"/>
    <w:rsid w:val="00DA5A7E"/>
    <w:rsid w:val="00DA68E7"/>
    <w:rsid w:val="00DA6C1A"/>
    <w:rsid w:val="00DA7234"/>
    <w:rsid w:val="00DB15EA"/>
    <w:rsid w:val="00DB1934"/>
    <w:rsid w:val="00DB1DD0"/>
    <w:rsid w:val="00DB1E79"/>
    <w:rsid w:val="00DB29AF"/>
    <w:rsid w:val="00DB2BE0"/>
    <w:rsid w:val="00DB34DA"/>
    <w:rsid w:val="00DB354B"/>
    <w:rsid w:val="00DB441B"/>
    <w:rsid w:val="00DB4D2B"/>
    <w:rsid w:val="00DB5F34"/>
    <w:rsid w:val="00DB6CE7"/>
    <w:rsid w:val="00DB6D46"/>
    <w:rsid w:val="00DB78F3"/>
    <w:rsid w:val="00DC0FBE"/>
    <w:rsid w:val="00DC104F"/>
    <w:rsid w:val="00DC13C6"/>
    <w:rsid w:val="00DC1EE7"/>
    <w:rsid w:val="00DC253D"/>
    <w:rsid w:val="00DC2D13"/>
    <w:rsid w:val="00DC39F0"/>
    <w:rsid w:val="00DC3F24"/>
    <w:rsid w:val="00DC4CE0"/>
    <w:rsid w:val="00DC51C5"/>
    <w:rsid w:val="00DC560F"/>
    <w:rsid w:val="00DC596D"/>
    <w:rsid w:val="00DC598A"/>
    <w:rsid w:val="00DC5CF3"/>
    <w:rsid w:val="00DC68EF"/>
    <w:rsid w:val="00DC69C3"/>
    <w:rsid w:val="00DC6C1D"/>
    <w:rsid w:val="00DC6D6C"/>
    <w:rsid w:val="00DC74F1"/>
    <w:rsid w:val="00DC7767"/>
    <w:rsid w:val="00DD01C2"/>
    <w:rsid w:val="00DD1014"/>
    <w:rsid w:val="00DD1717"/>
    <w:rsid w:val="00DD1811"/>
    <w:rsid w:val="00DD238B"/>
    <w:rsid w:val="00DD242B"/>
    <w:rsid w:val="00DD2435"/>
    <w:rsid w:val="00DD2AAE"/>
    <w:rsid w:val="00DD50A2"/>
    <w:rsid w:val="00DD5455"/>
    <w:rsid w:val="00DD56B9"/>
    <w:rsid w:val="00DD607B"/>
    <w:rsid w:val="00DD6083"/>
    <w:rsid w:val="00DD6559"/>
    <w:rsid w:val="00DD7393"/>
    <w:rsid w:val="00DD7E99"/>
    <w:rsid w:val="00DE0133"/>
    <w:rsid w:val="00DE0E7E"/>
    <w:rsid w:val="00DE29DE"/>
    <w:rsid w:val="00DE2A22"/>
    <w:rsid w:val="00DE3660"/>
    <w:rsid w:val="00DE37C0"/>
    <w:rsid w:val="00DE4C19"/>
    <w:rsid w:val="00DE5352"/>
    <w:rsid w:val="00DE53D1"/>
    <w:rsid w:val="00DE559D"/>
    <w:rsid w:val="00DE5D35"/>
    <w:rsid w:val="00DE62FB"/>
    <w:rsid w:val="00DE6637"/>
    <w:rsid w:val="00DE6C2B"/>
    <w:rsid w:val="00DE6C57"/>
    <w:rsid w:val="00DE6EDF"/>
    <w:rsid w:val="00DE732D"/>
    <w:rsid w:val="00DF0618"/>
    <w:rsid w:val="00DF0A63"/>
    <w:rsid w:val="00DF2015"/>
    <w:rsid w:val="00DF226A"/>
    <w:rsid w:val="00DF2419"/>
    <w:rsid w:val="00DF2611"/>
    <w:rsid w:val="00DF2718"/>
    <w:rsid w:val="00DF2B22"/>
    <w:rsid w:val="00DF2D1E"/>
    <w:rsid w:val="00DF347D"/>
    <w:rsid w:val="00DF357F"/>
    <w:rsid w:val="00DF38D3"/>
    <w:rsid w:val="00DF3DEA"/>
    <w:rsid w:val="00DF4332"/>
    <w:rsid w:val="00DF501F"/>
    <w:rsid w:val="00DF5969"/>
    <w:rsid w:val="00DF6317"/>
    <w:rsid w:val="00DF6552"/>
    <w:rsid w:val="00DF68A1"/>
    <w:rsid w:val="00DF7BD2"/>
    <w:rsid w:val="00DF7BE3"/>
    <w:rsid w:val="00E00556"/>
    <w:rsid w:val="00E005B3"/>
    <w:rsid w:val="00E00784"/>
    <w:rsid w:val="00E02275"/>
    <w:rsid w:val="00E02BC5"/>
    <w:rsid w:val="00E03130"/>
    <w:rsid w:val="00E0318F"/>
    <w:rsid w:val="00E035CB"/>
    <w:rsid w:val="00E037C7"/>
    <w:rsid w:val="00E0383F"/>
    <w:rsid w:val="00E03A8C"/>
    <w:rsid w:val="00E0480A"/>
    <w:rsid w:val="00E04E62"/>
    <w:rsid w:val="00E05233"/>
    <w:rsid w:val="00E064FD"/>
    <w:rsid w:val="00E07265"/>
    <w:rsid w:val="00E07486"/>
    <w:rsid w:val="00E07668"/>
    <w:rsid w:val="00E07FF9"/>
    <w:rsid w:val="00E10518"/>
    <w:rsid w:val="00E1129F"/>
    <w:rsid w:val="00E124FB"/>
    <w:rsid w:val="00E13DE1"/>
    <w:rsid w:val="00E14708"/>
    <w:rsid w:val="00E14D69"/>
    <w:rsid w:val="00E157FF"/>
    <w:rsid w:val="00E15CBC"/>
    <w:rsid w:val="00E15ED5"/>
    <w:rsid w:val="00E1715C"/>
    <w:rsid w:val="00E17259"/>
    <w:rsid w:val="00E17D7A"/>
    <w:rsid w:val="00E205BE"/>
    <w:rsid w:val="00E2210C"/>
    <w:rsid w:val="00E22314"/>
    <w:rsid w:val="00E2332D"/>
    <w:rsid w:val="00E24633"/>
    <w:rsid w:val="00E24E6A"/>
    <w:rsid w:val="00E25188"/>
    <w:rsid w:val="00E257C1"/>
    <w:rsid w:val="00E263F0"/>
    <w:rsid w:val="00E26480"/>
    <w:rsid w:val="00E264FE"/>
    <w:rsid w:val="00E26917"/>
    <w:rsid w:val="00E26D8F"/>
    <w:rsid w:val="00E2769A"/>
    <w:rsid w:val="00E279FA"/>
    <w:rsid w:val="00E27B48"/>
    <w:rsid w:val="00E3087E"/>
    <w:rsid w:val="00E30C95"/>
    <w:rsid w:val="00E3126B"/>
    <w:rsid w:val="00E31D64"/>
    <w:rsid w:val="00E320CF"/>
    <w:rsid w:val="00E323D0"/>
    <w:rsid w:val="00E32A1F"/>
    <w:rsid w:val="00E34407"/>
    <w:rsid w:val="00E34604"/>
    <w:rsid w:val="00E34B9A"/>
    <w:rsid w:val="00E35620"/>
    <w:rsid w:val="00E36668"/>
    <w:rsid w:val="00E372EB"/>
    <w:rsid w:val="00E40613"/>
    <w:rsid w:val="00E407E4"/>
    <w:rsid w:val="00E40E40"/>
    <w:rsid w:val="00E41ACE"/>
    <w:rsid w:val="00E41BFC"/>
    <w:rsid w:val="00E42041"/>
    <w:rsid w:val="00E42A94"/>
    <w:rsid w:val="00E43214"/>
    <w:rsid w:val="00E4350D"/>
    <w:rsid w:val="00E43951"/>
    <w:rsid w:val="00E449A4"/>
    <w:rsid w:val="00E44F0D"/>
    <w:rsid w:val="00E45DE3"/>
    <w:rsid w:val="00E46520"/>
    <w:rsid w:val="00E46CEC"/>
    <w:rsid w:val="00E471E1"/>
    <w:rsid w:val="00E50313"/>
    <w:rsid w:val="00E5043F"/>
    <w:rsid w:val="00E50BF1"/>
    <w:rsid w:val="00E5111A"/>
    <w:rsid w:val="00E51209"/>
    <w:rsid w:val="00E519D7"/>
    <w:rsid w:val="00E526AE"/>
    <w:rsid w:val="00E526B0"/>
    <w:rsid w:val="00E53872"/>
    <w:rsid w:val="00E5418C"/>
    <w:rsid w:val="00E54A38"/>
    <w:rsid w:val="00E55925"/>
    <w:rsid w:val="00E56007"/>
    <w:rsid w:val="00E5688E"/>
    <w:rsid w:val="00E5711D"/>
    <w:rsid w:val="00E5777F"/>
    <w:rsid w:val="00E60150"/>
    <w:rsid w:val="00E60F1B"/>
    <w:rsid w:val="00E61860"/>
    <w:rsid w:val="00E621C4"/>
    <w:rsid w:val="00E62538"/>
    <w:rsid w:val="00E629A1"/>
    <w:rsid w:val="00E62A5E"/>
    <w:rsid w:val="00E63501"/>
    <w:rsid w:val="00E63595"/>
    <w:rsid w:val="00E64F65"/>
    <w:rsid w:val="00E65724"/>
    <w:rsid w:val="00E65B01"/>
    <w:rsid w:val="00E66157"/>
    <w:rsid w:val="00E6639E"/>
    <w:rsid w:val="00E66D91"/>
    <w:rsid w:val="00E67034"/>
    <w:rsid w:val="00E6727A"/>
    <w:rsid w:val="00E7002B"/>
    <w:rsid w:val="00E7052F"/>
    <w:rsid w:val="00E711A2"/>
    <w:rsid w:val="00E7126F"/>
    <w:rsid w:val="00E713F9"/>
    <w:rsid w:val="00E714DB"/>
    <w:rsid w:val="00E726C4"/>
    <w:rsid w:val="00E735C9"/>
    <w:rsid w:val="00E73D09"/>
    <w:rsid w:val="00E757CB"/>
    <w:rsid w:val="00E75D91"/>
    <w:rsid w:val="00E76107"/>
    <w:rsid w:val="00E762F6"/>
    <w:rsid w:val="00E7702F"/>
    <w:rsid w:val="00E77346"/>
    <w:rsid w:val="00E77ED7"/>
    <w:rsid w:val="00E77FEA"/>
    <w:rsid w:val="00E80304"/>
    <w:rsid w:val="00E80A8B"/>
    <w:rsid w:val="00E81E29"/>
    <w:rsid w:val="00E820AB"/>
    <w:rsid w:val="00E82C42"/>
    <w:rsid w:val="00E83490"/>
    <w:rsid w:val="00E834AB"/>
    <w:rsid w:val="00E83982"/>
    <w:rsid w:val="00E83A3A"/>
    <w:rsid w:val="00E844F2"/>
    <w:rsid w:val="00E8497A"/>
    <w:rsid w:val="00E85435"/>
    <w:rsid w:val="00E85586"/>
    <w:rsid w:val="00E8796F"/>
    <w:rsid w:val="00E9016D"/>
    <w:rsid w:val="00E9037D"/>
    <w:rsid w:val="00E9086D"/>
    <w:rsid w:val="00E91636"/>
    <w:rsid w:val="00E92AC4"/>
    <w:rsid w:val="00E92F52"/>
    <w:rsid w:val="00E930AA"/>
    <w:rsid w:val="00E9331C"/>
    <w:rsid w:val="00E9399D"/>
    <w:rsid w:val="00E93BE8"/>
    <w:rsid w:val="00E95508"/>
    <w:rsid w:val="00E96B53"/>
    <w:rsid w:val="00E96C99"/>
    <w:rsid w:val="00E96D7A"/>
    <w:rsid w:val="00EA15A0"/>
    <w:rsid w:val="00EA1BF9"/>
    <w:rsid w:val="00EA1EF7"/>
    <w:rsid w:val="00EA2366"/>
    <w:rsid w:val="00EA25F9"/>
    <w:rsid w:val="00EA322A"/>
    <w:rsid w:val="00EA348E"/>
    <w:rsid w:val="00EA420B"/>
    <w:rsid w:val="00EA46C9"/>
    <w:rsid w:val="00EA4761"/>
    <w:rsid w:val="00EA48C4"/>
    <w:rsid w:val="00EA4F33"/>
    <w:rsid w:val="00EA5A0E"/>
    <w:rsid w:val="00EA5C72"/>
    <w:rsid w:val="00EA5E6B"/>
    <w:rsid w:val="00EA61DC"/>
    <w:rsid w:val="00EA6404"/>
    <w:rsid w:val="00EA74E3"/>
    <w:rsid w:val="00EB0064"/>
    <w:rsid w:val="00EB0098"/>
    <w:rsid w:val="00EB06A7"/>
    <w:rsid w:val="00EB0925"/>
    <w:rsid w:val="00EB166A"/>
    <w:rsid w:val="00EB2FA5"/>
    <w:rsid w:val="00EB399A"/>
    <w:rsid w:val="00EB3A18"/>
    <w:rsid w:val="00EB3F08"/>
    <w:rsid w:val="00EB4608"/>
    <w:rsid w:val="00EB47C3"/>
    <w:rsid w:val="00EB4DF2"/>
    <w:rsid w:val="00EB4FF1"/>
    <w:rsid w:val="00EB5D3E"/>
    <w:rsid w:val="00EB5D57"/>
    <w:rsid w:val="00EB5D6B"/>
    <w:rsid w:val="00EB5DB6"/>
    <w:rsid w:val="00EB6DD3"/>
    <w:rsid w:val="00EB6E7C"/>
    <w:rsid w:val="00EB6E7D"/>
    <w:rsid w:val="00EB70E7"/>
    <w:rsid w:val="00EB78FC"/>
    <w:rsid w:val="00EC0287"/>
    <w:rsid w:val="00EC121B"/>
    <w:rsid w:val="00EC13B4"/>
    <w:rsid w:val="00EC19BB"/>
    <w:rsid w:val="00EC1D67"/>
    <w:rsid w:val="00EC369A"/>
    <w:rsid w:val="00EC452A"/>
    <w:rsid w:val="00EC6286"/>
    <w:rsid w:val="00EC6295"/>
    <w:rsid w:val="00EC636D"/>
    <w:rsid w:val="00EC6416"/>
    <w:rsid w:val="00EC653C"/>
    <w:rsid w:val="00EC656C"/>
    <w:rsid w:val="00EC6723"/>
    <w:rsid w:val="00EC6D62"/>
    <w:rsid w:val="00EC7258"/>
    <w:rsid w:val="00ED0408"/>
    <w:rsid w:val="00ED0773"/>
    <w:rsid w:val="00ED0FD0"/>
    <w:rsid w:val="00ED1570"/>
    <w:rsid w:val="00ED18B2"/>
    <w:rsid w:val="00ED1941"/>
    <w:rsid w:val="00ED1A9D"/>
    <w:rsid w:val="00ED1E8A"/>
    <w:rsid w:val="00ED2BCA"/>
    <w:rsid w:val="00ED2C44"/>
    <w:rsid w:val="00ED450A"/>
    <w:rsid w:val="00ED4A74"/>
    <w:rsid w:val="00ED5134"/>
    <w:rsid w:val="00ED5A6A"/>
    <w:rsid w:val="00ED759C"/>
    <w:rsid w:val="00EE01FE"/>
    <w:rsid w:val="00EE04E3"/>
    <w:rsid w:val="00EE0B63"/>
    <w:rsid w:val="00EE24AD"/>
    <w:rsid w:val="00EE4277"/>
    <w:rsid w:val="00EE4CE5"/>
    <w:rsid w:val="00EE4EA1"/>
    <w:rsid w:val="00EE53A5"/>
    <w:rsid w:val="00EE5AA6"/>
    <w:rsid w:val="00EE6C6D"/>
    <w:rsid w:val="00EE6CD2"/>
    <w:rsid w:val="00EE72F5"/>
    <w:rsid w:val="00EE7B19"/>
    <w:rsid w:val="00EF0115"/>
    <w:rsid w:val="00EF1749"/>
    <w:rsid w:val="00EF1898"/>
    <w:rsid w:val="00EF20F6"/>
    <w:rsid w:val="00EF22BD"/>
    <w:rsid w:val="00EF24C4"/>
    <w:rsid w:val="00EF397D"/>
    <w:rsid w:val="00EF49ED"/>
    <w:rsid w:val="00EF4FBC"/>
    <w:rsid w:val="00EF5084"/>
    <w:rsid w:val="00EF6C4C"/>
    <w:rsid w:val="00EF6E2A"/>
    <w:rsid w:val="00EF7637"/>
    <w:rsid w:val="00F0071C"/>
    <w:rsid w:val="00F0246B"/>
    <w:rsid w:val="00F032B0"/>
    <w:rsid w:val="00F03F31"/>
    <w:rsid w:val="00F055BB"/>
    <w:rsid w:val="00F06712"/>
    <w:rsid w:val="00F07540"/>
    <w:rsid w:val="00F07CDC"/>
    <w:rsid w:val="00F10AAF"/>
    <w:rsid w:val="00F10DD5"/>
    <w:rsid w:val="00F13458"/>
    <w:rsid w:val="00F13686"/>
    <w:rsid w:val="00F13E6C"/>
    <w:rsid w:val="00F13EBB"/>
    <w:rsid w:val="00F14BB5"/>
    <w:rsid w:val="00F14CD2"/>
    <w:rsid w:val="00F14FD6"/>
    <w:rsid w:val="00F15973"/>
    <w:rsid w:val="00F16F8D"/>
    <w:rsid w:val="00F17D64"/>
    <w:rsid w:val="00F20252"/>
    <w:rsid w:val="00F20A5C"/>
    <w:rsid w:val="00F216C5"/>
    <w:rsid w:val="00F21B6B"/>
    <w:rsid w:val="00F222F2"/>
    <w:rsid w:val="00F230D4"/>
    <w:rsid w:val="00F23654"/>
    <w:rsid w:val="00F2427D"/>
    <w:rsid w:val="00F246BD"/>
    <w:rsid w:val="00F247E7"/>
    <w:rsid w:val="00F25AD5"/>
    <w:rsid w:val="00F25E7B"/>
    <w:rsid w:val="00F2608C"/>
    <w:rsid w:val="00F263AF"/>
    <w:rsid w:val="00F2745B"/>
    <w:rsid w:val="00F27F69"/>
    <w:rsid w:val="00F3110C"/>
    <w:rsid w:val="00F312E8"/>
    <w:rsid w:val="00F3160C"/>
    <w:rsid w:val="00F31932"/>
    <w:rsid w:val="00F32A83"/>
    <w:rsid w:val="00F32F92"/>
    <w:rsid w:val="00F340E2"/>
    <w:rsid w:val="00F34CFE"/>
    <w:rsid w:val="00F3516C"/>
    <w:rsid w:val="00F3518A"/>
    <w:rsid w:val="00F35858"/>
    <w:rsid w:val="00F35CE7"/>
    <w:rsid w:val="00F37211"/>
    <w:rsid w:val="00F373C9"/>
    <w:rsid w:val="00F37405"/>
    <w:rsid w:val="00F375B4"/>
    <w:rsid w:val="00F375EC"/>
    <w:rsid w:val="00F4119D"/>
    <w:rsid w:val="00F41723"/>
    <w:rsid w:val="00F41E15"/>
    <w:rsid w:val="00F4340F"/>
    <w:rsid w:val="00F43524"/>
    <w:rsid w:val="00F438D7"/>
    <w:rsid w:val="00F44BBF"/>
    <w:rsid w:val="00F44DF0"/>
    <w:rsid w:val="00F45175"/>
    <w:rsid w:val="00F46591"/>
    <w:rsid w:val="00F467B5"/>
    <w:rsid w:val="00F4694E"/>
    <w:rsid w:val="00F50065"/>
    <w:rsid w:val="00F5014B"/>
    <w:rsid w:val="00F50447"/>
    <w:rsid w:val="00F504DD"/>
    <w:rsid w:val="00F505FF"/>
    <w:rsid w:val="00F51155"/>
    <w:rsid w:val="00F512C3"/>
    <w:rsid w:val="00F513CF"/>
    <w:rsid w:val="00F51CF5"/>
    <w:rsid w:val="00F52D20"/>
    <w:rsid w:val="00F53846"/>
    <w:rsid w:val="00F55305"/>
    <w:rsid w:val="00F554C0"/>
    <w:rsid w:val="00F55701"/>
    <w:rsid w:val="00F558E1"/>
    <w:rsid w:val="00F55B35"/>
    <w:rsid w:val="00F55F3A"/>
    <w:rsid w:val="00F5687E"/>
    <w:rsid w:val="00F60579"/>
    <w:rsid w:val="00F61B5F"/>
    <w:rsid w:val="00F6235D"/>
    <w:rsid w:val="00F62647"/>
    <w:rsid w:val="00F6282D"/>
    <w:rsid w:val="00F62C2B"/>
    <w:rsid w:val="00F6360E"/>
    <w:rsid w:val="00F654EA"/>
    <w:rsid w:val="00F6560F"/>
    <w:rsid w:val="00F65857"/>
    <w:rsid w:val="00F666AA"/>
    <w:rsid w:val="00F670F6"/>
    <w:rsid w:val="00F675AB"/>
    <w:rsid w:val="00F67737"/>
    <w:rsid w:val="00F678F4"/>
    <w:rsid w:val="00F679AF"/>
    <w:rsid w:val="00F67A24"/>
    <w:rsid w:val="00F67BB8"/>
    <w:rsid w:val="00F70BAA"/>
    <w:rsid w:val="00F70EF5"/>
    <w:rsid w:val="00F71562"/>
    <w:rsid w:val="00F7229C"/>
    <w:rsid w:val="00F7365F"/>
    <w:rsid w:val="00F7468D"/>
    <w:rsid w:val="00F7585F"/>
    <w:rsid w:val="00F759DA"/>
    <w:rsid w:val="00F75E9D"/>
    <w:rsid w:val="00F7622F"/>
    <w:rsid w:val="00F763A1"/>
    <w:rsid w:val="00F76CA4"/>
    <w:rsid w:val="00F777C6"/>
    <w:rsid w:val="00F80259"/>
    <w:rsid w:val="00F80352"/>
    <w:rsid w:val="00F81C30"/>
    <w:rsid w:val="00F81C78"/>
    <w:rsid w:val="00F838A7"/>
    <w:rsid w:val="00F842F3"/>
    <w:rsid w:val="00F8458E"/>
    <w:rsid w:val="00F84A37"/>
    <w:rsid w:val="00F84A5A"/>
    <w:rsid w:val="00F85619"/>
    <w:rsid w:val="00F85A2A"/>
    <w:rsid w:val="00F85DE8"/>
    <w:rsid w:val="00F86052"/>
    <w:rsid w:val="00F86337"/>
    <w:rsid w:val="00F8790F"/>
    <w:rsid w:val="00F87E2A"/>
    <w:rsid w:val="00F90891"/>
    <w:rsid w:val="00F9155C"/>
    <w:rsid w:val="00F91A16"/>
    <w:rsid w:val="00F91AD9"/>
    <w:rsid w:val="00F91EAD"/>
    <w:rsid w:val="00F922EE"/>
    <w:rsid w:val="00F9273B"/>
    <w:rsid w:val="00F9369E"/>
    <w:rsid w:val="00F94050"/>
    <w:rsid w:val="00F9407F"/>
    <w:rsid w:val="00F944FE"/>
    <w:rsid w:val="00F94B7B"/>
    <w:rsid w:val="00F94CE7"/>
    <w:rsid w:val="00F954F8"/>
    <w:rsid w:val="00F955F8"/>
    <w:rsid w:val="00F95C97"/>
    <w:rsid w:val="00F95D12"/>
    <w:rsid w:val="00F9624C"/>
    <w:rsid w:val="00F97AEF"/>
    <w:rsid w:val="00F97EA2"/>
    <w:rsid w:val="00FA0161"/>
    <w:rsid w:val="00FA1C61"/>
    <w:rsid w:val="00FA230A"/>
    <w:rsid w:val="00FA2CDA"/>
    <w:rsid w:val="00FA3F9E"/>
    <w:rsid w:val="00FA4B6A"/>
    <w:rsid w:val="00FA59EB"/>
    <w:rsid w:val="00FA5B85"/>
    <w:rsid w:val="00FA5E8A"/>
    <w:rsid w:val="00FA7932"/>
    <w:rsid w:val="00FA7F39"/>
    <w:rsid w:val="00FB0702"/>
    <w:rsid w:val="00FB254D"/>
    <w:rsid w:val="00FB2E35"/>
    <w:rsid w:val="00FB30FE"/>
    <w:rsid w:val="00FB37B4"/>
    <w:rsid w:val="00FB3C58"/>
    <w:rsid w:val="00FB4D75"/>
    <w:rsid w:val="00FB5B5C"/>
    <w:rsid w:val="00FB5C0F"/>
    <w:rsid w:val="00FB61BB"/>
    <w:rsid w:val="00FB639A"/>
    <w:rsid w:val="00FC0D0F"/>
    <w:rsid w:val="00FC133F"/>
    <w:rsid w:val="00FC1A40"/>
    <w:rsid w:val="00FC2AB4"/>
    <w:rsid w:val="00FC32D9"/>
    <w:rsid w:val="00FC32FB"/>
    <w:rsid w:val="00FC3566"/>
    <w:rsid w:val="00FC3E5F"/>
    <w:rsid w:val="00FC3F73"/>
    <w:rsid w:val="00FC4279"/>
    <w:rsid w:val="00FC4AE1"/>
    <w:rsid w:val="00FC4BEF"/>
    <w:rsid w:val="00FC4CA6"/>
    <w:rsid w:val="00FC4E64"/>
    <w:rsid w:val="00FC50F8"/>
    <w:rsid w:val="00FC5218"/>
    <w:rsid w:val="00FC5680"/>
    <w:rsid w:val="00FC58B9"/>
    <w:rsid w:val="00FC614A"/>
    <w:rsid w:val="00FC68C9"/>
    <w:rsid w:val="00FC7EEC"/>
    <w:rsid w:val="00FD0A41"/>
    <w:rsid w:val="00FD1334"/>
    <w:rsid w:val="00FD3663"/>
    <w:rsid w:val="00FD388F"/>
    <w:rsid w:val="00FD47B0"/>
    <w:rsid w:val="00FD56F9"/>
    <w:rsid w:val="00FD58EF"/>
    <w:rsid w:val="00FD5A6C"/>
    <w:rsid w:val="00FD6D04"/>
    <w:rsid w:val="00FD78C8"/>
    <w:rsid w:val="00FE0085"/>
    <w:rsid w:val="00FE0868"/>
    <w:rsid w:val="00FE15BD"/>
    <w:rsid w:val="00FE1767"/>
    <w:rsid w:val="00FE179E"/>
    <w:rsid w:val="00FE195F"/>
    <w:rsid w:val="00FE2227"/>
    <w:rsid w:val="00FE2D5F"/>
    <w:rsid w:val="00FE31A0"/>
    <w:rsid w:val="00FE35F9"/>
    <w:rsid w:val="00FE408D"/>
    <w:rsid w:val="00FE4603"/>
    <w:rsid w:val="00FE4DA2"/>
    <w:rsid w:val="00FE4EE7"/>
    <w:rsid w:val="00FE572D"/>
    <w:rsid w:val="00FE5B10"/>
    <w:rsid w:val="00FF04BA"/>
    <w:rsid w:val="00FF05FE"/>
    <w:rsid w:val="00FF0624"/>
    <w:rsid w:val="00FF1377"/>
    <w:rsid w:val="00FF1E59"/>
    <w:rsid w:val="00FF1FE1"/>
    <w:rsid w:val="00FF2269"/>
    <w:rsid w:val="00FF24D6"/>
    <w:rsid w:val="00FF3484"/>
    <w:rsid w:val="00FF3D28"/>
    <w:rsid w:val="00FF6E90"/>
    <w:rsid w:val="00FF7CA2"/>
    <w:rsid w:val="00FF7DDD"/>
  </w:rsids>
  <m:mathPr>
    <m:mathFont m:val="Cambria Math"/>
    <m:brkBin m:val="before"/>
    <m:brkBinSub m:val="--"/>
    <m:smallFrac m:val="0"/>
    <m:dispDef/>
    <m:lMargin m:val="0"/>
    <m:rMargin m:val="0"/>
    <m:defJc m:val="centerGroup"/>
    <m:wrapIndent m:val="1440"/>
    <m:intLim m:val="subSup"/>
    <m:naryLim m:val="undOvr"/>
  </m:mathPr>
  <w:themeFontLang w:val="en-GB"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8063C"/>
  <w15:chartTrackingRefBased/>
  <w15:docId w15:val="{FF459E6E-E1F0-4FFE-B0F1-B2ABD0BFD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lang w:val="en-GB"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5777F"/>
    <w:pPr>
      <w:spacing w:after="0" w:line="360" w:lineRule="auto"/>
      <w:jc w:val="both"/>
    </w:pPr>
    <w:rPr>
      <w:kern w:val="0"/>
      <w:szCs w:val="22"/>
      <w:lang w:val="en-US" w:eastAsia="zh-CN" w:bidi="ar-SA"/>
      <w14:ligatures w14:val="none"/>
    </w:rPr>
  </w:style>
  <w:style w:type="paragraph" w:styleId="1">
    <w:name w:val="heading 1"/>
    <w:basedOn w:val="a0"/>
    <w:next w:val="a0"/>
    <w:link w:val="10"/>
    <w:uiPriority w:val="9"/>
    <w:qFormat/>
    <w:rsid w:val="00D40EF5"/>
    <w:pPr>
      <w:keepNext/>
      <w:keepLines/>
      <w:numPr>
        <w:numId w:val="6"/>
      </w:numPr>
      <w:spacing w:before="480"/>
      <w:outlineLvl w:val="0"/>
    </w:pPr>
    <w:rPr>
      <w:rFonts w:ascii="Arial" w:eastAsiaTheme="majorEastAsia" w:hAnsi="Arial" w:cs="Arial"/>
      <w:b/>
      <w:bCs/>
      <w:sz w:val="24"/>
      <w:szCs w:val="24"/>
      <w:lang w:val="en-GB" w:eastAsia="en-US"/>
    </w:rPr>
  </w:style>
  <w:style w:type="paragraph" w:styleId="2">
    <w:name w:val="heading 2"/>
    <w:basedOn w:val="a0"/>
    <w:next w:val="a0"/>
    <w:link w:val="20"/>
    <w:uiPriority w:val="9"/>
    <w:unhideWhenUsed/>
    <w:qFormat/>
    <w:rsid w:val="00D40EF5"/>
    <w:pPr>
      <w:keepNext/>
      <w:keepLines/>
      <w:numPr>
        <w:ilvl w:val="1"/>
        <w:numId w:val="6"/>
      </w:numPr>
      <w:outlineLvl w:val="1"/>
    </w:pPr>
    <w:rPr>
      <w:rFonts w:ascii="Arial" w:eastAsiaTheme="majorEastAsia" w:hAnsi="Arial" w:cs="Arial"/>
      <w:b/>
      <w:bCs/>
      <w:sz w:val="24"/>
      <w:szCs w:val="24"/>
    </w:rPr>
  </w:style>
  <w:style w:type="paragraph" w:styleId="3">
    <w:name w:val="heading 3"/>
    <w:basedOn w:val="a0"/>
    <w:next w:val="a0"/>
    <w:link w:val="30"/>
    <w:uiPriority w:val="9"/>
    <w:unhideWhenUsed/>
    <w:qFormat/>
    <w:rsid w:val="00D40EF5"/>
    <w:pPr>
      <w:keepNext/>
      <w:keepLines/>
      <w:numPr>
        <w:ilvl w:val="2"/>
        <w:numId w:val="6"/>
      </w:numPr>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D40EF5"/>
    <w:pPr>
      <w:keepNext/>
      <w:keepLines/>
      <w:numPr>
        <w:ilvl w:val="3"/>
        <w:numId w:val="6"/>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0"/>
    <w:uiPriority w:val="9"/>
    <w:unhideWhenUsed/>
    <w:qFormat/>
    <w:rsid w:val="00D40EF5"/>
    <w:pPr>
      <w:keepNext/>
      <w:keepLines/>
      <w:numPr>
        <w:ilvl w:val="4"/>
        <w:numId w:val="6"/>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0"/>
    <w:uiPriority w:val="9"/>
    <w:semiHidden/>
    <w:unhideWhenUsed/>
    <w:qFormat/>
    <w:rsid w:val="00D40EF5"/>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0"/>
    <w:next w:val="a0"/>
    <w:link w:val="70"/>
    <w:uiPriority w:val="9"/>
    <w:semiHidden/>
    <w:unhideWhenUsed/>
    <w:qFormat/>
    <w:rsid w:val="00D40EF5"/>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0"/>
    <w:uiPriority w:val="9"/>
    <w:semiHidden/>
    <w:unhideWhenUsed/>
    <w:qFormat/>
    <w:rsid w:val="00D40EF5"/>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semiHidden/>
    <w:unhideWhenUsed/>
    <w:qFormat/>
    <w:rsid w:val="00D40EF5"/>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D40EF5"/>
    <w:rPr>
      <w:rFonts w:ascii="Arial" w:eastAsiaTheme="majorEastAsia" w:hAnsi="Arial" w:cs="Arial"/>
      <w:b/>
      <w:bCs/>
      <w:kern w:val="0"/>
      <w:sz w:val="24"/>
      <w:szCs w:val="24"/>
      <w:lang w:val="en-GB" w:bidi="ar-SA"/>
      <w14:ligatures w14:val="none"/>
    </w:rPr>
  </w:style>
  <w:style w:type="character" w:customStyle="1" w:styleId="20">
    <w:name w:val="标题 2 字符"/>
    <w:basedOn w:val="a1"/>
    <w:link w:val="2"/>
    <w:uiPriority w:val="9"/>
    <w:rsid w:val="00D40EF5"/>
    <w:rPr>
      <w:rFonts w:ascii="Arial" w:eastAsiaTheme="majorEastAsia" w:hAnsi="Arial" w:cs="Arial"/>
      <w:b/>
      <w:bCs/>
      <w:kern w:val="0"/>
      <w:sz w:val="24"/>
      <w:szCs w:val="24"/>
      <w:lang w:val="en-US" w:eastAsia="zh-CN" w:bidi="ar-SA"/>
      <w14:ligatures w14:val="none"/>
    </w:rPr>
  </w:style>
  <w:style w:type="character" w:customStyle="1" w:styleId="30">
    <w:name w:val="标题 3 字符"/>
    <w:basedOn w:val="a1"/>
    <w:link w:val="3"/>
    <w:uiPriority w:val="9"/>
    <w:rsid w:val="00D40EF5"/>
    <w:rPr>
      <w:rFonts w:asciiTheme="majorHAnsi" w:eastAsiaTheme="majorEastAsia" w:hAnsiTheme="majorHAnsi" w:cstheme="majorBidi"/>
      <w:color w:val="1F3763" w:themeColor="accent1" w:themeShade="7F"/>
      <w:kern w:val="0"/>
      <w:sz w:val="24"/>
      <w:szCs w:val="24"/>
      <w:lang w:val="en-US" w:eastAsia="zh-CN" w:bidi="ar-SA"/>
      <w14:ligatures w14:val="none"/>
    </w:rPr>
  </w:style>
  <w:style w:type="character" w:customStyle="1" w:styleId="40">
    <w:name w:val="标题 4 字符"/>
    <w:basedOn w:val="a1"/>
    <w:link w:val="4"/>
    <w:uiPriority w:val="9"/>
    <w:rsid w:val="00D40EF5"/>
    <w:rPr>
      <w:rFonts w:asciiTheme="majorHAnsi" w:eastAsiaTheme="majorEastAsia" w:hAnsiTheme="majorHAnsi" w:cstheme="majorBidi"/>
      <w:i/>
      <w:iCs/>
      <w:color w:val="2F5496" w:themeColor="accent1" w:themeShade="BF"/>
      <w:kern w:val="0"/>
      <w:szCs w:val="22"/>
      <w:lang w:val="en-US" w:eastAsia="zh-CN" w:bidi="ar-SA"/>
      <w14:ligatures w14:val="none"/>
    </w:rPr>
  </w:style>
  <w:style w:type="character" w:customStyle="1" w:styleId="50">
    <w:name w:val="标题 5 字符"/>
    <w:basedOn w:val="a1"/>
    <w:link w:val="5"/>
    <w:uiPriority w:val="9"/>
    <w:rsid w:val="00D40EF5"/>
    <w:rPr>
      <w:rFonts w:asciiTheme="majorHAnsi" w:eastAsiaTheme="majorEastAsia" w:hAnsiTheme="majorHAnsi" w:cstheme="majorBidi"/>
      <w:color w:val="2F5496" w:themeColor="accent1" w:themeShade="BF"/>
      <w:kern w:val="0"/>
      <w:szCs w:val="22"/>
      <w:lang w:val="en-US" w:eastAsia="zh-CN" w:bidi="ar-SA"/>
      <w14:ligatures w14:val="none"/>
    </w:rPr>
  </w:style>
  <w:style w:type="character" w:customStyle="1" w:styleId="60">
    <w:name w:val="标题 6 字符"/>
    <w:basedOn w:val="a1"/>
    <w:link w:val="6"/>
    <w:uiPriority w:val="9"/>
    <w:semiHidden/>
    <w:rsid w:val="00D40EF5"/>
    <w:rPr>
      <w:rFonts w:asciiTheme="majorHAnsi" w:eastAsiaTheme="majorEastAsia" w:hAnsiTheme="majorHAnsi" w:cstheme="majorBidi"/>
      <w:color w:val="1F3763" w:themeColor="accent1" w:themeShade="7F"/>
      <w:kern w:val="0"/>
      <w:szCs w:val="22"/>
      <w:lang w:val="en-US" w:eastAsia="zh-CN" w:bidi="ar-SA"/>
      <w14:ligatures w14:val="none"/>
    </w:rPr>
  </w:style>
  <w:style w:type="character" w:customStyle="1" w:styleId="70">
    <w:name w:val="标题 7 字符"/>
    <w:basedOn w:val="a1"/>
    <w:link w:val="7"/>
    <w:uiPriority w:val="9"/>
    <w:semiHidden/>
    <w:rsid w:val="00D40EF5"/>
    <w:rPr>
      <w:rFonts w:asciiTheme="majorHAnsi" w:eastAsiaTheme="majorEastAsia" w:hAnsiTheme="majorHAnsi" w:cstheme="majorBidi"/>
      <w:i/>
      <w:iCs/>
      <w:color w:val="1F3763" w:themeColor="accent1" w:themeShade="7F"/>
      <w:kern w:val="0"/>
      <w:szCs w:val="22"/>
      <w:lang w:val="en-US" w:eastAsia="zh-CN" w:bidi="ar-SA"/>
      <w14:ligatures w14:val="none"/>
    </w:rPr>
  </w:style>
  <w:style w:type="character" w:customStyle="1" w:styleId="80">
    <w:name w:val="标题 8 字符"/>
    <w:basedOn w:val="a1"/>
    <w:link w:val="8"/>
    <w:uiPriority w:val="9"/>
    <w:semiHidden/>
    <w:rsid w:val="00D40EF5"/>
    <w:rPr>
      <w:rFonts w:asciiTheme="majorHAnsi" w:eastAsiaTheme="majorEastAsia" w:hAnsiTheme="majorHAnsi" w:cstheme="majorBidi"/>
      <w:color w:val="272727" w:themeColor="text1" w:themeTint="D8"/>
      <w:kern w:val="0"/>
      <w:sz w:val="21"/>
      <w:szCs w:val="21"/>
      <w:lang w:val="en-US" w:eastAsia="zh-CN" w:bidi="ar-SA"/>
      <w14:ligatures w14:val="none"/>
    </w:rPr>
  </w:style>
  <w:style w:type="character" w:customStyle="1" w:styleId="90">
    <w:name w:val="标题 9 字符"/>
    <w:basedOn w:val="a1"/>
    <w:link w:val="9"/>
    <w:uiPriority w:val="9"/>
    <w:semiHidden/>
    <w:rsid w:val="00D40EF5"/>
    <w:rPr>
      <w:rFonts w:asciiTheme="majorHAnsi" w:eastAsiaTheme="majorEastAsia" w:hAnsiTheme="majorHAnsi" w:cstheme="majorBidi"/>
      <w:i/>
      <w:iCs/>
      <w:color w:val="272727" w:themeColor="text1" w:themeTint="D8"/>
      <w:kern w:val="0"/>
      <w:sz w:val="21"/>
      <w:szCs w:val="21"/>
      <w:lang w:val="en-US" w:eastAsia="zh-CN" w:bidi="ar-SA"/>
      <w14:ligatures w14:val="none"/>
    </w:rPr>
  </w:style>
  <w:style w:type="character" w:styleId="a4">
    <w:name w:val="Hyperlink"/>
    <w:basedOn w:val="a1"/>
    <w:uiPriority w:val="99"/>
    <w:unhideWhenUsed/>
    <w:rsid w:val="00D40EF5"/>
    <w:rPr>
      <w:color w:val="0563C1" w:themeColor="hyperlink"/>
      <w:u w:val="single"/>
    </w:rPr>
  </w:style>
  <w:style w:type="paragraph" w:styleId="TOC1">
    <w:name w:val="toc 1"/>
    <w:basedOn w:val="a0"/>
    <w:next w:val="a0"/>
    <w:autoRedefine/>
    <w:uiPriority w:val="39"/>
    <w:unhideWhenUsed/>
    <w:rsid w:val="008E501A"/>
    <w:pPr>
      <w:tabs>
        <w:tab w:val="left" w:pos="720"/>
        <w:tab w:val="right" w:leader="dot" w:pos="9060"/>
      </w:tabs>
      <w:spacing w:before="360"/>
    </w:pPr>
    <w:rPr>
      <w:rFonts w:ascii="Arial" w:hAnsi="Arial" w:cs="Arial"/>
      <w:b/>
      <w:bCs/>
      <w:caps/>
      <w:noProof/>
      <w:sz w:val="24"/>
      <w:szCs w:val="24"/>
    </w:rPr>
  </w:style>
  <w:style w:type="paragraph" w:styleId="TOC2">
    <w:name w:val="toc 2"/>
    <w:basedOn w:val="a0"/>
    <w:next w:val="a0"/>
    <w:autoRedefine/>
    <w:uiPriority w:val="39"/>
    <w:unhideWhenUsed/>
    <w:rsid w:val="00D40EF5"/>
    <w:pPr>
      <w:tabs>
        <w:tab w:val="left" w:pos="270"/>
        <w:tab w:val="left" w:pos="660"/>
        <w:tab w:val="right" w:leader="dot" w:pos="9060"/>
      </w:tabs>
    </w:pPr>
    <w:rPr>
      <w:rFonts w:ascii="Arial" w:hAnsi="Arial" w:cs="Arial"/>
      <w:b/>
      <w:bCs/>
      <w:noProof/>
    </w:rPr>
  </w:style>
  <w:style w:type="character" w:customStyle="1" w:styleId="a5">
    <w:name w:val="脚注文本 字符"/>
    <w:aliases w:val="fn 字符,ft 字符,Footnotes 字符,Footnote ak 字符,fn cafc 字符,ALTS FOOTNOTE Char 字符,Footnote Text Char1 Char 字符,Footnote Text Char Char Char 字符,Footnote Text Char1 Char Char Char 字符,Footnote Text Char Char Char Char Char 字符,fn Char1 字符,ALTS FOOTNOTE 字符"/>
    <w:basedOn w:val="a1"/>
    <w:link w:val="a6"/>
    <w:uiPriority w:val="1"/>
    <w:qFormat/>
    <w:locked/>
    <w:rsid w:val="00D40EF5"/>
    <w:rPr>
      <w:sz w:val="20"/>
    </w:rPr>
  </w:style>
  <w:style w:type="paragraph" w:styleId="a6">
    <w:name w:val="footnote text"/>
    <w:aliases w:val="fn,ft,Footnotes,Footnote ak,fn cafc,ALTS FOOTNOTE Char,Footnote Text Char1 Char,Footnote Text Char Char Char,Footnote Text Char1 Char Char Char,Footnote Text Char Char Char Char Char,fn Char1,ALTS FOOTNOTE,FOOTNOTES,footnote text,f,C,Car"/>
    <w:basedOn w:val="a0"/>
    <w:link w:val="a5"/>
    <w:uiPriority w:val="1"/>
    <w:unhideWhenUsed/>
    <w:qFormat/>
    <w:rsid w:val="00D40EF5"/>
    <w:pPr>
      <w:spacing w:line="240" w:lineRule="auto"/>
    </w:pPr>
    <w:rPr>
      <w:rFonts w:eastAsiaTheme="minorHAnsi"/>
      <w:kern w:val="2"/>
      <w:sz w:val="20"/>
      <w:szCs w:val="20"/>
      <w:lang w:eastAsia="en-US" w:bidi="hi-IN"/>
      <w14:ligatures w14:val="standardContextual"/>
    </w:rPr>
  </w:style>
  <w:style w:type="character" w:customStyle="1" w:styleId="FootnoteTextChar1">
    <w:name w:val="Footnote Text Char1"/>
    <w:basedOn w:val="a1"/>
    <w:uiPriority w:val="99"/>
    <w:semiHidden/>
    <w:rsid w:val="00D40EF5"/>
    <w:rPr>
      <w:rFonts w:eastAsiaTheme="minorEastAsia"/>
      <w:kern w:val="0"/>
      <w:sz w:val="20"/>
      <w:lang w:val="en-US" w:eastAsia="zh-CN" w:bidi="ar-SA"/>
      <w14:ligatures w14:val="none"/>
    </w:rPr>
  </w:style>
  <w:style w:type="paragraph" w:styleId="a7">
    <w:name w:val="Body Text"/>
    <w:basedOn w:val="a0"/>
    <w:link w:val="a8"/>
    <w:unhideWhenUsed/>
    <w:qFormat/>
    <w:rsid w:val="00D40EF5"/>
    <w:pPr>
      <w:tabs>
        <w:tab w:val="num" w:pos="720"/>
      </w:tabs>
      <w:spacing w:after="240"/>
      <w:jc w:val="left"/>
    </w:pPr>
    <w:rPr>
      <w:rFonts w:ascii="Times New Roman" w:eastAsia="Times New Roman" w:hAnsi="Times New Roman" w:cs="Times New Roman"/>
      <w:szCs w:val="20"/>
      <w:lang w:val="en-GB" w:eastAsia="en-US"/>
    </w:rPr>
  </w:style>
  <w:style w:type="character" w:customStyle="1" w:styleId="a8">
    <w:name w:val="正文文本 字符"/>
    <w:basedOn w:val="a1"/>
    <w:link w:val="a7"/>
    <w:rsid w:val="00D40EF5"/>
    <w:rPr>
      <w:rFonts w:ascii="Times New Roman" w:eastAsia="Times New Roman" w:hAnsi="Times New Roman" w:cs="Times New Roman"/>
      <w:kern w:val="0"/>
      <w:lang w:val="en-GB" w:bidi="ar-SA"/>
      <w14:ligatures w14:val="none"/>
    </w:rPr>
  </w:style>
  <w:style w:type="paragraph" w:styleId="a9">
    <w:name w:val="List Paragraph"/>
    <w:aliases w:val="Recommendation,List Paragraph1"/>
    <w:basedOn w:val="a0"/>
    <w:link w:val="aa"/>
    <w:uiPriority w:val="34"/>
    <w:qFormat/>
    <w:rsid w:val="00D40EF5"/>
    <w:pPr>
      <w:ind w:left="720"/>
      <w:contextualSpacing/>
    </w:pPr>
  </w:style>
  <w:style w:type="paragraph" w:styleId="TOC">
    <w:name w:val="TOC Heading"/>
    <w:basedOn w:val="1"/>
    <w:next w:val="a0"/>
    <w:uiPriority w:val="39"/>
    <w:unhideWhenUsed/>
    <w:qFormat/>
    <w:rsid w:val="00D40EF5"/>
    <w:pPr>
      <w:outlineLvl w:val="9"/>
    </w:pPr>
    <w:rPr>
      <w:lang w:val="en-US" w:eastAsia="ja-JP"/>
    </w:rPr>
  </w:style>
  <w:style w:type="paragraph" w:customStyle="1" w:styleId="Body2">
    <w:name w:val="Body 2"/>
    <w:basedOn w:val="a0"/>
    <w:qFormat/>
    <w:rsid w:val="00D40EF5"/>
    <w:pPr>
      <w:spacing w:after="210" w:line="264" w:lineRule="auto"/>
      <w:ind w:left="709"/>
    </w:pPr>
    <w:rPr>
      <w:rFonts w:ascii="Arial" w:eastAsia="宋体" w:hAnsi="Arial" w:cs="Arial"/>
      <w:sz w:val="21"/>
      <w:szCs w:val="21"/>
      <w:lang w:val="en-GB" w:eastAsia="en-US"/>
    </w:rPr>
  </w:style>
  <w:style w:type="character" w:styleId="ab">
    <w:name w:val="footnote reference"/>
    <w:aliases w:val="Ref,de nota al pie,註腳內容,Footnote Reference1,Ref1,de nota al pie1,de nota al pie + (Asian) MS Mincho,11 pt,-E Fußnotenzeichen,註?腳Ò®é»,11 p,註?腳內—e,????,16 Point,Superscript 6 Point,-E Fuﬂnotenzeichen,註?腳內Ñe,-E Fu§notenzeichen,註??腳內—e,11"/>
    <w:basedOn w:val="a1"/>
    <w:link w:val="CharChar6CharCharCharCharCharChar"/>
    <w:uiPriority w:val="99"/>
    <w:unhideWhenUsed/>
    <w:qFormat/>
    <w:rsid w:val="00D40EF5"/>
    <w:rPr>
      <w:vertAlign w:val="superscript"/>
    </w:rPr>
  </w:style>
  <w:style w:type="table" w:styleId="ac">
    <w:name w:val="Table Grid"/>
    <w:basedOn w:val="a2"/>
    <w:uiPriority w:val="59"/>
    <w:rsid w:val="00D40EF5"/>
    <w:pPr>
      <w:spacing w:after="0" w:line="240" w:lineRule="auto"/>
      <w:jc w:val="both"/>
    </w:pPr>
    <w:rPr>
      <w:kern w:val="0"/>
      <w:szCs w:val="22"/>
      <w:lang w:val="nl-BE" w:eastAsia="zh-CN"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0"/>
    <w:link w:val="ae"/>
    <w:uiPriority w:val="99"/>
    <w:unhideWhenUsed/>
    <w:rsid w:val="00D40EF5"/>
    <w:pPr>
      <w:tabs>
        <w:tab w:val="center" w:pos="4680"/>
        <w:tab w:val="right" w:pos="9360"/>
      </w:tabs>
      <w:spacing w:line="240" w:lineRule="auto"/>
    </w:pPr>
  </w:style>
  <w:style w:type="character" w:customStyle="1" w:styleId="ae">
    <w:name w:val="页眉 字符"/>
    <w:basedOn w:val="a1"/>
    <w:link w:val="ad"/>
    <w:uiPriority w:val="99"/>
    <w:rsid w:val="00D40EF5"/>
    <w:rPr>
      <w:rFonts w:eastAsiaTheme="minorEastAsia"/>
      <w:kern w:val="0"/>
      <w:szCs w:val="22"/>
      <w:lang w:val="en-US" w:eastAsia="zh-CN" w:bidi="ar-SA"/>
      <w14:ligatures w14:val="none"/>
    </w:rPr>
  </w:style>
  <w:style w:type="paragraph" w:styleId="af">
    <w:name w:val="footer"/>
    <w:basedOn w:val="a0"/>
    <w:link w:val="af0"/>
    <w:uiPriority w:val="99"/>
    <w:unhideWhenUsed/>
    <w:rsid w:val="00D40EF5"/>
    <w:pPr>
      <w:tabs>
        <w:tab w:val="center" w:pos="4680"/>
        <w:tab w:val="right" w:pos="9360"/>
      </w:tabs>
      <w:spacing w:line="240" w:lineRule="auto"/>
    </w:pPr>
  </w:style>
  <w:style w:type="character" w:customStyle="1" w:styleId="af0">
    <w:name w:val="页脚 字符"/>
    <w:basedOn w:val="a1"/>
    <w:link w:val="af"/>
    <w:uiPriority w:val="99"/>
    <w:rsid w:val="00D40EF5"/>
    <w:rPr>
      <w:rFonts w:eastAsiaTheme="minorEastAsia"/>
      <w:kern w:val="0"/>
      <w:szCs w:val="22"/>
      <w:lang w:val="en-US" w:eastAsia="zh-CN" w:bidi="ar-SA"/>
      <w14:ligatures w14:val="none"/>
    </w:rPr>
  </w:style>
  <w:style w:type="character" w:styleId="af1">
    <w:name w:val="annotation reference"/>
    <w:basedOn w:val="a1"/>
    <w:uiPriority w:val="99"/>
    <w:semiHidden/>
    <w:unhideWhenUsed/>
    <w:rsid w:val="00D40EF5"/>
    <w:rPr>
      <w:sz w:val="16"/>
      <w:szCs w:val="16"/>
    </w:rPr>
  </w:style>
  <w:style w:type="paragraph" w:styleId="af2">
    <w:name w:val="annotation text"/>
    <w:basedOn w:val="a0"/>
    <w:link w:val="af3"/>
    <w:uiPriority w:val="99"/>
    <w:unhideWhenUsed/>
    <w:rsid w:val="00D40EF5"/>
    <w:pPr>
      <w:spacing w:line="240" w:lineRule="auto"/>
    </w:pPr>
    <w:rPr>
      <w:sz w:val="20"/>
      <w:szCs w:val="20"/>
    </w:rPr>
  </w:style>
  <w:style w:type="character" w:customStyle="1" w:styleId="af3">
    <w:name w:val="批注文字 字符"/>
    <w:basedOn w:val="a1"/>
    <w:link w:val="af2"/>
    <w:uiPriority w:val="99"/>
    <w:rsid w:val="00D40EF5"/>
    <w:rPr>
      <w:rFonts w:eastAsiaTheme="minorEastAsia"/>
      <w:kern w:val="0"/>
      <w:sz w:val="20"/>
      <w:lang w:val="en-US" w:eastAsia="zh-CN" w:bidi="ar-SA"/>
      <w14:ligatures w14:val="none"/>
    </w:rPr>
  </w:style>
  <w:style w:type="paragraph" w:styleId="af4">
    <w:name w:val="annotation subject"/>
    <w:basedOn w:val="af2"/>
    <w:next w:val="af2"/>
    <w:link w:val="af5"/>
    <w:uiPriority w:val="99"/>
    <w:semiHidden/>
    <w:unhideWhenUsed/>
    <w:rsid w:val="00D40EF5"/>
    <w:rPr>
      <w:b/>
      <w:bCs/>
    </w:rPr>
  </w:style>
  <w:style w:type="character" w:customStyle="1" w:styleId="af5">
    <w:name w:val="批注主题 字符"/>
    <w:basedOn w:val="af3"/>
    <w:link w:val="af4"/>
    <w:uiPriority w:val="99"/>
    <w:semiHidden/>
    <w:rsid w:val="00D40EF5"/>
    <w:rPr>
      <w:rFonts w:eastAsiaTheme="minorEastAsia"/>
      <w:b/>
      <w:bCs/>
      <w:kern w:val="0"/>
      <w:sz w:val="20"/>
      <w:lang w:val="en-US" w:eastAsia="zh-CN" w:bidi="ar-SA"/>
      <w14:ligatures w14:val="none"/>
    </w:rPr>
  </w:style>
  <w:style w:type="paragraph" w:styleId="af6">
    <w:name w:val="Balloon Text"/>
    <w:basedOn w:val="a0"/>
    <w:link w:val="af7"/>
    <w:uiPriority w:val="99"/>
    <w:semiHidden/>
    <w:unhideWhenUsed/>
    <w:rsid w:val="00D40EF5"/>
    <w:pPr>
      <w:spacing w:line="240" w:lineRule="auto"/>
    </w:pPr>
    <w:rPr>
      <w:rFonts w:ascii="Segoe UI" w:hAnsi="Segoe UI" w:cs="Segoe UI"/>
      <w:sz w:val="18"/>
      <w:szCs w:val="18"/>
    </w:rPr>
  </w:style>
  <w:style w:type="character" w:customStyle="1" w:styleId="af7">
    <w:name w:val="批注框文本 字符"/>
    <w:basedOn w:val="a1"/>
    <w:link w:val="af6"/>
    <w:uiPriority w:val="99"/>
    <w:semiHidden/>
    <w:rsid w:val="00D40EF5"/>
    <w:rPr>
      <w:rFonts w:ascii="Segoe UI" w:eastAsiaTheme="minorEastAsia" w:hAnsi="Segoe UI" w:cs="Segoe UI"/>
      <w:kern w:val="0"/>
      <w:sz w:val="18"/>
      <w:szCs w:val="18"/>
      <w:lang w:val="en-US" w:eastAsia="zh-CN" w:bidi="ar-SA"/>
      <w14:ligatures w14:val="none"/>
    </w:rPr>
  </w:style>
  <w:style w:type="character" w:styleId="af8">
    <w:name w:val="FollowedHyperlink"/>
    <w:basedOn w:val="a1"/>
    <w:uiPriority w:val="99"/>
    <w:semiHidden/>
    <w:unhideWhenUsed/>
    <w:rsid w:val="00D40EF5"/>
    <w:rPr>
      <w:color w:val="954F72" w:themeColor="followedHyperlink"/>
      <w:u w:val="single"/>
    </w:rPr>
  </w:style>
  <w:style w:type="paragraph" w:styleId="af9">
    <w:name w:val="Normal (Web)"/>
    <w:basedOn w:val="a0"/>
    <w:uiPriority w:val="99"/>
    <w:unhideWhenUsed/>
    <w:rsid w:val="00D40EF5"/>
    <w:pPr>
      <w:spacing w:before="100" w:beforeAutospacing="1" w:after="100" w:afterAutospacing="1" w:line="240" w:lineRule="auto"/>
      <w:jc w:val="left"/>
    </w:pPr>
    <w:rPr>
      <w:rFonts w:ascii="Times New Roman" w:hAnsi="Times New Roman" w:cs="Times New Roman"/>
      <w:sz w:val="24"/>
      <w:szCs w:val="24"/>
    </w:rPr>
  </w:style>
  <w:style w:type="character" w:styleId="afa">
    <w:name w:val="Strong"/>
    <w:basedOn w:val="a1"/>
    <w:uiPriority w:val="22"/>
    <w:qFormat/>
    <w:rsid w:val="00D40EF5"/>
    <w:rPr>
      <w:b/>
      <w:bCs/>
    </w:rPr>
  </w:style>
  <w:style w:type="character" w:customStyle="1" w:styleId="afb">
    <w:name w:val="日期 字符"/>
    <w:aliases w:val="date 字符"/>
    <w:basedOn w:val="a1"/>
    <w:link w:val="afc"/>
    <w:uiPriority w:val="99"/>
    <w:semiHidden/>
    <w:locked/>
    <w:rsid w:val="00D40EF5"/>
    <w:rPr>
      <w:rFonts w:ascii="宋体" w:hAnsi="宋体"/>
      <w:sz w:val="24"/>
      <w:szCs w:val="24"/>
    </w:rPr>
  </w:style>
  <w:style w:type="paragraph" w:styleId="afc">
    <w:name w:val="Date"/>
    <w:aliases w:val="date"/>
    <w:basedOn w:val="a0"/>
    <w:link w:val="afb"/>
    <w:uiPriority w:val="99"/>
    <w:semiHidden/>
    <w:unhideWhenUsed/>
    <w:rsid w:val="00D40EF5"/>
    <w:pPr>
      <w:spacing w:before="100" w:beforeAutospacing="1" w:after="100" w:afterAutospacing="1" w:line="240" w:lineRule="auto"/>
      <w:jc w:val="left"/>
    </w:pPr>
    <w:rPr>
      <w:rFonts w:ascii="宋体" w:eastAsiaTheme="minorHAnsi" w:hAnsi="宋体"/>
      <w:kern w:val="2"/>
      <w:sz w:val="24"/>
      <w:szCs w:val="24"/>
      <w:lang w:eastAsia="en-US" w:bidi="hi-IN"/>
      <w14:ligatures w14:val="standardContextual"/>
    </w:rPr>
  </w:style>
  <w:style w:type="character" w:customStyle="1" w:styleId="DateChar1">
    <w:name w:val="Date Char1"/>
    <w:basedOn w:val="a1"/>
    <w:uiPriority w:val="99"/>
    <w:semiHidden/>
    <w:rsid w:val="00D40EF5"/>
    <w:rPr>
      <w:rFonts w:eastAsiaTheme="minorEastAsia"/>
      <w:kern w:val="0"/>
      <w:szCs w:val="22"/>
      <w:lang w:val="en-US" w:eastAsia="zh-CN" w:bidi="ar-SA"/>
      <w14:ligatures w14:val="none"/>
    </w:rPr>
  </w:style>
  <w:style w:type="paragraph" w:customStyle="1" w:styleId="Default">
    <w:name w:val="Default"/>
    <w:rsid w:val="00D40EF5"/>
    <w:pPr>
      <w:autoSpaceDE w:val="0"/>
      <w:autoSpaceDN w:val="0"/>
      <w:adjustRightInd w:val="0"/>
      <w:spacing w:after="0" w:line="240" w:lineRule="auto"/>
    </w:pPr>
    <w:rPr>
      <w:rFonts w:ascii="Times New Roman" w:hAnsi="Times New Roman" w:cs="Times New Roman"/>
      <w:color w:val="000000"/>
      <w:kern w:val="0"/>
      <w:sz w:val="24"/>
      <w:szCs w:val="24"/>
      <w:lang w:val="en-US" w:eastAsia="zh-CN" w:bidi="ar-SA"/>
      <w14:ligatures w14:val="none"/>
    </w:rPr>
  </w:style>
  <w:style w:type="paragraph" w:customStyle="1" w:styleId="paranormaltext">
    <w:name w:val="paranormaltext"/>
    <w:basedOn w:val="a0"/>
    <w:rsid w:val="00D40EF5"/>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tocindent4">
    <w:name w:val="tocindent4"/>
    <w:basedOn w:val="a0"/>
    <w:rsid w:val="00D40EF5"/>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tocindent8">
    <w:name w:val="tocindent8"/>
    <w:basedOn w:val="a0"/>
    <w:rsid w:val="00D40EF5"/>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CM1">
    <w:name w:val="CM1"/>
    <w:basedOn w:val="Default"/>
    <w:next w:val="Default"/>
    <w:uiPriority w:val="99"/>
    <w:rsid w:val="00D40EF5"/>
    <w:rPr>
      <w:rFonts w:ascii="EUAlbertina" w:eastAsiaTheme="minorHAnsi" w:hAnsi="EUAlbertina" w:cstheme="minorBidi"/>
      <w:color w:val="auto"/>
      <w:lang w:eastAsia="en-US"/>
    </w:rPr>
  </w:style>
  <w:style w:type="paragraph" w:customStyle="1" w:styleId="CM3">
    <w:name w:val="CM3"/>
    <w:basedOn w:val="Default"/>
    <w:next w:val="Default"/>
    <w:uiPriority w:val="99"/>
    <w:rsid w:val="00D40EF5"/>
    <w:rPr>
      <w:rFonts w:ascii="EUAlbertina" w:eastAsiaTheme="minorHAnsi" w:hAnsi="EUAlbertina" w:cstheme="minorBidi"/>
      <w:color w:val="auto"/>
      <w:lang w:eastAsia="en-US"/>
    </w:rPr>
  </w:style>
  <w:style w:type="paragraph" w:customStyle="1" w:styleId="CM4">
    <w:name w:val="CM4"/>
    <w:basedOn w:val="Default"/>
    <w:next w:val="Default"/>
    <w:uiPriority w:val="99"/>
    <w:rsid w:val="00D40EF5"/>
    <w:rPr>
      <w:rFonts w:ascii="EUAlbertina" w:eastAsiaTheme="minorHAnsi" w:hAnsi="EUAlbertina" w:cstheme="minorBidi"/>
      <w:color w:val="auto"/>
      <w:lang w:eastAsia="en-US"/>
    </w:rPr>
  </w:style>
  <w:style w:type="paragraph" w:customStyle="1" w:styleId="Pa0">
    <w:name w:val="Pa0"/>
    <w:basedOn w:val="Default"/>
    <w:next w:val="Default"/>
    <w:uiPriority w:val="99"/>
    <w:rsid w:val="00D40EF5"/>
    <w:pPr>
      <w:spacing w:line="181" w:lineRule="atLeast"/>
    </w:pPr>
    <w:rPr>
      <w:rFonts w:ascii="Myriad Pro" w:hAnsi="Myriad Pro" w:cstheme="minorBidi"/>
      <w:color w:val="auto"/>
    </w:rPr>
  </w:style>
  <w:style w:type="character" w:customStyle="1" w:styleId="A30">
    <w:name w:val="A3"/>
    <w:uiPriority w:val="99"/>
    <w:rsid w:val="00D40EF5"/>
    <w:rPr>
      <w:rFonts w:cs="Myriad Pro"/>
      <w:color w:val="221E1F"/>
      <w:sz w:val="17"/>
      <w:szCs w:val="17"/>
    </w:rPr>
  </w:style>
  <w:style w:type="numbering" w:customStyle="1" w:styleId="Outline">
    <w:name w:val="Outline"/>
    <w:basedOn w:val="a3"/>
    <w:rsid w:val="00D40EF5"/>
    <w:pPr>
      <w:numPr>
        <w:numId w:val="5"/>
      </w:numPr>
    </w:pPr>
  </w:style>
  <w:style w:type="paragraph" w:customStyle="1" w:styleId="HFWLevel2">
    <w:name w:val="HFW Level 2"/>
    <w:qFormat/>
    <w:rsid w:val="00D40EF5"/>
    <w:pPr>
      <w:numPr>
        <w:ilvl w:val="1"/>
        <w:numId w:val="4"/>
      </w:numPr>
      <w:suppressAutoHyphens/>
      <w:autoSpaceDN w:val="0"/>
      <w:spacing w:after="220" w:line="288" w:lineRule="auto"/>
      <w:jc w:val="both"/>
      <w:textAlignment w:val="baseline"/>
      <w:outlineLvl w:val="1"/>
    </w:pPr>
    <w:rPr>
      <w:rFonts w:ascii="Times New Roman" w:eastAsia="Times New Roman" w:hAnsi="Times New Roman" w:cs="Times New Roman"/>
      <w:kern w:val="3"/>
      <w:szCs w:val="22"/>
      <w:lang w:eastAsia="en-GB" w:bidi="ar-SA"/>
      <w14:ligatures w14:val="none"/>
    </w:rPr>
  </w:style>
  <w:style w:type="paragraph" w:customStyle="1" w:styleId="HFWLevel1">
    <w:name w:val="HFW Level 1"/>
    <w:rsid w:val="00D40EF5"/>
    <w:pPr>
      <w:numPr>
        <w:numId w:val="4"/>
      </w:numPr>
      <w:suppressAutoHyphens/>
      <w:autoSpaceDN w:val="0"/>
      <w:spacing w:after="220" w:line="288" w:lineRule="auto"/>
      <w:jc w:val="both"/>
      <w:textAlignment w:val="baseline"/>
      <w:outlineLvl w:val="0"/>
    </w:pPr>
    <w:rPr>
      <w:rFonts w:ascii="Times New Roman" w:eastAsia="Times New Roman" w:hAnsi="Times New Roman" w:cs="Times New Roman"/>
      <w:kern w:val="3"/>
      <w:szCs w:val="22"/>
      <w:lang w:eastAsia="en-GB" w:bidi="ar-SA"/>
      <w14:ligatures w14:val="none"/>
    </w:rPr>
  </w:style>
  <w:style w:type="paragraph" w:customStyle="1" w:styleId="HFWLevel3">
    <w:name w:val="HFW Level 3"/>
    <w:rsid w:val="00D40EF5"/>
    <w:pPr>
      <w:numPr>
        <w:ilvl w:val="2"/>
        <w:numId w:val="4"/>
      </w:numPr>
      <w:suppressAutoHyphens/>
      <w:autoSpaceDN w:val="0"/>
      <w:spacing w:after="220" w:line="288" w:lineRule="auto"/>
      <w:jc w:val="both"/>
      <w:textAlignment w:val="baseline"/>
      <w:outlineLvl w:val="2"/>
    </w:pPr>
    <w:rPr>
      <w:rFonts w:ascii="Times New Roman" w:eastAsia="Times New Roman" w:hAnsi="Times New Roman" w:cs="Times New Roman"/>
      <w:kern w:val="3"/>
      <w:szCs w:val="22"/>
      <w:lang w:eastAsia="en-GB" w:bidi="ar-SA"/>
      <w14:ligatures w14:val="none"/>
    </w:rPr>
  </w:style>
  <w:style w:type="paragraph" w:customStyle="1" w:styleId="HFWLevel4">
    <w:name w:val="HFW Level 4"/>
    <w:rsid w:val="00D40EF5"/>
    <w:pPr>
      <w:numPr>
        <w:ilvl w:val="3"/>
        <w:numId w:val="4"/>
      </w:numPr>
      <w:tabs>
        <w:tab w:val="num" w:pos="360"/>
      </w:tabs>
      <w:suppressAutoHyphens/>
      <w:autoSpaceDN w:val="0"/>
      <w:spacing w:after="220" w:line="288" w:lineRule="auto"/>
      <w:ind w:left="0" w:firstLine="0"/>
      <w:jc w:val="both"/>
      <w:textAlignment w:val="baseline"/>
      <w:outlineLvl w:val="3"/>
    </w:pPr>
    <w:rPr>
      <w:rFonts w:ascii="Times New Roman" w:eastAsia="Times New Roman" w:hAnsi="Times New Roman" w:cs="Times New Roman"/>
      <w:kern w:val="3"/>
      <w:szCs w:val="22"/>
      <w:lang w:eastAsia="en-GB" w:bidi="ar-SA"/>
      <w14:ligatures w14:val="none"/>
    </w:rPr>
  </w:style>
  <w:style w:type="paragraph" w:customStyle="1" w:styleId="HFWLevel5">
    <w:name w:val="HFW Level 5"/>
    <w:rsid w:val="00D40EF5"/>
    <w:pPr>
      <w:numPr>
        <w:ilvl w:val="4"/>
        <w:numId w:val="4"/>
      </w:numPr>
      <w:suppressAutoHyphens/>
      <w:autoSpaceDN w:val="0"/>
      <w:spacing w:after="220" w:line="288" w:lineRule="auto"/>
      <w:jc w:val="both"/>
      <w:textAlignment w:val="baseline"/>
      <w:outlineLvl w:val="4"/>
    </w:pPr>
    <w:rPr>
      <w:rFonts w:ascii="Times New Roman" w:eastAsia="Times New Roman" w:hAnsi="Times New Roman" w:cs="Times New Roman"/>
      <w:kern w:val="3"/>
      <w:szCs w:val="22"/>
      <w:lang w:eastAsia="en-GB" w:bidi="ar-SA"/>
      <w14:ligatures w14:val="none"/>
    </w:rPr>
  </w:style>
  <w:style w:type="paragraph" w:customStyle="1" w:styleId="HFWLevel6">
    <w:name w:val="HFW Level 6"/>
    <w:rsid w:val="00D40EF5"/>
    <w:pPr>
      <w:numPr>
        <w:ilvl w:val="5"/>
        <w:numId w:val="4"/>
      </w:numPr>
      <w:suppressAutoHyphens/>
      <w:autoSpaceDN w:val="0"/>
      <w:spacing w:after="220" w:line="288" w:lineRule="auto"/>
      <w:jc w:val="both"/>
      <w:textAlignment w:val="baseline"/>
      <w:outlineLvl w:val="5"/>
    </w:pPr>
    <w:rPr>
      <w:rFonts w:ascii="Times New Roman" w:eastAsia="Times New Roman" w:hAnsi="Times New Roman" w:cs="Times New Roman"/>
      <w:kern w:val="3"/>
      <w:szCs w:val="22"/>
      <w:lang w:eastAsia="en-GB" w:bidi="ar-SA"/>
      <w14:ligatures w14:val="none"/>
    </w:rPr>
  </w:style>
  <w:style w:type="character" w:customStyle="1" w:styleId="HFWLevel1asheadingtext">
    <w:name w:val="HFW Level 1 as heading (text)"/>
    <w:basedOn w:val="a1"/>
    <w:rsid w:val="00D40EF5"/>
    <w:rPr>
      <w:b/>
      <w:bCs/>
    </w:rPr>
  </w:style>
  <w:style w:type="character" w:customStyle="1" w:styleId="HFWLevel2asheadingtext">
    <w:name w:val="HFW Level 2 as heading (text)"/>
    <w:basedOn w:val="a1"/>
    <w:rsid w:val="00D40EF5"/>
    <w:rPr>
      <w:b/>
      <w:bCs/>
    </w:rPr>
  </w:style>
  <w:style w:type="paragraph" w:customStyle="1" w:styleId="HEADINGCH3">
    <w:name w:val="HEADING CH 3"/>
    <w:basedOn w:val="a9"/>
    <w:link w:val="HEADINGCH3Char"/>
    <w:qFormat/>
    <w:rsid w:val="00D40EF5"/>
    <w:pPr>
      <w:keepNext/>
      <w:numPr>
        <w:ilvl w:val="1"/>
        <w:numId w:val="2"/>
      </w:numPr>
      <w:tabs>
        <w:tab w:val="left" w:pos="630"/>
      </w:tabs>
    </w:pPr>
    <w:rPr>
      <w:rFonts w:ascii="Arial" w:hAnsi="Arial" w:cs="Arial"/>
      <w:b/>
      <w:sz w:val="24"/>
      <w:szCs w:val="24"/>
      <w:lang w:val="en-GB"/>
    </w:rPr>
  </w:style>
  <w:style w:type="paragraph" w:styleId="TOC3">
    <w:name w:val="toc 3"/>
    <w:basedOn w:val="a0"/>
    <w:next w:val="a0"/>
    <w:autoRedefine/>
    <w:uiPriority w:val="39"/>
    <w:unhideWhenUsed/>
    <w:rsid w:val="00D40EF5"/>
    <w:pPr>
      <w:spacing w:after="100" w:line="259" w:lineRule="auto"/>
      <w:ind w:left="440"/>
      <w:jc w:val="left"/>
    </w:pPr>
    <w:rPr>
      <w:rFonts w:cs="Times New Roman"/>
      <w:lang w:eastAsia="en-US"/>
    </w:rPr>
  </w:style>
  <w:style w:type="character" w:customStyle="1" w:styleId="aa">
    <w:name w:val="列表段落 字符"/>
    <w:aliases w:val="Recommendation 字符,List Paragraph1 字符"/>
    <w:basedOn w:val="a1"/>
    <w:link w:val="a9"/>
    <w:uiPriority w:val="34"/>
    <w:qFormat/>
    <w:rsid w:val="00D40EF5"/>
    <w:rPr>
      <w:rFonts w:eastAsiaTheme="minorEastAsia"/>
      <w:kern w:val="0"/>
      <w:szCs w:val="22"/>
      <w:lang w:val="en-US" w:eastAsia="zh-CN" w:bidi="ar-SA"/>
      <w14:ligatures w14:val="none"/>
    </w:rPr>
  </w:style>
  <w:style w:type="character" w:customStyle="1" w:styleId="HEADINGCH3Char">
    <w:name w:val="HEADING CH 3 Char"/>
    <w:basedOn w:val="aa"/>
    <w:link w:val="HEADINGCH3"/>
    <w:rsid w:val="00D40EF5"/>
    <w:rPr>
      <w:rFonts w:ascii="Arial" w:eastAsiaTheme="minorEastAsia" w:hAnsi="Arial" w:cs="Arial"/>
      <w:b/>
      <w:kern w:val="0"/>
      <w:sz w:val="24"/>
      <w:szCs w:val="24"/>
      <w:lang w:val="en-GB" w:eastAsia="zh-CN" w:bidi="ar-SA"/>
      <w14:ligatures w14:val="none"/>
    </w:rPr>
  </w:style>
  <w:style w:type="paragraph" w:customStyle="1" w:styleId="CharChar6CharCharCharCharCharChar">
    <w:name w:val="Char Char6 Char Char Char Char Char Char"/>
    <w:aliases w:val="Char6 Char Char Char Char Char Char Char"/>
    <w:basedOn w:val="a0"/>
    <w:link w:val="ab"/>
    <w:uiPriority w:val="99"/>
    <w:qFormat/>
    <w:rsid w:val="00D40EF5"/>
    <w:pPr>
      <w:spacing w:line="360" w:lineRule="exact"/>
      <w:jc w:val="center"/>
    </w:pPr>
    <w:rPr>
      <w:rFonts w:eastAsiaTheme="minorHAnsi"/>
      <w:kern w:val="2"/>
      <w:szCs w:val="20"/>
      <w:vertAlign w:val="superscript"/>
      <w:lang w:eastAsia="en-US" w:bidi="hi-IN"/>
      <w14:ligatures w14:val="standardContextual"/>
    </w:rPr>
  </w:style>
  <w:style w:type="paragraph" w:customStyle="1" w:styleId="Body1">
    <w:name w:val="Body 1"/>
    <w:basedOn w:val="a0"/>
    <w:rsid w:val="00D40EF5"/>
    <w:pPr>
      <w:spacing w:after="210" w:line="264" w:lineRule="auto"/>
    </w:pPr>
    <w:rPr>
      <w:rFonts w:ascii="Arial" w:eastAsia="华文楷体" w:hAnsi="Arial" w:cs="Times New Roman"/>
      <w:kern w:val="28"/>
      <w:sz w:val="21"/>
      <w:szCs w:val="20"/>
      <w:lang w:val="en-GB" w:eastAsia="en-US"/>
    </w:rPr>
  </w:style>
  <w:style w:type="paragraph" w:customStyle="1" w:styleId="VBBParagraph">
    <w:name w:val="VBB Paragraph"/>
    <w:basedOn w:val="a0"/>
    <w:qFormat/>
    <w:rsid w:val="00AD6A92"/>
    <w:pPr>
      <w:keepLines/>
      <w:numPr>
        <w:numId w:val="7"/>
      </w:numPr>
      <w:spacing w:after="240" w:line="300" w:lineRule="exact"/>
    </w:pPr>
    <w:rPr>
      <w:rFonts w:ascii="Arial" w:eastAsia="Times New Roman" w:hAnsi="Arial" w:cs="Arial"/>
      <w:lang w:val="en-GB" w:eastAsia="en-US"/>
    </w:rPr>
  </w:style>
  <w:style w:type="paragraph" w:styleId="afd">
    <w:name w:val="Revision"/>
    <w:hidden/>
    <w:uiPriority w:val="99"/>
    <w:semiHidden/>
    <w:rsid w:val="00C91793"/>
    <w:pPr>
      <w:spacing w:after="0" w:line="240" w:lineRule="auto"/>
    </w:pPr>
    <w:rPr>
      <w:kern w:val="0"/>
      <w:szCs w:val="22"/>
      <w:lang w:val="en-US" w:eastAsia="zh-CN" w:bidi="ar-SA"/>
      <w14:ligatures w14:val="none"/>
    </w:rPr>
  </w:style>
  <w:style w:type="character" w:customStyle="1" w:styleId="ui-provider">
    <w:name w:val="ui-provider"/>
    <w:basedOn w:val="a1"/>
    <w:rsid w:val="003B2BAF"/>
  </w:style>
  <w:style w:type="paragraph" w:styleId="a">
    <w:name w:val="List Bullet"/>
    <w:basedOn w:val="a0"/>
    <w:qFormat/>
    <w:rsid w:val="00570E79"/>
    <w:pPr>
      <w:numPr>
        <w:numId w:val="11"/>
      </w:numPr>
      <w:spacing w:after="240" w:line="240" w:lineRule="auto"/>
      <w:contextualSpacing/>
      <w:jc w:val="left"/>
    </w:pPr>
    <w:rPr>
      <w:rFonts w:ascii="Times New Roman" w:eastAsia="MS Mincho" w:hAnsi="Times New Roman" w:cs="Times New Roman"/>
      <w:sz w:val="24"/>
      <w:szCs w:val="24"/>
      <w:lang w:eastAsia="en-US"/>
    </w:rPr>
  </w:style>
  <w:style w:type="paragraph" w:customStyle="1" w:styleId="Copies">
    <w:name w:val="Copies"/>
    <w:basedOn w:val="a0"/>
    <w:qFormat/>
    <w:rsid w:val="00550972"/>
    <w:pPr>
      <w:tabs>
        <w:tab w:val="left" w:pos="1678"/>
        <w:tab w:val="left" w:pos="2398"/>
        <w:tab w:val="left" w:pos="5398"/>
        <w:tab w:val="left" w:pos="6361"/>
      </w:tabs>
      <w:spacing w:before="480" w:line="240" w:lineRule="auto"/>
      <w:ind w:left="1191" w:hanging="1191"/>
      <w:jc w:val="left"/>
    </w:pPr>
    <w:rPr>
      <w:rFonts w:ascii="Times New Roman" w:eastAsia="等线" w:hAnsi="Times New Roman" w:cs="Times New Roman"/>
      <w:sz w:val="24"/>
      <w:szCs w:val="24"/>
      <w:lang w:val="en-GB" w:eastAsia="en-GB"/>
    </w:rPr>
  </w:style>
  <w:style w:type="paragraph" w:styleId="afe">
    <w:name w:val="endnote text"/>
    <w:basedOn w:val="a0"/>
    <w:link w:val="aff"/>
    <w:uiPriority w:val="99"/>
    <w:semiHidden/>
    <w:unhideWhenUsed/>
    <w:rsid w:val="00A054EB"/>
    <w:pPr>
      <w:spacing w:line="240" w:lineRule="auto"/>
    </w:pPr>
    <w:rPr>
      <w:sz w:val="20"/>
      <w:szCs w:val="20"/>
    </w:rPr>
  </w:style>
  <w:style w:type="character" w:customStyle="1" w:styleId="aff">
    <w:name w:val="尾注文本 字符"/>
    <w:basedOn w:val="a1"/>
    <w:link w:val="afe"/>
    <w:uiPriority w:val="99"/>
    <w:semiHidden/>
    <w:rsid w:val="00A054EB"/>
    <w:rPr>
      <w:rFonts w:eastAsiaTheme="minorEastAsia"/>
      <w:kern w:val="0"/>
      <w:sz w:val="20"/>
      <w:lang w:val="en-US" w:eastAsia="zh-CN" w:bidi="ar-SA"/>
      <w14:ligatures w14:val="none"/>
    </w:rPr>
  </w:style>
  <w:style w:type="character" w:styleId="aff0">
    <w:name w:val="endnote reference"/>
    <w:basedOn w:val="a1"/>
    <w:uiPriority w:val="99"/>
    <w:semiHidden/>
    <w:unhideWhenUsed/>
    <w:rsid w:val="00A054EB"/>
    <w:rPr>
      <w:vertAlign w:val="superscript"/>
    </w:rPr>
  </w:style>
  <w:style w:type="paragraph" w:styleId="aff1">
    <w:name w:val="Quote"/>
    <w:basedOn w:val="a0"/>
    <w:next w:val="a0"/>
    <w:link w:val="aff2"/>
    <w:uiPriority w:val="29"/>
    <w:qFormat/>
    <w:rsid w:val="005168DA"/>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5168DA"/>
    <w:rPr>
      <w:rFonts w:eastAsiaTheme="minorEastAsia"/>
      <w:i/>
      <w:iCs/>
      <w:color w:val="404040" w:themeColor="text1" w:themeTint="BF"/>
      <w:kern w:val="0"/>
      <w:szCs w:val="22"/>
      <w:lang w:val="en-US" w:eastAsia="zh-CN" w:bidi="ar-SA"/>
      <w14:ligatures w14:val="none"/>
    </w:rPr>
  </w:style>
  <w:style w:type="character" w:customStyle="1" w:styleId="FootnoteTextChar2">
    <w:name w:val="Footnote Text Char2"/>
    <w:aliases w:val="fn Char3,Footnotes Char3,ft Char2,fn cafc Char2,Footnote ak Char3,fn Char Char3,footnote text Char Char2,Footnotes Char Char3,Footnote ak Char Char2,footnote citation Char2,Footnotes Char Char Char2,Footnote Text Char Char Char2"/>
    <w:locked/>
    <w:rsid w:val="005168DA"/>
    <w:rPr>
      <w:rFonts w:cs="Times New Roman"/>
      <w:lang w:eastAsia="en-US"/>
    </w:rPr>
  </w:style>
  <w:style w:type="character" w:styleId="aff3">
    <w:name w:val="Unresolved Mention"/>
    <w:basedOn w:val="a1"/>
    <w:uiPriority w:val="99"/>
    <w:semiHidden/>
    <w:unhideWhenUsed/>
    <w:rsid w:val="005168DA"/>
    <w:rPr>
      <w:color w:val="605E5C"/>
      <w:shd w:val="clear" w:color="auto" w:fill="E1DFDD"/>
    </w:rPr>
  </w:style>
  <w:style w:type="paragraph" w:customStyle="1" w:styleId="Fullquote">
    <w:name w:val="Full quote"/>
    <w:basedOn w:val="a0"/>
    <w:link w:val="FullquoteChar"/>
    <w:qFormat/>
    <w:rsid w:val="005168DA"/>
    <w:pPr>
      <w:spacing w:after="240" w:line="240" w:lineRule="auto"/>
      <w:ind w:left="2166" w:right="1089"/>
    </w:pPr>
    <w:rPr>
      <w:rFonts w:ascii="Times New Roman" w:eastAsia="MS Mincho" w:hAnsi="Times New Roman" w:cs="Times New Roman"/>
      <w:sz w:val="24"/>
      <w:szCs w:val="24"/>
      <w:lang w:eastAsia="en-US"/>
    </w:rPr>
  </w:style>
  <w:style w:type="character" w:customStyle="1" w:styleId="FullquoteChar">
    <w:name w:val="Full quote Char"/>
    <w:basedOn w:val="a1"/>
    <w:link w:val="Fullquote"/>
    <w:rsid w:val="005168DA"/>
    <w:rPr>
      <w:rFonts w:ascii="Times New Roman" w:eastAsia="MS Mincho" w:hAnsi="Times New Roman" w:cs="Times New Roman"/>
      <w:kern w:val="0"/>
      <w:sz w:val="24"/>
      <w:szCs w:val="24"/>
      <w:lang w:val="en-US" w:bidi="ar-SA"/>
      <w14:ligatures w14:val="none"/>
    </w:rPr>
  </w:style>
  <w:style w:type="paragraph" w:customStyle="1" w:styleId="heading3">
    <w:name w:val="heading3"/>
    <w:basedOn w:val="a0"/>
    <w:rsid w:val="006E1820"/>
    <w:pPr>
      <w:spacing w:before="100" w:beforeAutospacing="1" w:after="100" w:afterAutospacing="1" w:line="240" w:lineRule="auto"/>
      <w:jc w:val="left"/>
    </w:pPr>
    <w:rPr>
      <w:rFonts w:ascii="Times New Roman" w:eastAsia="Times New Roman" w:hAnsi="Times New Roman" w:cs="Times New Roman"/>
      <w:sz w:val="24"/>
      <w:szCs w:val="24"/>
      <w:lang w:val="en-GB" w:eastAsia="en-US" w:bidi="hi-IN"/>
    </w:rPr>
  </w:style>
  <w:style w:type="character" w:customStyle="1" w:styleId="fui-primitive">
    <w:name w:val="fui-primitive"/>
    <w:basedOn w:val="a1"/>
    <w:rsid w:val="00072E89"/>
  </w:style>
  <w:style w:type="character" w:customStyle="1" w:styleId="cf01">
    <w:name w:val="cf01"/>
    <w:basedOn w:val="a1"/>
    <w:rsid w:val="00B96976"/>
    <w:rPr>
      <w:rFonts w:ascii="Segoe UI" w:hAnsi="Segoe UI" w:cs="Segoe UI" w:hint="default"/>
      <w:sz w:val="18"/>
      <w:szCs w:val="18"/>
    </w:rPr>
  </w:style>
  <w:style w:type="character" w:customStyle="1" w:styleId="fontstyle01">
    <w:name w:val="fontstyle01"/>
    <w:basedOn w:val="a1"/>
    <w:rsid w:val="002A1172"/>
    <w:rPr>
      <w:rFonts w:ascii="Arial-ItalicMT" w:hAnsi="Arial-ItalicMT" w:hint="default"/>
      <w:b w:val="0"/>
      <w:bCs w:val="0"/>
      <w:i/>
      <w:iCs/>
      <w:color w:val="808080"/>
      <w:sz w:val="24"/>
      <w:szCs w:val="24"/>
    </w:rPr>
  </w:style>
  <w:style w:type="character" w:customStyle="1" w:styleId="fontstyle21">
    <w:name w:val="fontstyle21"/>
    <w:basedOn w:val="a1"/>
    <w:rsid w:val="00EE04E3"/>
    <w:rPr>
      <w:rFonts w:ascii="TimesNewRomanPS-ItalicMT" w:hAnsi="TimesNewRomanPS-ItalicMT" w:hint="default"/>
      <w:b w:val="0"/>
      <w:bCs w:val="0"/>
      <w:i/>
      <w:iCs/>
      <w:color w:val="000000"/>
      <w:sz w:val="24"/>
      <w:szCs w:val="24"/>
    </w:rPr>
  </w:style>
  <w:style w:type="character" w:customStyle="1" w:styleId="legp1no">
    <w:name w:val="legp1no"/>
    <w:basedOn w:val="a1"/>
    <w:rsid w:val="0078329D"/>
  </w:style>
  <w:style w:type="character" w:customStyle="1" w:styleId="legds">
    <w:name w:val="legds"/>
    <w:basedOn w:val="a1"/>
    <w:rsid w:val="00783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86919">
      <w:bodyDiv w:val="1"/>
      <w:marLeft w:val="0"/>
      <w:marRight w:val="0"/>
      <w:marTop w:val="0"/>
      <w:marBottom w:val="0"/>
      <w:divBdr>
        <w:top w:val="none" w:sz="0" w:space="0" w:color="auto"/>
        <w:left w:val="none" w:sz="0" w:space="0" w:color="auto"/>
        <w:bottom w:val="none" w:sz="0" w:space="0" w:color="auto"/>
        <w:right w:val="none" w:sz="0" w:space="0" w:color="auto"/>
      </w:divBdr>
    </w:div>
    <w:div w:id="286203175">
      <w:bodyDiv w:val="1"/>
      <w:marLeft w:val="0"/>
      <w:marRight w:val="0"/>
      <w:marTop w:val="0"/>
      <w:marBottom w:val="0"/>
      <w:divBdr>
        <w:top w:val="none" w:sz="0" w:space="0" w:color="auto"/>
        <w:left w:val="none" w:sz="0" w:space="0" w:color="auto"/>
        <w:bottom w:val="none" w:sz="0" w:space="0" w:color="auto"/>
        <w:right w:val="none" w:sz="0" w:space="0" w:color="auto"/>
      </w:divBdr>
    </w:div>
    <w:div w:id="407338770">
      <w:bodyDiv w:val="1"/>
      <w:marLeft w:val="0"/>
      <w:marRight w:val="0"/>
      <w:marTop w:val="0"/>
      <w:marBottom w:val="0"/>
      <w:divBdr>
        <w:top w:val="none" w:sz="0" w:space="0" w:color="auto"/>
        <w:left w:val="none" w:sz="0" w:space="0" w:color="auto"/>
        <w:bottom w:val="none" w:sz="0" w:space="0" w:color="auto"/>
        <w:right w:val="none" w:sz="0" w:space="0" w:color="auto"/>
      </w:divBdr>
    </w:div>
    <w:div w:id="444814861">
      <w:bodyDiv w:val="1"/>
      <w:marLeft w:val="0"/>
      <w:marRight w:val="0"/>
      <w:marTop w:val="0"/>
      <w:marBottom w:val="0"/>
      <w:divBdr>
        <w:top w:val="none" w:sz="0" w:space="0" w:color="auto"/>
        <w:left w:val="none" w:sz="0" w:space="0" w:color="auto"/>
        <w:bottom w:val="none" w:sz="0" w:space="0" w:color="auto"/>
        <w:right w:val="none" w:sz="0" w:space="0" w:color="auto"/>
      </w:divBdr>
    </w:div>
    <w:div w:id="1088041298">
      <w:bodyDiv w:val="1"/>
      <w:marLeft w:val="0"/>
      <w:marRight w:val="0"/>
      <w:marTop w:val="0"/>
      <w:marBottom w:val="0"/>
      <w:divBdr>
        <w:top w:val="none" w:sz="0" w:space="0" w:color="auto"/>
        <w:left w:val="none" w:sz="0" w:space="0" w:color="auto"/>
        <w:bottom w:val="none" w:sz="0" w:space="0" w:color="auto"/>
        <w:right w:val="none" w:sz="0" w:space="0" w:color="auto"/>
      </w:divBdr>
    </w:div>
    <w:div w:id="1168210399">
      <w:bodyDiv w:val="1"/>
      <w:marLeft w:val="0"/>
      <w:marRight w:val="0"/>
      <w:marTop w:val="0"/>
      <w:marBottom w:val="0"/>
      <w:divBdr>
        <w:top w:val="none" w:sz="0" w:space="0" w:color="auto"/>
        <w:left w:val="none" w:sz="0" w:space="0" w:color="auto"/>
        <w:bottom w:val="none" w:sz="0" w:space="0" w:color="auto"/>
        <w:right w:val="none" w:sz="0" w:space="0" w:color="auto"/>
      </w:divBdr>
    </w:div>
    <w:div w:id="1217013918">
      <w:bodyDiv w:val="1"/>
      <w:marLeft w:val="0"/>
      <w:marRight w:val="0"/>
      <w:marTop w:val="0"/>
      <w:marBottom w:val="0"/>
      <w:divBdr>
        <w:top w:val="none" w:sz="0" w:space="0" w:color="auto"/>
        <w:left w:val="none" w:sz="0" w:space="0" w:color="auto"/>
        <w:bottom w:val="none" w:sz="0" w:space="0" w:color="auto"/>
        <w:right w:val="none" w:sz="0" w:space="0" w:color="auto"/>
      </w:divBdr>
    </w:div>
    <w:div w:id="1376469923">
      <w:bodyDiv w:val="1"/>
      <w:marLeft w:val="0"/>
      <w:marRight w:val="0"/>
      <w:marTop w:val="0"/>
      <w:marBottom w:val="0"/>
      <w:divBdr>
        <w:top w:val="none" w:sz="0" w:space="0" w:color="auto"/>
        <w:left w:val="none" w:sz="0" w:space="0" w:color="auto"/>
        <w:bottom w:val="none" w:sz="0" w:space="0" w:color="auto"/>
        <w:right w:val="none" w:sz="0" w:space="0" w:color="auto"/>
      </w:divBdr>
    </w:div>
    <w:div w:id="1383366650">
      <w:bodyDiv w:val="1"/>
      <w:marLeft w:val="0"/>
      <w:marRight w:val="0"/>
      <w:marTop w:val="0"/>
      <w:marBottom w:val="0"/>
      <w:divBdr>
        <w:top w:val="none" w:sz="0" w:space="0" w:color="auto"/>
        <w:left w:val="none" w:sz="0" w:space="0" w:color="auto"/>
        <w:bottom w:val="none" w:sz="0" w:space="0" w:color="auto"/>
        <w:right w:val="none" w:sz="0" w:space="0" w:color="auto"/>
      </w:divBdr>
    </w:div>
    <w:div w:id="1441609743">
      <w:bodyDiv w:val="1"/>
      <w:marLeft w:val="0"/>
      <w:marRight w:val="0"/>
      <w:marTop w:val="0"/>
      <w:marBottom w:val="0"/>
      <w:divBdr>
        <w:top w:val="none" w:sz="0" w:space="0" w:color="auto"/>
        <w:left w:val="none" w:sz="0" w:space="0" w:color="auto"/>
        <w:bottom w:val="none" w:sz="0" w:space="0" w:color="auto"/>
        <w:right w:val="none" w:sz="0" w:space="0" w:color="auto"/>
      </w:divBdr>
    </w:div>
    <w:div w:id="1563371892">
      <w:bodyDiv w:val="1"/>
      <w:marLeft w:val="0"/>
      <w:marRight w:val="0"/>
      <w:marTop w:val="0"/>
      <w:marBottom w:val="0"/>
      <w:divBdr>
        <w:top w:val="none" w:sz="0" w:space="0" w:color="auto"/>
        <w:left w:val="none" w:sz="0" w:space="0" w:color="auto"/>
        <w:bottom w:val="none" w:sz="0" w:space="0" w:color="auto"/>
        <w:right w:val="none" w:sz="0" w:space="0" w:color="auto"/>
      </w:divBdr>
    </w:div>
    <w:div w:id="1579485520">
      <w:bodyDiv w:val="1"/>
      <w:marLeft w:val="0"/>
      <w:marRight w:val="0"/>
      <w:marTop w:val="0"/>
      <w:marBottom w:val="0"/>
      <w:divBdr>
        <w:top w:val="none" w:sz="0" w:space="0" w:color="auto"/>
        <w:left w:val="none" w:sz="0" w:space="0" w:color="auto"/>
        <w:bottom w:val="none" w:sz="0" w:space="0" w:color="auto"/>
        <w:right w:val="none" w:sz="0" w:space="0" w:color="auto"/>
      </w:divBdr>
    </w:div>
    <w:div w:id="1629627779">
      <w:bodyDiv w:val="1"/>
      <w:marLeft w:val="0"/>
      <w:marRight w:val="0"/>
      <w:marTop w:val="0"/>
      <w:marBottom w:val="0"/>
      <w:divBdr>
        <w:top w:val="none" w:sz="0" w:space="0" w:color="auto"/>
        <w:left w:val="none" w:sz="0" w:space="0" w:color="auto"/>
        <w:bottom w:val="none" w:sz="0" w:space="0" w:color="auto"/>
        <w:right w:val="none" w:sz="0" w:space="0" w:color="auto"/>
      </w:divBdr>
    </w:div>
    <w:div w:id="1666859607">
      <w:bodyDiv w:val="1"/>
      <w:marLeft w:val="0"/>
      <w:marRight w:val="0"/>
      <w:marTop w:val="0"/>
      <w:marBottom w:val="0"/>
      <w:divBdr>
        <w:top w:val="none" w:sz="0" w:space="0" w:color="auto"/>
        <w:left w:val="none" w:sz="0" w:space="0" w:color="auto"/>
        <w:bottom w:val="none" w:sz="0" w:space="0" w:color="auto"/>
        <w:right w:val="none" w:sz="0" w:space="0" w:color="auto"/>
      </w:divBdr>
    </w:div>
    <w:div w:id="2056467812">
      <w:bodyDiv w:val="1"/>
      <w:marLeft w:val="0"/>
      <w:marRight w:val="0"/>
      <w:marTop w:val="0"/>
      <w:marBottom w:val="0"/>
      <w:divBdr>
        <w:top w:val="none" w:sz="0" w:space="0" w:color="auto"/>
        <w:left w:val="none" w:sz="0" w:space="0" w:color="auto"/>
        <w:bottom w:val="none" w:sz="0" w:space="0" w:color="auto"/>
        <w:right w:val="none" w:sz="0" w:space="0" w:color="auto"/>
      </w:divBdr>
    </w:div>
    <w:div w:id="211153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www.british-business-bank.co.uk/export-fi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BF4C615A-6D2F-49B5-839C-955C188A5EDE}">
  <ds:schemaRefs>
    <ds:schemaRef ds:uri="http://schemas.openxmlformats.org/officeDocument/2006/bibliography"/>
  </ds:schemaRefs>
</ds:datastoreItem>
</file>

<file path=customXml/itemProps2.xml><?xml version="1.0" encoding="utf-8"?>
<ds:datastoreItem xmlns:ds="http://schemas.openxmlformats.org/officeDocument/2006/customXml" ds:itemID="{8C59F306-17A1-4D42-9D78-7D3759E3BF43}"/>
</file>

<file path=customXml/itemProps3.xml><?xml version="1.0" encoding="utf-8"?>
<ds:datastoreItem xmlns:ds="http://schemas.openxmlformats.org/officeDocument/2006/customXml" ds:itemID="{F64BCECB-77CE-4826-B939-DF5FDB2F6C83}"/>
</file>

<file path=customXml/itemProps4.xml><?xml version="1.0" encoding="utf-8"?>
<ds:datastoreItem xmlns:ds="http://schemas.openxmlformats.org/officeDocument/2006/customXml" ds:itemID="{C5895EDA-3146-4BA7-A4CA-D5049DD0A6D0}"/>
</file>

<file path=docProps/app.xml><?xml version="1.0" encoding="utf-8"?>
<Properties xmlns="http://schemas.openxmlformats.org/officeDocument/2006/extended-properties" xmlns:vt="http://schemas.openxmlformats.org/officeDocument/2006/docPropsVTypes">
  <Template>Normal</Template>
  <TotalTime>5255</TotalTime>
  <Pages>49</Pages>
  <Words>13461</Words>
  <Characters>76732</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2024-01-03T11:23:00Z</cp:lastPrinted>
  <dcterms:created xsi:type="dcterms:W3CDTF">2024-03-11T22:37:00Z</dcterms:created>
  <dcterms:modified xsi:type="dcterms:W3CDTF">2026-04-10T02:11:00Z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ies>
</file>